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C2" w:rsidRPr="009463F9" w:rsidRDefault="00F604C2" w:rsidP="00F604C2">
      <w:pPr>
        <w:pStyle w:val="Body"/>
        <w:spacing w:before="240"/>
        <w:ind w:left="-851" w:firstLine="851"/>
        <w:jc w:val="center"/>
        <w:rPr>
          <w:b/>
          <w:bCs/>
          <w:color w:val="76923C"/>
          <w:sz w:val="28"/>
          <w:szCs w:val="28"/>
          <w:u w:color="76923C"/>
        </w:rPr>
      </w:pPr>
      <w:r w:rsidRPr="009463F9">
        <w:rPr>
          <w:b/>
          <w:bCs/>
          <w:color w:val="76923C"/>
          <w:sz w:val="28"/>
          <w:szCs w:val="28"/>
          <w:u w:color="76923C"/>
        </w:rPr>
        <w:t>Foodborne Illness Strategy</w:t>
      </w:r>
    </w:p>
    <w:p w:rsidR="00F604C2" w:rsidRPr="009463F9" w:rsidRDefault="00F604C2" w:rsidP="00F604C2">
      <w:pPr>
        <w:pStyle w:val="Body"/>
        <w:ind w:left="-851" w:firstLine="851"/>
        <w:jc w:val="center"/>
        <w:rPr>
          <w:b/>
          <w:bCs/>
          <w:color w:val="76923C"/>
          <w:sz w:val="28"/>
          <w:szCs w:val="28"/>
          <w:u w:color="76923C"/>
        </w:rPr>
      </w:pPr>
      <w:r w:rsidRPr="009463F9">
        <w:rPr>
          <w:b/>
          <w:bCs/>
          <w:color w:val="76923C"/>
          <w:sz w:val="28"/>
          <w:szCs w:val="28"/>
          <w:u w:color="76923C"/>
        </w:rPr>
        <w:t>Stakeholder Consultation - examining options</w:t>
      </w:r>
    </w:p>
    <w:p w:rsidR="00F604C2" w:rsidRDefault="00F604C2" w:rsidP="00F604C2">
      <w:pPr>
        <w:pStyle w:val="Body"/>
        <w:ind w:left="-851" w:firstLine="851"/>
        <w:jc w:val="center"/>
        <w:rPr>
          <w:b/>
          <w:bCs/>
          <w:color w:val="76923C"/>
          <w:sz w:val="28"/>
          <w:szCs w:val="28"/>
          <w:u w:color="76923C"/>
        </w:rPr>
      </w:pPr>
      <w:r w:rsidRPr="009463F9">
        <w:rPr>
          <w:b/>
          <w:bCs/>
          <w:color w:val="76923C"/>
          <w:sz w:val="28"/>
          <w:szCs w:val="28"/>
          <w:u w:color="76923C"/>
        </w:rPr>
        <w:t>March - April 2018</w:t>
      </w:r>
    </w:p>
    <w:p w:rsidR="00F604C2" w:rsidRPr="002062D6" w:rsidRDefault="00F604C2" w:rsidP="00F604C2">
      <w:pPr>
        <w:pStyle w:val="Body"/>
        <w:ind w:left="-851" w:firstLine="851"/>
        <w:jc w:val="center"/>
        <w:rPr>
          <w:bCs/>
          <w:color w:val="76923C"/>
          <w:sz w:val="24"/>
          <w:szCs w:val="24"/>
          <w:u w:color="76923C"/>
        </w:rPr>
      </w:pPr>
    </w:p>
    <w:p w:rsidR="00F604C2" w:rsidRPr="009463F9" w:rsidRDefault="00F604C2" w:rsidP="00F604C2">
      <w:pPr>
        <w:pStyle w:val="Body"/>
        <w:ind w:left="-851" w:firstLine="851"/>
        <w:rPr>
          <w:sz w:val="16"/>
          <w:szCs w:val="16"/>
        </w:rPr>
      </w:pPr>
    </w:p>
    <w:p w:rsidR="00F604C2" w:rsidRDefault="00F604C2" w:rsidP="00F604C2">
      <w:pPr>
        <w:pStyle w:val="Body"/>
        <w:ind w:firstLine="851"/>
        <w:rPr>
          <w:sz w:val="24"/>
          <w:szCs w:val="24"/>
        </w:rPr>
      </w:pPr>
      <w:r w:rsidRPr="009463F9">
        <w:rPr>
          <w:noProof/>
          <w:sz w:val="24"/>
          <w:szCs w:val="24"/>
          <w:lang w:val="en-AU" w:eastAsia="en-AU"/>
        </w:rPr>
        <mc:AlternateContent>
          <mc:Choice Requires="wpg">
            <w:drawing>
              <wp:inline distT="0" distB="0" distL="0" distR="0" wp14:anchorId="41FA1EAC" wp14:editId="337792B0">
                <wp:extent cx="5353050" cy="5430807"/>
                <wp:effectExtent l="0" t="0" r="19050" b="17780"/>
                <wp:docPr id="1073741843" name="officeArt object" descr="In April 2017 the Australia and New Zealand Ministerial Forum on Food Regulation (the Forum) agreed that one of the three priorities areas for 2017-2021 is to reduce foodborne illness, particularly related to Campylobacter and Salmonella, with a nationally-consistent approach. Ministers requested the development of an Australian strategy, noting New Zealand has an existing Campylobacter strategy.&#10;&#10;The Forum asked that the strategy be developed in collaboration with industry. In November 2017 the Forum gave in principle support for the framework that outlines the vision, approach and objective for Australia’s Foodborne Illness Reduction Strategy for reducing foodborne illness in Australia. This framework is included on the next page.&#10;&#10;Details of Consultation&#10;• The consultation commenced on 12 February 2018 and closed on 29 March 2018. In response to requests from stakeholders to lodge late submissions the closing date was extended until 6 April 2018.&#10;&#10;• Consultation was multi-faceted and utilised existing networks. States and Territories consulted at the local level and Food Standards Australia New Zealand (FSANZ) facilitate national roundtables that brought together industry sectors. &#10;&#10;• A total of 48 submissions were received (including four late submissions) from the following stakeholder groups:&#10;- 17 (seventeen) from industry organisations;&#10;- 2 (one) from a consumer;&#10;- 1 (one) from a public health organisation;&#10;- 8 (eight) from other stakeholder organisations; and &#10;- 20 (twenty) from government organisations.&#10;&#10;• In addition reports from five national forums and eleven jurisdictional roundtables were received.&#10;&#10;• The submissions and reports have now been analysed and the following is a list of key issues raised. " title="Introduction "/>
                <wp:cNvGraphicFramePr/>
                <a:graphic xmlns:a="http://schemas.openxmlformats.org/drawingml/2006/main">
                  <a:graphicData uri="http://schemas.microsoft.com/office/word/2010/wordprocessingGroup">
                    <wpg:wgp>
                      <wpg:cNvGrpSpPr/>
                      <wpg:grpSpPr>
                        <a:xfrm>
                          <a:off x="0" y="0"/>
                          <a:ext cx="5353050" cy="5430807"/>
                          <a:chOff x="0" y="0"/>
                          <a:chExt cx="8201025" cy="1933575"/>
                        </a:xfrm>
                      </wpg:grpSpPr>
                      <wps:wsp>
                        <wps:cNvPr id="1073741841" name="Shape 1073741841"/>
                        <wps:cNvSpPr/>
                        <wps:spPr>
                          <a:xfrm>
                            <a:off x="0" y="0"/>
                            <a:ext cx="8201025" cy="1933575"/>
                          </a:xfrm>
                          <a:prstGeom prst="roundRect">
                            <a:avLst>
                              <a:gd name="adj" fmla="val 7500"/>
                            </a:avLst>
                          </a:prstGeom>
                          <a:solidFill>
                            <a:schemeClr val="accent3"/>
                          </a:solidFill>
                          <a:ln w="25400" cap="flat">
                            <a:solidFill>
                              <a:srgbClr val="FFFFFF"/>
                            </a:solidFill>
                            <a:prstDash val="solid"/>
                            <a:round/>
                          </a:ln>
                          <a:effectLst/>
                        </wps:spPr>
                        <wps:bodyPr/>
                      </wps:wsp>
                      <wps:wsp>
                        <wps:cNvPr id="1073741842" name="Shape 1073741842"/>
                        <wps:cNvSpPr/>
                        <wps:spPr>
                          <a:xfrm>
                            <a:off x="175111" y="42419"/>
                            <a:ext cx="7983483" cy="1855092"/>
                          </a:xfrm>
                          <a:prstGeom prst="rect">
                            <a:avLst/>
                          </a:prstGeom>
                          <a:noFill/>
                          <a:ln w="12700" cap="flat">
                            <a:noFill/>
                            <a:miter lim="400000"/>
                          </a:ln>
                          <a:effectLst/>
                        </wps:spPr>
                        <wps:txbx>
                          <w:txbxContent>
                            <w:p w:rsidR="00F604C2" w:rsidRPr="00E142D7" w:rsidRDefault="00F604C2" w:rsidP="00F604C2">
                              <w:pPr>
                                <w:rPr>
                                  <w:rFonts w:ascii="Tahoma" w:eastAsia="MS Mincho" w:hAnsi="Tahoma" w:cs="Tahoma"/>
                                  <w:color w:val="FFFFFF" w:themeColor="background1"/>
                                  <w:sz w:val="20"/>
                                  <w:szCs w:val="20"/>
                                </w:rPr>
                              </w:pPr>
                              <w:r w:rsidRPr="00E142D7">
                                <w:rPr>
                                  <w:rFonts w:ascii="Tahoma" w:eastAsia="MS Mincho" w:hAnsi="Tahoma" w:cs="Tahoma"/>
                                  <w:color w:val="FFFFFF" w:themeColor="background1"/>
                                  <w:sz w:val="20"/>
                                  <w:szCs w:val="20"/>
                                </w:rPr>
                                <w:t xml:space="preserve">In April 2017 the Australia and New Zealand Ministerial Forum on Food Regulation (the Forum) agreed </w:t>
                              </w:r>
                              <w:r>
                                <w:rPr>
                                  <w:rFonts w:ascii="Tahoma" w:eastAsia="MS Mincho" w:hAnsi="Tahoma" w:cs="Tahoma"/>
                                  <w:color w:val="FFFFFF" w:themeColor="background1"/>
                                  <w:sz w:val="20"/>
                                  <w:szCs w:val="20"/>
                                </w:rPr>
                                <w:t>that one of the three priorities areas for 2017</w:t>
                              </w:r>
                              <w:r>
                                <w:rPr>
                                  <w:rFonts w:ascii="Tahoma" w:eastAsia="MS Mincho" w:hAnsi="Tahoma" w:cs="Tahoma"/>
                                  <w:color w:val="FFFFFF" w:themeColor="background1"/>
                                  <w:sz w:val="20"/>
                                  <w:szCs w:val="20"/>
                                </w:rPr>
                                <w:noBreakHyphen/>
                                <w:t xml:space="preserve">2021 </w:t>
                              </w:r>
                              <w:r w:rsidRPr="00E142D7">
                                <w:rPr>
                                  <w:rFonts w:ascii="Tahoma" w:eastAsia="MS Mincho" w:hAnsi="Tahoma" w:cs="Tahoma"/>
                                  <w:color w:val="FFFFFF" w:themeColor="background1"/>
                                  <w:sz w:val="20"/>
                                  <w:szCs w:val="20"/>
                                </w:rPr>
                                <w:t xml:space="preserve">is to reduce foodborne illness, particularly related to </w:t>
                              </w:r>
                              <w:r w:rsidRPr="00E142D7">
                                <w:rPr>
                                  <w:rFonts w:ascii="Tahoma" w:eastAsia="MS Mincho" w:hAnsi="Tahoma" w:cs="Tahoma"/>
                                  <w:i/>
                                  <w:color w:val="FFFFFF" w:themeColor="background1"/>
                                  <w:sz w:val="20"/>
                                  <w:szCs w:val="20"/>
                                </w:rPr>
                                <w:t>Campylobacter</w:t>
                              </w:r>
                              <w:r w:rsidRPr="00E142D7">
                                <w:rPr>
                                  <w:rFonts w:ascii="Tahoma" w:eastAsia="MS Mincho" w:hAnsi="Tahoma" w:cs="Tahoma"/>
                                  <w:color w:val="FFFFFF" w:themeColor="background1"/>
                                  <w:sz w:val="20"/>
                                  <w:szCs w:val="20"/>
                                </w:rPr>
                                <w:t xml:space="preserve"> and </w:t>
                              </w:r>
                              <w:r w:rsidRPr="00E142D7">
                                <w:rPr>
                                  <w:rFonts w:ascii="Tahoma" w:eastAsia="MS Mincho" w:hAnsi="Tahoma" w:cs="Tahoma"/>
                                  <w:i/>
                                  <w:color w:val="FFFFFF" w:themeColor="background1"/>
                                  <w:sz w:val="20"/>
                                  <w:szCs w:val="20"/>
                                </w:rPr>
                                <w:t>Salmonella</w:t>
                              </w:r>
                              <w:r w:rsidRPr="00E142D7">
                                <w:rPr>
                                  <w:rFonts w:ascii="Tahoma" w:eastAsia="MS Mincho" w:hAnsi="Tahoma" w:cs="Tahoma"/>
                                  <w:color w:val="FFFFFF" w:themeColor="background1"/>
                                  <w:sz w:val="20"/>
                                  <w:szCs w:val="20"/>
                                </w:rPr>
                                <w:t xml:space="preserve">, with a nationally-consistent approach. Ministers requested the development of an Australian strategy, noting New Zealand has an existing </w:t>
                              </w:r>
                              <w:r w:rsidRPr="00E142D7">
                                <w:rPr>
                                  <w:rFonts w:ascii="Tahoma" w:eastAsia="MS Mincho" w:hAnsi="Tahoma" w:cs="Tahoma"/>
                                  <w:i/>
                                  <w:color w:val="FFFFFF" w:themeColor="background1"/>
                                  <w:sz w:val="20"/>
                                  <w:szCs w:val="20"/>
                                </w:rPr>
                                <w:t>Campylobacter</w:t>
                              </w:r>
                              <w:r>
                                <w:rPr>
                                  <w:rFonts w:ascii="Tahoma" w:eastAsia="MS Mincho" w:hAnsi="Tahoma" w:cs="Tahoma"/>
                                  <w:color w:val="FFFFFF" w:themeColor="background1"/>
                                  <w:sz w:val="20"/>
                                  <w:szCs w:val="20"/>
                                </w:rPr>
                                <w:t xml:space="preserve"> strategy.</w:t>
                              </w:r>
                            </w:p>
                            <w:p w:rsidR="00F604C2" w:rsidRDefault="00F604C2" w:rsidP="00F604C2">
                              <w:pPr>
                                <w:rPr>
                                  <w:rFonts w:ascii="Tahoma" w:eastAsia="MS Mincho" w:hAnsi="Tahoma" w:cs="Tahoma"/>
                                  <w:color w:val="FFFFFF" w:themeColor="background1"/>
                                  <w:sz w:val="20"/>
                                  <w:szCs w:val="20"/>
                                </w:rPr>
                              </w:pPr>
                              <w:r w:rsidRPr="00E142D7">
                                <w:rPr>
                                  <w:rFonts w:ascii="Tahoma" w:eastAsia="MS Mincho" w:hAnsi="Tahoma" w:cs="Tahoma"/>
                                  <w:color w:val="FFFFFF" w:themeColor="background1"/>
                                  <w:sz w:val="20"/>
                                  <w:szCs w:val="20"/>
                                </w:rPr>
                                <w:t>Th</w:t>
                              </w:r>
                              <w:r>
                                <w:rPr>
                                  <w:rFonts w:ascii="Tahoma" w:eastAsia="MS Mincho" w:hAnsi="Tahoma" w:cs="Tahoma"/>
                                  <w:color w:val="FFFFFF" w:themeColor="background1"/>
                                  <w:sz w:val="20"/>
                                  <w:szCs w:val="20"/>
                                </w:rPr>
                                <w:t xml:space="preserve">e Forum asked that the </w:t>
                              </w:r>
                              <w:r w:rsidRPr="00E142D7">
                                <w:rPr>
                                  <w:rFonts w:ascii="Tahoma" w:eastAsia="MS Mincho" w:hAnsi="Tahoma" w:cs="Tahoma"/>
                                  <w:color w:val="FFFFFF" w:themeColor="background1"/>
                                  <w:sz w:val="20"/>
                                  <w:szCs w:val="20"/>
                                </w:rPr>
                                <w:t>strategy be developed in collaboration with industry. In November 2017 the Forum gave in</w:t>
                              </w:r>
                              <w:r w:rsidRPr="00E142D7">
                                <w:rPr>
                                  <w:rFonts w:ascii="Tahoma" w:eastAsia="MS Mincho" w:hAnsi="Tahoma" w:cs="Tahoma"/>
                                  <w:color w:val="FFFFFF" w:themeColor="background1"/>
                                  <w:sz w:val="20"/>
                                  <w:szCs w:val="20"/>
                                </w:rPr>
                                <w:noBreakHyphen/>
                                <w:t>principle support for the framework that outlines the vision, approach and objective for Australia’s Foodborne Illness Reduction Strategy for reducing foodborne illness in Australia. This framework is included on the next page.</w:t>
                              </w:r>
                            </w:p>
                            <w:p w:rsidR="00F604C2" w:rsidRPr="00563665" w:rsidRDefault="00F604C2" w:rsidP="00F604C2">
                              <w:pPr>
                                <w:rPr>
                                  <w:rFonts w:ascii="Tahoma" w:eastAsia="MS Mincho" w:hAnsi="Tahoma" w:cs="Tahoma"/>
                                  <w:b/>
                                  <w:color w:val="FFFFFF" w:themeColor="background1"/>
                                  <w:sz w:val="20"/>
                                  <w:szCs w:val="20"/>
                                </w:rPr>
                              </w:pPr>
                              <w:r w:rsidRPr="00E142D7">
                                <w:rPr>
                                  <w:rFonts w:ascii="Tahoma" w:eastAsia="MS Mincho" w:hAnsi="Tahoma" w:cs="Tahoma"/>
                                  <w:b/>
                                  <w:color w:val="FFFFFF" w:themeColor="background1"/>
                                  <w:sz w:val="20"/>
                                  <w:szCs w:val="20"/>
                                </w:rPr>
                                <w:t>D</w:t>
                              </w:r>
                              <w:r>
                                <w:rPr>
                                  <w:rFonts w:ascii="Tahoma" w:eastAsia="MS Mincho" w:hAnsi="Tahoma" w:cs="Tahoma"/>
                                  <w:b/>
                                  <w:color w:val="FFFFFF" w:themeColor="background1"/>
                                  <w:sz w:val="20"/>
                                  <w:szCs w:val="20"/>
                                </w:rPr>
                                <w:t>etails of Consultation</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The consultation commenced on 12 February 2018 and closed on 29 March 2018. In response to requests from stakeholders to lodge late submissions the closing date was extended until 6 April 2018.</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Consultation was multi-faceted and </w:t>
                              </w:r>
                              <w:proofErr w:type="spellStart"/>
                              <w:r w:rsidRPr="00563665">
                                <w:rPr>
                                  <w:rFonts w:ascii="Tahoma" w:hAnsi="Tahoma" w:cs="Tahoma"/>
                                  <w:color w:val="FFFFFF" w:themeColor="background1"/>
                                  <w:sz w:val="20"/>
                                  <w:szCs w:val="20"/>
                                </w:rPr>
                                <w:t>utilised</w:t>
                              </w:r>
                              <w:proofErr w:type="spellEnd"/>
                              <w:r w:rsidRPr="00563665">
                                <w:rPr>
                                  <w:rFonts w:ascii="Tahoma" w:hAnsi="Tahoma" w:cs="Tahoma"/>
                                  <w:color w:val="FFFFFF" w:themeColor="background1"/>
                                  <w:sz w:val="20"/>
                                  <w:szCs w:val="20"/>
                                </w:rPr>
                                <w:t xml:space="preserve"> existing networks. States and Territories consulted at the local level and Food Standards Australia New Zealand (FSANZ) facilitate national roundtables that brought together industry sectors. </w:t>
                              </w:r>
                            </w:p>
                            <w:p w:rsidR="00F604C2" w:rsidRPr="00563665" w:rsidRDefault="00F604C2" w:rsidP="00F604C2">
                              <w:pPr>
                                <w:pStyle w:val="Caption"/>
                                <w:numPr>
                                  <w:ilvl w:val="0"/>
                                  <w:numId w:val="2"/>
                                </w:numPr>
                                <w:spacing w:before="60"/>
                                <w:ind w:left="544" w:hanging="272"/>
                                <w:rPr>
                                  <w:rFonts w:ascii="Tahoma" w:hAnsi="Tahoma" w:cs="Tahoma"/>
                                  <w:color w:val="FFFFFF" w:themeColor="background1"/>
                                  <w:sz w:val="20"/>
                                  <w:szCs w:val="20"/>
                                </w:rPr>
                              </w:pPr>
                              <w:r w:rsidRPr="00563665">
                                <w:rPr>
                                  <w:rFonts w:ascii="Tahoma" w:hAnsi="Tahoma" w:cs="Tahoma"/>
                                  <w:color w:val="FFFFFF" w:themeColor="background1"/>
                                  <w:sz w:val="20"/>
                                  <w:szCs w:val="20"/>
                                </w:rPr>
                                <w:t>A total of 48 submissions were received (including four late submissions) from the following stakeholder groups:</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17 (seventeen) from industry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2 (one) from a consumer;</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1 (one) from a public health </w:t>
                              </w:r>
                              <w:proofErr w:type="spellStart"/>
                              <w:r w:rsidRPr="00563665">
                                <w:rPr>
                                  <w:rFonts w:ascii="Tahoma" w:hAnsi="Tahoma" w:cs="Tahoma"/>
                                  <w:color w:val="FFFFFF" w:themeColor="background1"/>
                                  <w:sz w:val="20"/>
                                  <w:szCs w:val="20"/>
                                </w:rPr>
                                <w:t>organisation</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8 (eight) from other stakeholder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 xml:space="preserve">; and </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20 (twenty) from government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In addition reports from five national forums and eleven jurisdictional roundtables were received.</w:t>
                              </w:r>
                            </w:p>
                            <w:p w:rsidR="00F604C2" w:rsidRPr="0088524B" w:rsidRDefault="00F604C2" w:rsidP="00F604C2">
                              <w:pPr>
                                <w:pStyle w:val="Caption"/>
                                <w:numPr>
                                  <w:ilvl w:val="0"/>
                                  <w:numId w:val="2"/>
                                </w:numPr>
                                <w:spacing w:before="60"/>
                                <w:ind w:left="540" w:hanging="270"/>
                                <w:rPr>
                                  <w:rFonts w:ascii="Tahoma" w:hAnsi="Tahoma" w:cs="Tahoma"/>
                                  <w:color w:val="FFFFFF"/>
                                  <w:sz w:val="20"/>
                                  <w:szCs w:val="20"/>
                                </w:rPr>
                              </w:pPr>
                              <w:r w:rsidRPr="00563665">
                                <w:rPr>
                                  <w:rFonts w:ascii="Tahoma" w:hAnsi="Tahoma" w:cs="Tahoma"/>
                                  <w:color w:val="FFFFFF" w:themeColor="background1"/>
                                  <w:sz w:val="20"/>
                                  <w:szCs w:val="20"/>
                                </w:rPr>
                                <w:t xml:space="preserve">The submissions and reports have now been </w:t>
                              </w:r>
                              <w:proofErr w:type="spellStart"/>
                              <w:r w:rsidRPr="00563665">
                                <w:rPr>
                                  <w:rFonts w:ascii="Tahoma" w:hAnsi="Tahoma" w:cs="Tahoma"/>
                                  <w:color w:val="FFFFFF" w:themeColor="background1"/>
                                  <w:sz w:val="20"/>
                                  <w:szCs w:val="20"/>
                                </w:rPr>
                                <w:t>analysed</w:t>
                              </w:r>
                              <w:proofErr w:type="spellEnd"/>
                              <w:r w:rsidRPr="00563665">
                                <w:rPr>
                                  <w:rFonts w:ascii="Tahoma" w:hAnsi="Tahoma" w:cs="Tahoma"/>
                                  <w:color w:val="FFFFFF" w:themeColor="background1"/>
                                  <w:sz w:val="20"/>
                                  <w:szCs w:val="20"/>
                                </w:rPr>
                                <w:t xml:space="preserve"> and the following is a list of key issues rais</w:t>
                              </w:r>
                              <w:r w:rsidRPr="002C1F25">
                                <w:rPr>
                                  <w:rFonts w:ascii="Tahoma" w:hAnsi="Tahoma" w:cs="Tahoma"/>
                                  <w:color w:val="FFFFFF"/>
                                  <w:sz w:val="20"/>
                                  <w:szCs w:val="20"/>
                                </w:rPr>
                                <w:t xml:space="preserve">ed. </w:t>
                              </w:r>
                            </w:p>
                          </w:txbxContent>
                        </wps:txbx>
                        <wps:bodyPr wrap="square" lIns="45719" tIns="45719" rIns="45719" bIns="45719" numCol="1" anchor="t">
                          <a:noAutofit/>
                        </wps:bodyPr>
                      </wps:wsp>
                    </wpg:wgp>
                  </a:graphicData>
                </a:graphic>
              </wp:inline>
            </w:drawing>
          </mc:Choice>
          <mc:Fallback>
            <w:pict>
              <v:group id="officeArt object" o:spid="_x0000_s1026" alt="Title: Introduction  - Description: In April 2017 the Australia and New Zealand Ministerial Forum on Food Regulation (the Forum) agreed that one of the three priorities areas for 2017-2021 is to reduce foodborne illness, particularly related to Campylobacter and Salmonella, with a nationally-consistent approach. Ministers requested the development of an Australian strategy, noting New Zealand has an existing Campylobacter strategy.&#10;&#10;The Forum asked that the strategy be developed in collaboration with industry. In November 2017 the Forum gave in principle support for the framework that outlines the vision, approach and objective for Australia’s Foodborne Illness Reduction Strategy for reducing foodborne illness in Australia. This framework is included on the next page.&#10;&#10;Details of Consultation&#10;• The consultation commenced on 12 February 2018 and closed on 29 March 2018. In response to requests from stakeholders to lodge late submissions the closing date was extended until 6 April 2018.&#10;&#10;• Consultation was multi-faceted and utilised existing networks. States and Territories consulted at the local level and Food Standards Australia New Zealand (FSANZ) facilitate national roundtables that brought together industry sectors. &#10;&#10;• A total of 48 submissions were received (including four late submissions) from the following stakeholder groups:&#10;- 17 (seventeen) from industry organisations;&#10;- 2 (one) from a consumer;&#10;- 1 (one) from a public health organisation;&#10;- 8 (eight) from other stakeholder organisations; and &#10;- 20 (twenty) from government organisations.&#10;&#10;• In addition reports from five national forums and eleven jurisdictional roundtables were received.&#10;&#10;• The submissions and reports have now been analysed and the following is a list of key issues raised. " style="width:421.5pt;height:427.6pt;mso-position-horizontal-relative:char;mso-position-vertical-relative:line" coordsize="82010,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">
                <v:roundrect id="Shape 1073741841" o:spid="_x0000_s1027" style="position:absolute;width:82010;height:19335;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JycUA&#10;AADjAAAADwAAAGRycy9kb3ducmV2LnhtbERP24rCMBB9X/Afwgj7tqZ1XS/VKCIIxYeClw8YmrEt&#10;NpPQRK1/v1kQ9nHOfVab3rTiQZ1vLCtIRwkI4tLqhisFl/P+aw7CB2SNrWVS8CIPm/XgY4WZtk8+&#10;0uMUKhFD2GeooA7BZVL6siaDfmQdceSutjMY4tlVUnf4jOGmleMkmUqDDceGGh3taipvp7tRcG32&#10;zi9ckVee+HXof4pdHgqlPof9dgkiUB/+xW93ruP8ZPY9m6TzSQp/P0U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YnJxQAAAOMAAAAPAAAAAAAAAAAAAAAAAJgCAABkcnMv&#10;ZG93bnJldi54bWxQSwUGAAAAAAQABAD1AAAAigMAAAAA&#10;" fillcolor="#9bbb59 [3206]" strokecolor="white" strokeweight="2pt"/>
                <v:rect id="Shape 1073741842" o:spid="_x0000_s1028" style="position:absolute;left:1751;top:424;width:79834;height:18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rsidR="00F604C2" w:rsidRPr="00E142D7" w:rsidRDefault="00F604C2" w:rsidP="00F604C2">
                        <w:pPr>
                          <w:rPr>
                            <w:rFonts w:ascii="Tahoma" w:eastAsia="MS Mincho" w:hAnsi="Tahoma" w:cs="Tahoma"/>
                            <w:color w:val="FFFFFF" w:themeColor="background1"/>
                            <w:sz w:val="20"/>
                            <w:szCs w:val="20"/>
                          </w:rPr>
                        </w:pPr>
                        <w:r w:rsidRPr="00E142D7">
                          <w:rPr>
                            <w:rFonts w:ascii="Tahoma" w:eastAsia="MS Mincho" w:hAnsi="Tahoma" w:cs="Tahoma"/>
                            <w:color w:val="FFFFFF" w:themeColor="background1"/>
                            <w:sz w:val="20"/>
                            <w:szCs w:val="20"/>
                          </w:rPr>
                          <w:t xml:space="preserve">In April 2017 the Australia and New Zealand Ministerial Forum on Food Regulation (the Forum) agreed </w:t>
                        </w:r>
                        <w:r>
                          <w:rPr>
                            <w:rFonts w:ascii="Tahoma" w:eastAsia="MS Mincho" w:hAnsi="Tahoma" w:cs="Tahoma"/>
                            <w:color w:val="FFFFFF" w:themeColor="background1"/>
                            <w:sz w:val="20"/>
                            <w:szCs w:val="20"/>
                          </w:rPr>
                          <w:t>that one of the three priorities areas for 2017</w:t>
                        </w:r>
                        <w:r>
                          <w:rPr>
                            <w:rFonts w:ascii="Tahoma" w:eastAsia="MS Mincho" w:hAnsi="Tahoma" w:cs="Tahoma"/>
                            <w:color w:val="FFFFFF" w:themeColor="background1"/>
                            <w:sz w:val="20"/>
                            <w:szCs w:val="20"/>
                          </w:rPr>
                          <w:noBreakHyphen/>
                          <w:t xml:space="preserve">2021 </w:t>
                        </w:r>
                        <w:r w:rsidRPr="00E142D7">
                          <w:rPr>
                            <w:rFonts w:ascii="Tahoma" w:eastAsia="MS Mincho" w:hAnsi="Tahoma" w:cs="Tahoma"/>
                            <w:color w:val="FFFFFF" w:themeColor="background1"/>
                            <w:sz w:val="20"/>
                            <w:szCs w:val="20"/>
                          </w:rPr>
                          <w:t xml:space="preserve">is to reduce foodborne illness, particularly related to </w:t>
                        </w:r>
                        <w:r w:rsidRPr="00E142D7">
                          <w:rPr>
                            <w:rFonts w:ascii="Tahoma" w:eastAsia="MS Mincho" w:hAnsi="Tahoma" w:cs="Tahoma"/>
                            <w:i/>
                            <w:color w:val="FFFFFF" w:themeColor="background1"/>
                            <w:sz w:val="20"/>
                            <w:szCs w:val="20"/>
                          </w:rPr>
                          <w:t>Campylobacter</w:t>
                        </w:r>
                        <w:r w:rsidRPr="00E142D7">
                          <w:rPr>
                            <w:rFonts w:ascii="Tahoma" w:eastAsia="MS Mincho" w:hAnsi="Tahoma" w:cs="Tahoma"/>
                            <w:color w:val="FFFFFF" w:themeColor="background1"/>
                            <w:sz w:val="20"/>
                            <w:szCs w:val="20"/>
                          </w:rPr>
                          <w:t xml:space="preserve"> and </w:t>
                        </w:r>
                        <w:r w:rsidRPr="00E142D7">
                          <w:rPr>
                            <w:rFonts w:ascii="Tahoma" w:eastAsia="MS Mincho" w:hAnsi="Tahoma" w:cs="Tahoma"/>
                            <w:i/>
                            <w:color w:val="FFFFFF" w:themeColor="background1"/>
                            <w:sz w:val="20"/>
                            <w:szCs w:val="20"/>
                          </w:rPr>
                          <w:t>Salmonella</w:t>
                        </w:r>
                        <w:r w:rsidRPr="00E142D7">
                          <w:rPr>
                            <w:rFonts w:ascii="Tahoma" w:eastAsia="MS Mincho" w:hAnsi="Tahoma" w:cs="Tahoma"/>
                            <w:color w:val="FFFFFF" w:themeColor="background1"/>
                            <w:sz w:val="20"/>
                            <w:szCs w:val="20"/>
                          </w:rPr>
                          <w:t xml:space="preserve">, with a nationally-consistent approach. Ministers requested the development of an Australian strategy, noting New Zealand has an existing </w:t>
                        </w:r>
                        <w:r w:rsidRPr="00E142D7">
                          <w:rPr>
                            <w:rFonts w:ascii="Tahoma" w:eastAsia="MS Mincho" w:hAnsi="Tahoma" w:cs="Tahoma"/>
                            <w:i/>
                            <w:color w:val="FFFFFF" w:themeColor="background1"/>
                            <w:sz w:val="20"/>
                            <w:szCs w:val="20"/>
                          </w:rPr>
                          <w:t>Campylobacter</w:t>
                        </w:r>
                        <w:r>
                          <w:rPr>
                            <w:rFonts w:ascii="Tahoma" w:eastAsia="MS Mincho" w:hAnsi="Tahoma" w:cs="Tahoma"/>
                            <w:color w:val="FFFFFF" w:themeColor="background1"/>
                            <w:sz w:val="20"/>
                            <w:szCs w:val="20"/>
                          </w:rPr>
                          <w:t xml:space="preserve"> strategy.</w:t>
                        </w:r>
                      </w:p>
                      <w:p w:rsidR="00F604C2" w:rsidRDefault="00F604C2" w:rsidP="00F604C2">
                        <w:pPr>
                          <w:rPr>
                            <w:rFonts w:ascii="Tahoma" w:eastAsia="MS Mincho" w:hAnsi="Tahoma" w:cs="Tahoma"/>
                            <w:color w:val="FFFFFF" w:themeColor="background1"/>
                            <w:sz w:val="20"/>
                            <w:szCs w:val="20"/>
                          </w:rPr>
                        </w:pPr>
                        <w:r w:rsidRPr="00E142D7">
                          <w:rPr>
                            <w:rFonts w:ascii="Tahoma" w:eastAsia="MS Mincho" w:hAnsi="Tahoma" w:cs="Tahoma"/>
                            <w:color w:val="FFFFFF" w:themeColor="background1"/>
                            <w:sz w:val="20"/>
                            <w:szCs w:val="20"/>
                          </w:rPr>
                          <w:t>Th</w:t>
                        </w:r>
                        <w:r>
                          <w:rPr>
                            <w:rFonts w:ascii="Tahoma" w:eastAsia="MS Mincho" w:hAnsi="Tahoma" w:cs="Tahoma"/>
                            <w:color w:val="FFFFFF" w:themeColor="background1"/>
                            <w:sz w:val="20"/>
                            <w:szCs w:val="20"/>
                          </w:rPr>
                          <w:t xml:space="preserve">e Forum asked that the </w:t>
                        </w:r>
                        <w:r w:rsidRPr="00E142D7">
                          <w:rPr>
                            <w:rFonts w:ascii="Tahoma" w:eastAsia="MS Mincho" w:hAnsi="Tahoma" w:cs="Tahoma"/>
                            <w:color w:val="FFFFFF" w:themeColor="background1"/>
                            <w:sz w:val="20"/>
                            <w:szCs w:val="20"/>
                          </w:rPr>
                          <w:t>strategy be developed in collaboration with industry. In November 2017 the Forum gave in</w:t>
                        </w:r>
                        <w:r w:rsidRPr="00E142D7">
                          <w:rPr>
                            <w:rFonts w:ascii="Tahoma" w:eastAsia="MS Mincho" w:hAnsi="Tahoma" w:cs="Tahoma"/>
                            <w:color w:val="FFFFFF" w:themeColor="background1"/>
                            <w:sz w:val="20"/>
                            <w:szCs w:val="20"/>
                          </w:rPr>
                          <w:noBreakHyphen/>
                          <w:t>principle support for the framework that outlines the vision, approach and objective for Australia’s Foodborne Illness Reduction Strategy for reducing foodborne illness in Australia. This framework is included on the next page.</w:t>
                        </w:r>
                      </w:p>
                      <w:p w:rsidR="00F604C2" w:rsidRPr="00563665" w:rsidRDefault="00F604C2" w:rsidP="00F604C2">
                        <w:pPr>
                          <w:rPr>
                            <w:rFonts w:ascii="Tahoma" w:eastAsia="MS Mincho" w:hAnsi="Tahoma" w:cs="Tahoma"/>
                            <w:b/>
                            <w:color w:val="FFFFFF" w:themeColor="background1"/>
                            <w:sz w:val="20"/>
                            <w:szCs w:val="20"/>
                          </w:rPr>
                        </w:pPr>
                        <w:r w:rsidRPr="00E142D7">
                          <w:rPr>
                            <w:rFonts w:ascii="Tahoma" w:eastAsia="MS Mincho" w:hAnsi="Tahoma" w:cs="Tahoma"/>
                            <w:b/>
                            <w:color w:val="FFFFFF" w:themeColor="background1"/>
                            <w:sz w:val="20"/>
                            <w:szCs w:val="20"/>
                          </w:rPr>
                          <w:t>D</w:t>
                        </w:r>
                        <w:r>
                          <w:rPr>
                            <w:rFonts w:ascii="Tahoma" w:eastAsia="MS Mincho" w:hAnsi="Tahoma" w:cs="Tahoma"/>
                            <w:b/>
                            <w:color w:val="FFFFFF" w:themeColor="background1"/>
                            <w:sz w:val="20"/>
                            <w:szCs w:val="20"/>
                          </w:rPr>
                          <w:t>etails of Consultation</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The consultation commenced on 12 February 2018 and closed on 29 March 2018. In response to requests from stakeholders to lodge late submissions the closing date was extended until 6 April 2018.</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Consultation was multi-faceted and </w:t>
                        </w:r>
                        <w:proofErr w:type="spellStart"/>
                        <w:r w:rsidRPr="00563665">
                          <w:rPr>
                            <w:rFonts w:ascii="Tahoma" w:hAnsi="Tahoma" w:cs="Tahoma"/>
                            <w:color w:val="FFFFFF" w:themeColor="background1"/>
                            <w:sz w:val="20"/>
                            <w:szCs w:val="20"/>
                          </w:rPr>
                          <w:t>utilised</w:t>
                        </w:r>
                        <w:proofErr w:type="spellEnd"/>
                        <w:r w:rsidRPr="00563665">
                          <w:rPr>
                            <w:rFonts w:ascii="Tahoma" w:hAnsi="Tahoma" w:cs="Tahoma"/>
                            <w:color w:val="FFFFFF" w:themeColor="background1"/>
                            <w:sz w:val="20"/>
                            <w:szCs w:val="20"/>
                          </w:rPr>
                          <w:t xml:space="preserve"> existing networks. States and Territories consulted at the local level and Food Standards Australia New Zealand (FSANZ) facilitate national roundtables that brought together industry sectors. </w:t>
                        </w:r>
                      </w:p>
                      <w:p w:rsidR="00F604C2" w:rsidRPr="00563665" w:rsidRDefault="00F604C2" w:rsidP="00F604C2">
                        <w:pPr>
                          <w:pStyle w:val="Caption"/>
                          <w:numPr>
                            <w:ilvl w:val="0"/>
                            <w:numId w:val="2"/>
                          </w:numPr>
                          <w:spacing w:before="60"/>
                          <w:ind w:left="544" w:hanging="272"/>
                          <w:rPr>
                            <w:rFonts w:ascii="Tahoma" w:hAnsi="Tahoma" w:cs="Tahoma"/>
                            <w:color w:val="FFFFFF" w:themeColor="background1"/>
                            <w:sz w:val="20"/>
                            <w:szCs w:val="20"/>
                          </w:rPr>
                        </w:pPr>
                        <w:r w:rsidRPr="00563665">
                          <w:rPr>
                            <w:rFonts w:ascii="Tahoma" w:hAnsi="Tahoma" w:cs="Tahoma"/>
                            <w:color w:val="FFFFFF" w:themeColor="background1"/>
                            <w:sz w:val="20"/>
                            <w:szCs w:val="20"/>
                          </w:rPr>
                          <w:t>A total of 48 submissions were received (including four late submissions) from the following stakeholder groups:</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17 (seventeen) from industry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2 (one) from a consumer;</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1 (one) from a public health </w:t>
                        </w:r>
                        <w:proofErr w:type="spellStart"/>
                        <w:r w:rsidRPr="00563665">
                          <w:rPr>
                            <w:rFonts w:ascii="Tahoma" w:hAnsi="Tahoma" w:cs="Tahoma"/>
                            <w:color w:val="FFFFFF" w:themeColor="background1"/>
                            <w:sz w:val="20"/>
                            <w:szCs w:val="20"/>
                          </w:rPr>
                          <w:t>organisation</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8 (eight) from other stakeholder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 xml:space="preserve">; and </w:t>
                        </w:r>
                      </w:p>
                      <w:p w:rsidR="00F604C2" w:rsidRPr="00563665" w:rsidRDefault="00F604C2" w:rsidP="00F604C2">
                        <w:pPr>
                          <w:pStyle w:val="Caption"/>
                          <w:numPr>
                            <w:ilvl w:val="0"/>
                            <w:numId w:val="3"/>
                          </w:numPr>
                          <w:tabs>
                            <w:tab w:val="left" w:pos="1134"/>
                            <w:tab w:val="left" w:pos="1440"/>
                          </w:tabs>
                          <w:spacing w:before="40"/>
                          <w:ind w:left="720" w:hanging="181"/>
                          <w:rPr>
                            <w:rFonts w:ascii="Tahoma" w:hAnsi="Tahoma" w:cs="Tahoma"/>
                            <w:color w:val="FFFFFF" w:themeColor="background1"/>
                            <w:sz w:val="20"/>
                            <w:szCs w:val="20"/>
                          </w:rPr>
                        </w:pPr>
                        <w:r w:rsidRPr="00563665">
                          <w:rPr>
                            <w:rFonts w:ascii="Tahoma" w:hAnsi="Tahoma" w:cs="Tahoma"/>
                            <w:color w:val="FFFFFF" w:themeColor="background1"/>
                            <w:sz w:val="20"/>
                            <w:szCs w:val="20"/>
                          </w:rPr>
                          <w:t xml:space="preserve">20 (twenty) from government </w:t>
                        </w:r>
                        <w:proofErr w:type="spellStart"/>
                        <w:r w:rsidRPr="00563665">
                          <w:rPr>
                            <w:rFonts w:ascii="Tahoma" w:hAnsi="Tahoma" w:cs="Tahoma"/>
                            <w:color w:val="FFFFFF" w:themeColor="background1"/>
                            <w:sz w:val="20"/>
                            <w:szCs w:val="20"/>
                          </w:rPr>
                          <w:t>organisations</w:t>
                        </w:r>
                        <w:proofErr w:type="spellEnd"/>
                        <w:r w:rsidRPr="00563665">
                          <w:rPr>
                            <w:rFonts w:ascii="Tahoma" w:hAnsi="Tahoma" w:cs="Tahoma"/>
                            <w:color w:val="FFFFFF" w:themeColor="background1"/>
                            <w:sz w:val="20"/>
                            <w:szCs w:val="20"/>
                          </w:rPr>
                          <w:t>.</w:t>
                        </w:r>
                      </w:p>
                      <w:p w:rsidR="00F604C2" w:rsidRPr="00563665" w:rsidRDefault="00F604C2" w:rsidP="00F604C2">
                        <w:pPr>
                          <w:pStyle w:val="Caption"/>
                          <w:numPr>
                            <w:ilvl w:val="0"/>
                            <w:numId w:val="2"/>
                          </w:numPr>
                          <w:spacing w:before="60"/>
                          <w:ind w:left="540" w:hanging="270"/>
                          <w:rPr>
                            <w:rFonts w:ascii="Tahoma" w:hAnsi="Tahoma" w:cs="Tahoma"/>
                            <w:color w:val="FFFFFF" w:themeColor="background1"/>
                            <w:sz w:val="20"/>
                            <w:szCs w:val="20"/>
                          </w:rPr>
                        </w:pPr>
                        <w:r w:rsidRPr="00563665">
                          <w:rPr>
                            <w:rFonts w:ascii="Tahoma" w:hAnsi="Tahoma" w:cs="Tahoma"/>
                            <w:color w:val="FFFFFF" w:themeColor="background1"/>
                            <w:sz w:val="20"/>
                            <w:szCs w:val="20"/>
                          </w:rPr>
                          <w:t>In addition reports from five national forums and eleven jurisdictional roundtables were received.</w:t>
                        </w:r>
                      </w:p>
                      <w:p w:rsidR="00F604C2" w:rsidRPr="0088524B" w:rsidRDefault="00F604C2" w:rsidP="00F604C2">
                        <w:pPr>
                          <w:pStyle w:val="Caption"/>
                          <w:numPr>
                            <w:ilvl w:val="0"/>
                            <w:numId w:val="2"/>
                          </w:numPr>
                          <w:spacing w:before="60"/>
                          <w:ind w:left="540" w:hanging="270"/>
                          <w:rPr>
                            <w:rFonts w:ascii="Tahoma" w:hAnsi="Tahoma" w:cs="Tahoma"/>
                            <w:color w:val="FFFFFF"/>
                            <w:sz w:val="20"/>
                            <w:szCs w:val="20"/>
                          </w:rPr>
                        </w:pPr>
                        <w:r w:rsidRPr="00563665">
                          <w:rPr>
                            <w:rFonts w:ascii="Tahoma" w:hAnsi="Tahoma" w:cs="Tahoma"/>
                            <w:color w:val="FFFFFF" w:themeColor="background1"/>
                            <w:sz w:val="20"/>
                            <w:szCs w:val="20"/>
                          </w:rPr>
                          <w:t xml:space="preserve">The submissions and reports have now been </w:t>
                        </w:r>
                        <w:proofErr w:type="spellStart"/>
                        <w:r w:rsidRPr="00563665">
                          <w:rPr>
                            <w:rFonts w:ascii="Tahoma" w:hAnsi="Tahoma" w:cs="Tahoma"/>
                            <w:color w:val="FFFFFF" w:themeColor="background1"/>
                            <w:sz w:val="20"/>
                            <w:szCs w:val="20"/>
                          </w:rPr>
                          <w:t>analysed</w:t>
                        </w:r>
                        <w:proofErr w:type="spellEnd"/>
                        <w:r w:rsidRPr="00563665">
                          <w:rPr>
                            <w:rFonts w:ascii="Tahoma" w:hAnsi="Tahoma" w:cs="Tahoma"/>
                            <w:color w:val="FFFFFF" w:themeColor="background1"/>
                            <w:sz w:val="20"/>
                            <w:szCs w:val="20"/>
                          </w:rPr>
                          <w:t xml:space="preserve"> and the following is a list of key issues rais</w:t>
                        </w:r>
                        <w:r w:rsidRPr="002C1F25">
                          <w:rPr>
                            <w:rFonts w:ascii="Tahoma" w:hAnsi="Tahoma" w:cs="Tahoma"/>
                            <w:color w:val="FFFFFF"/>
                            <w:sz w:val="20"/>
                            <w:szCs w:val="20"/>
                          </w:rPr>
                          <w:t xml:space="preserve">ed. </w:t>
                        </w:r>
                      </w:p>
                    </w:txbxContent>
                  </v:textbox>
                </v:rect>
                <w10:anchorlock/>
              </v:group>
            </w:pict>
          </mc:Fallback>
        </mc:AlternateContent>
      </w:r>
    </w:p>
    <w:p w:rsidR="00F604C2" w:rsidRDefault="00F604C2" w:rsidP="00F604C2">
      <w:pPr>
        <w:rPr>
          <w:rFonts w:ascii="Arial" w:hAnsi="Arial" w:cs="Arial"/>
          <w:b/>
          <w:sz w:val="22"/>
          <w:szCs w:val="22"/>
        </w:rPr>
        <w:sectPr w:rsidR="00F604C2" w:rsidSect="002062D6">
          <w:headerReference w:type="default" r:id="rId8"/>
          <w:footerReference w:type="default" r:id="rId9"/>
          <w:headerReference w:type="first" r:id="rId10"/>
          <w:footerReference w:type="first" r:id="rId11"/>
          <w:pgSz w:w="11920" w:h="16840"/>
          <w:pgMar w:top="920" w:right="760" w:bottom="920" w:left="1040" w:header="850" w:footer="565" w:gutter="0"/>
          <w:cols w:space="720"/>
          <w:titlePg/>
          <w:docGrid w:linePitch="326"/>
        </w:sectPr>
      </w:pPr>
    </w:p>
    <w:p w:rsidR="00F604C2" w:rsidRDefault="00F604C2" w:rsidP="00F604C2">
      <w:pPr>
        <w:spacing w:before="0"/>
        <w:jc w:val="center"/>
        <w:rPr>
          <w:rFonts w:ascii="Arial" w:hAnsi="Arial" w:cs="Arial"/>
          <w:b/>
          <w:sz w:val="22"/>
          <w:szCs w:val="22"/>
        </w:rPr>
      </w:pPr>
      <w:r w:rsidRPr="003C5F57">
        <w:rPr>
          <w:rFonts w:ascii="Arial" w:hAnsi="Arial" w:cs="Arial"/>
          <w:b/>
          <w:sz w:val="22"/>
          <w:szCs w:val="22"/>
        </w:rPr>
        <w:lastRenderedPageBreak/>
        <w:t>Analysis of Submissions</w:t>
      </w:r>
    </w:p>
    <w:p w:rsidR="00F604C2" w:rsidRPr="002C1F25" w:rsidRDefault="00F604C2" w:rsidP="00F604C2">
      <w:pPr>
        <w:pStyle w:val="Body"/>
        <w:spacing w:before="120" w:after="240"/>
        <w:ind w:left="-851" w:firstLine="851"/>
        <w:jc w:val="center"/>
        <w:rPr>
          <w:rFonts w:eastAsia="Times New Roman" w:cs="Arial"/>
          <w:b/>
          <w:color w:val="auto"/>
          <w:bdr w:val="none" w:sz="0" w:space="0" w:color="auto"/>
          <w:lang w:val="en-US" w:eastAsia="en-US"/>
        </w:rPr>
      </w:pPr>
      <w:r w:rsidRPr="002C1F25">
        <w:rPr>
          <w:rFonts w:eastAsia="Times New Roman" w:cs="Arial"/>
          <w:b/>
          <w:color w:val="auto"/>
          <w:bdr w:val="none" w:sz="0" w:space="0" w:color="auto"/>
          <w:lang w:val="en-US" w:eastAsia="en-US"/>
        </w:rPr>
        <w:t xml:space="preserve">Summary of issues </w:t>
      </w:r>
      <w:proofErr w:type="gramStart"/>
      <w:r w:rsidRPr="002C1F25">
        <w:rPr>
          <w:rFonts w:eastAsia="Times New Roman" w:cs="Arial"/>
          <w:b/>
          <w:color w:val="auto"/>
          <w:bdr w:val="none" w:sz="0" w:space="0" w:color="auto"/>
          <w:lang w:val="en-US" w:eastAsia="en-US"/>
        </w:rPr>
        <w:t>raised</w:t>
      </w:r>
      <w:proofErr w:type="gramEnd"/>
      <w:r w:rsidRPr="002C1F25">
        <w:rPr>
          <w:rFonts w:eastAsia="Times New Roman" w:cs="Arial"/>
          <w:b/>
          <w:color w:val="auto"/>
          <w:bdr w:val="none" w:sz="0" w:space="0" w:color="auto"/>
          <w:lang w:val="en-US" w:eastAsia="en-US"/>
        </w:rPr>
        <w:t xml:space="preserve"> during engagement</w:t>
      </w:r>
    </w:p>
    <w:tbl>
      <w:tblPr>
        <w:tblStyle w:val="TableGrid"/>
        <w:tblW w:w="4738" w:type="pct"/>
        <w:tblLayout w:type="fixed"/>
        <w:tblLook w:val="01E0" w:firstRow="1" w:lastRow="1" w:firstColumn="1" w:lastColumn="1" w:noHBand="0" w:noVBand="0"/>
        <w:tblCaption w:val="Analysis of Submissions"/>
      </w:tblPr>
      <w:tblGrid>
        <w:gridCol w:w="3527"/>
        <w:gridCol w:w="3152"/>
        <w:gridCol w:w="4409"/>
        <w:gridCol w:w="3331"/>
      </w:tblGrid>
      <w:tr w:rsidR="00F604C2" w:rsidRPr="00752E8B" w:rsidTr="00C56EC8">
        <w:trPr>
          <w:cantSplit/>
          <w:trHeight w:val="452"/>
          <w:tblHeader/>
        </w:trPr>
        <w:tc>
          <w:tcPr>
            <w:tcW w:w="1223" w:type="pct"/>
            <w:shd w:val="clear" w:color="auto" w:fill="C2D69B" w:themeFill="accent3" w:themeFillTint="99"/>
          </w:tcPr>
          <w:p w:rsidR="00F604C2" w:rsidRPr="00B17EDB" w:rsidRDefault="00F604C2" w:rsidP="00C56EC8">
            <w:pPr>
              <w:ind w:left="0"/>
              <w:rPr>
                <w:rFonts w:ascii="Arial" w:hAnsi="Arial" w:cs="Arial"/>
                <w:b/>
                <w:sz w:val="22"/>
                <w:szCs w:val="22"/>
              </w:rPr>
            </w:pPr>
            <w:r w:rsidRPr="00B17EDB">
              <w:rPr>
                <w:rFonts w:ascii="Arial" w:hAnsi="Arial" w:cs="Arial"/>
                <w:b/>
                <w:sz w:val="22"/>
                <w:szCs w:val="22"/>
              </w:rPr>
              <w:t>Submitter</w:t>
            </w:r>
          </w:p>
        </w:tc>
        <w:tc>
          <w:tcPr>
            <w:tcW w:w="1093" w:type="pct"/>
            <w:shd w:val="clear" w:color="auto" w:fill="C2D69B" w:themeFill="accent3" w:themeFillTint="99"/>
          </w:tcPr>
          <w:p w:rsidR="00F604C2" w:rsidRPr="00B17EDB" w:rsidRDefault="00F604C2" w:rsidP="00C56EC8">
            <w:pPr>
              <w:ind w:left="0" w:firstLine="17"/>
              <w:rPr>
                <w:rFonts w:ascii="Arial" w:hAnsi="Arial" w:cs="Arial"/>
                <w:b/>
                <w:sz w:val="22"/>
                <w:szCs w:val="22"/>
              </w:rPr>
            </w:pPr>
            <w:r w:rsidRPr="00B17EDB">
              <w:rPr>
                <w:rFonts w:ascii="Arial" w:hAnsi="Arial" w:cs="Arial"/>
                <w:b/>
                <w:sz w:val="22"/>
                <w:szCs w:val="22"/>
              </w:rPr>
              <w:t>Proposed activities</w:t>
            </w:r>
          </w:p>
          <w:p w:rsidR="00F604C2" w:rsidRPr="00B17EDB" w:rsidRDefault="00F604C2" w:rsidP="00C56EC8">
            <w:pPr>
              <w:rPr>
                <w:rFonts w:ascii="Arial" w:hAnsi="Arial" w:cs="Arial"/>
                <w:b/>
                <w:sz w:val="22"/>
                <w:szCs w:val="22"/>
              </w:rPr>
            </w:pPr>
          </w:p>
        </w:tc>
        <w:tc>
          <w:tcPr>
            <w:tcW w:w="1529" w:type="pct"/>
            <w:shd w:val="clear" w:color="auto" w:fill="C2D69B" w:themeFill="accent3" w:themeFillTint="99"/>
          </w:tcPr>
          <w:p w:rsidR="00F604C2" w:rsidRPr="00B17EDB" w:rsidRDefault="00F604C2" w:rsidP="00C56EC8">
            <w:pPr>
              <w:ind w:left="-16" w:firstLine="16"/>
              <w:rPr>
                <w:rFonts w:ascii="Arial" w:hAnsi="Arial" w:cs="Arial"/>
                <w:b/>
                <w:sz w:val="22"/>
                <w:szCs w:val="22"/>
              </w:rPr>
            </w:pPr>
            <w:r w:rsidRPr="00B17EDB">
              <w:rPr>
                <w:rFonts w:ascii="Arial" w:hAnsi="Arial" w:cs="Arial"/>
                <w:b/>
                <w:sz w:val="22"/>
                <w:szCs w:val="22"/>
              </w:rPr>
              <w:t>Additional activities to be included in the strategy</w:t>
            </w:r>
          </w:p>
        </w:tc>
        <w:tc>
          <w:tcPr>
            <w:tcW w:w="1155" w:type="pct"/>
            <w:shd w:val="clear" w:color="auto" w:fill="C2D69B" w:themeFill="accent3" w:themeFillTint="99"/>
          </w:tcPr>
          <w:p w:rsidR="00F604C2" w:rsidRPr="00B17EDB" w:rsidRDefault="00F604C2" w:rsidP="00C56EC8">
            <w:pPr>
              <w:ind w:left="-31" w:firstLine="31"/>
              <w:rPr>
                <w:rFonts w:ascii="Arial" w:hAnsi="Arial" w:cs="Arial"/>
                <w:b/>
                <w:sz w:val="22"/>
                <w:szCs w:val="22"/>
              </w:rPr>
            </w:pPr>
            <w:r w:rsidRPr="00B17EDB">
              <w:rPr>
                <w:rFonts w:ascii="Arial" w:hAnsi="Arial" w:cs="Arial"/>
                <w:b/>
                <w:sz w:val="22"/>
                <w:szCs w:val="22"/>
              </w:rPr>
              <w:t>How the evidence base could be strengthened</w:t>
            </w:r>
          </w:p>
        </w:tc>
      </w:tr>
      <w:tr w:rsidR="00F604C2" w:rsidRPr="00B17EDB" w:rsidTr="00C56EC8">
        <w:trPr>
          <w:cantSplit/>
        </w:trPr>
        <w:tc>
          <w:tcPr>
            <w:tcW w:w="1223" w:type="pct"/>
          </w:tcPr>
          <w:p w:rsidR="00F604C2" w:rsidRDefault="00F604C2" w:rsidP="00C56EC8">
            <w:pPr>
              <w:spacing w:before="60" w:after="60"/>
              <w:ind w:left="0" w:right="0"/>
              <w:rPr>
                <w:rFonts w:ascii="Arial" w:eastAsiaTheme="minorHAnsi" w:hAnsi="Arial" w:cs="Arial"/>
                <w:sz w:val="20"/>
                <w:szCs w:val="20"/>
                <w:lang w:val="en-GB"/>
              </w:rPr>
            </w:pPr>
            <w:r w:rsidRPr="00B17EDB">
              <w:rPr>
                <w:rFonts w:ascii="Arial" w:eastAsiaTheme="minorHAnsi" w:hAnsi="Arial" w:cs="Arial"/>
                <w:sz w:val="20"/>
                <w:szCs w:val="20"/>
                <w:lang w:val="en-GB"/>
              </w:rPr>
              <w:t xml:space="preserve">Food &amp; Beverage Importers Association </w:t>
            </w:r>
          </w:p>
          <w:p w:rsidR="00F604C2" w:rsidRPr="004D76B1" w:rsidRDefault="00F604C2" w:rsidP="00C56EC8">
            <w:pPr>
              <w:spacing w:before="60" w:after="60"/>
              <w:ind w:left="0" w:right="0"/>
              <w:rPr>
                <w:rFonts w:ascii="Arial" w:eastAsiaTheme="minorEastAsia" w:hAnsi="Arial" w:cs="Arial"/>
                <w:i/>
                <w:iCs/>
                <w:sz w:val="20"/>
                <w:szCs w:val="20"/>
                <w:lang w:val="en-GB"/>
              </w:rPr>
            </w:pPr>
            <w:r w:rsidRPr="3BDCE97C">
              <w:rPr>
                <w:rFonts w:ascii="Arial" w:eastAsiaTheme="minorEastAsia" w:hAnsi="Arial" w:cs="Arial"/>
                <w:i/>
                <w:iCs/>
                <w:sz w:val="20"/>
                <w:szCs w:val="20"/>
                <w:lang w:val="en-GB"/>
              </w:rPr>
              <w:t>(</w:t>
            </w:r>
            <w:r>
              <w:rPr>
                <w:rFonts w:ascii="Arial" w:eastAsiaTheme="minorEastAsia" w:hAnsi="Arial" w:cs="Arial"/>
                <w:i/>
                <w:iCs/>
                <w:sz w:val="20"/>
                <w:szCs w:val="20"/>
                <w:lang w:val="en-GB"/>
              </w:rPr>
              <w:t>N</w:t>
            </w:r>
            <w:r w:rsidRPr="3BDCE97C">
              <w:rPr>
                <w:rFonts w:ascii="Arial" w:eastAsiaTheme="minorEastAsia" w:hAnsi="Arial" w:cs="Arial"/>
                <w:i/>
                <w:iCs/>
                <w:sz w:val="20"/>
                <w:szCs w:val="20"/>
                <w:lang w:val="en-GB"/>
              </w:rPr>
              <w:t>ot-for-profit</w:t>
            </w:r>
            <w:r>
              <w:rPr>
                <w:rFonts w:ascii="Arial" w:eastAsiaTheme="minorEastAsia" w:hAnsi="Arial" w:cs="Arial"/>
                <w:i/>
                <w:iCs/>
                <w:sz w:val="20"/>
                <w:szCs w:val="20"/>
                <w:lang w:val="en-GB"/>
              </w:rPr>
              <w:t xml:space="preserve"> association</w:t>
            </w:r>
            <w:r w:rsidRPr="3BDCE97C">
              <w:rPr>
                <w:rFonts w:ascii="Arial" w:eastAsiaTheme="minorEastAsia" w:hAnsi="Arial" w:cs="Arial"/>
                <w:i/>
                <w:iCs/>
                <w:sz w:val="20"/>
                <w:szCs w:val="20"/>
                <w:lang w:val="en-GB"/>
              </w:rPr>
              <w:t xml:space="preserve"> )</w:t>
            </w:r>
          </w:p>
        </w:tc>
        <w:tc>
          <w:tcPr>
            <w:tcW w:w="1093" w:type="pct"/>
            <w:vMerge w:val="restart"/>
          </w:tcPr>
          <w:p w:rsidR="00F604C2" w:rsidRPr="00B17EDB" w:rsidRDefault="00F604C2" w:rsidP="00C56EC8">
            <w:pPr>
              <w:tabs>
                <w:tab w:val="left" w:pos="4283"/>
              </w:tabs>
              <w:spacing w:before="60" w:after="60"/>
              <w:ind w:left="0" w:right="0"/>
              <w:rPr>
                <w:rFonts w:ascii="Arial" w:hAnsi="Arial" w:cs="Arial"/>
                <w:sz w:val="20"/>
                <w:szCs w:val="20"/>
              </w:rPr>
            </w:pPr>
            <w:r w:rsidRPr="00B17EDB">
              <w:rPr>
                <w:rFonts w:ascii="Arial" w:hAnsi="Arial" w:cs="Arial"/>
                <w:sz w:val="20"/>
                <w:szCs w:val="20"/>
              </w:rPr>
              <w:t>Support the proposed actions</w:t>
            </w:r>
            <w:r>
              <w:rPr>
                <w:rFonts w:ascii="Arial" w:hAnsi="Arial" w:cs="Arial"/>
                <w:sz w:val="20"/>
                <w:szCs w:val="20"/>
              </w:rPr>
              <w:t>.</w:t>
            </w:r>
          </w:p>
        </w:tc>
        <w:tc>
          <w:tcPr>
            <w:tcW w:w="1529" w:type="pct"/>
            <w:vMerge w:val="restart"/>
          </w:tcPr>
          <w:p w:rsidR="00F604C2" w:rsidRPr="00B17EDB"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r w:rsidRPr="00B17EDB">
              <w:rPr>
                <w:rFonts w:ascii="Arial" w:eastAsiaTheme="minorHAnsi" w:hAnsi="Arial" w:cs="Arial"/>
                <w:sz w:val="20"/>
                <w:szCs w:val="20"/>
                <w:lang w:val="en-GB"/>
              </w:rPr>
              <w:t>Training and education of mid to low tier operators and food processors.</w:t>
            </w:r>
          </w:p>
          <w:p w:rsidR="00F604C2" w:rsidRPr="00B17EDB" w:rsidRDefault="00F604C2" w:rsidP="00C56EC8">
            <w:pPr>
              <w:tabs>
                <w:tab w:val="left" w:pos="4283"/>
              </w:tabs>
              <w:spacing w:before="60" w:after="60"/>
              <w:ind w:left="0" w:right="0"/>
              <w:rPr>
                <w:rFonts w:ascii="Arial" w:eastAsiaTheme="minorHAnsi" w:hAnsi="Arial" w:cs="Arial"/>
                <w:sz w:val="20"/>
                <w:szCs w:val="20"/>
                <w:lang w:val="en-GB"/>
              </w:rPr>
            </w:pPr>
            <w:r w:rsidRPr="00B17EDB">
              <w:rPr>
                <w:rFonts w:ascii="Arial" w:eastAsiaTheme="minorHAnsi" w:hAnsi="Arial" w:cs="Arial"/>
                <w:sz w:val="20"/>
                <w:szCs w:val="20"/>
                <w:lang w:val="en-GB"/>
              </w:rPr>
              <w:t>A dedicated and concerted effort to police small independent importers and retailers</w:t>
            </w:r>
            <w:r>
              <w:rPr>
                <w:rFonts w:ascii="Arial" w:eastAsiaTheme="minorHAnsi" w:hAnsi="Arial" w:cs="Arial"/>
                <w:sz w:val="20"/>
                <w:szCs w:val="20"/>
                <w:lang w:val="en-GB"/>
              </w:rPr>
              <w:t>.</w:t>
            </w:r>
          </w:p>
        </w:tc>
        <w:tc>
          <w:tcPr>
            <w:tcW w:w="1155" w:type="pct"/>
            <w:vMerge w:val="restart"/>
          </w:tcPr>
          <w:p w:rsidR="00F604C2" w:rsidRPr="3BDCE97C" w:rsidRDefault="00F604C2" w:rsidP="00C56EC8">
            <w:pPr>
              <w:tabs>
                <w:tab w:val="left" w:pos="4283"/>
              </w:tabs>
              <w:spacing w:before="60" w:after="60"/>
              <w:ind w:left="0" w:right="0"/>
              <w:rPr>
                <w:rFonts w:ascii="Arial" w:hAnsi="Arial" w:cs="Arial"/>
                <w:sz w:val="20"/>
                <w:szCs w:val="20"/>
              </w:rPr>
            </w:pPr>
            <w:r w:rsidRPr="3BDCE97C">
              <w:rPr>
                <w:rFonts w:ascii="Arial" w:hAnsi="Arial" w:cs="Arial"/>
                <w:sz w:val="20"/>
                <w:szCs w:val="20"/>
              </w:rPr>
              <w:t>Identified allergen and ingredient content of ethnic foods in small independent retailers should be looked at</w:t>
            </w:r>
            <w:r>
              <w:rPr>
                <w:rFonts w:ascii="Arial" w:hAnsi="Arial" w:cs="Arial"/>
                <w:sz w:val="20"/>
                <w:szCs w:val="20"/>
              </w:rPr>
              <w:t>.</w:t>
            </w:r>
          </w:p>
        </w:tc>
      </w:tr>
      <w:tr w:rsidR="00F604C2" w:rsidRPr="00B17EDB" w:rsidTr="00C56EC8">
        <w:trPr>
          <w:cantSplit/>
        </w:trPr>
        <w:tc>
          <w:tcPr>
            <w:tcW w:w="1223" w:type="pct"/>
          </w:tcPr>
          <w:p w:rsidR="00F604C2" w:rsidRDefault="00F604C2" w:rsidP="00C56EC8">
            <w:pPr>
              <w:spacing w:before="60" w:after="60"/>
              <w:ind w:left="0" w:right="0"/>
              <w:rPr>
                <w:rFonts w:ascii="Arial" w:hAnsi="Arial" w:cs="Arial"/>
                <w:sz w:val="20"/>
                <w:szCs w:val="20"/>
              </w:rPr>
            </w:pPr>
            <w:proofErr w:type="spellStart"/>
            <w:r w:rsidRPr="00B17EDB">
              <w:rPr>
                <w:rFonts w:ascii="Arial" w:hAnsi="Arial" w:cs="Arial"/>
                <w:sz w:val="20"/>
                <w:szCs w:val="20"/>
              </w:rPr>
              <w:t>Manassen</w:t>
            </w:r>
            <w:proofErr w:type="spellEnd"/>
            <w:r w:rsidRPr="00B17EDB">
              <w:rPr>
                <w:rFonts w:ascii="Arial" w:hAnsi="Arial" w:cs="Arial"/>
                <w:sz w:val="20"/>
                <w:szCs w:val="20"/>
              </w:rPr>
              <w:t xml:space="preserve"> Foods</w:t>
            </w:r>
          </w:p>
          <w:p w:rsidR="00F604C2" w:rsidRPr="00B17EDB" w:rsidRDefault="00F604C2" w:rsidP="00C56EC8">
            <w:pPr>
              <w:spacing w:before="60" w:after="60"/>
              <w:ind w:left="0" w:right="0"/>
              <w:rPr>
                <w:rFonts w:ascii="Arial" w:hAnsi="Arial" w:cs="Arial"/>
                <w:i/>
                <w:color w:val="FF0000"/>
                <w:sz w:val="20"/>
                <w:szCs w:val="20"/>
              </w:rPr>
            </w:pPr>
            <w:r>
              <w:rPr>
                <w:rFonts w:ascii="Arial" w:hAnsi="Arial" w:cs="Arial"/>
                <w:i/>
                <w:sz w:val="20"/>
                <w:szCs w:val="20"/>
              </w:rPr>
              <w:t>(F</w:t>
            </w:r>
            <w:r w:rsidRPr="00B17EDB">
              <w:rPr>
                <w:rFonts w:ascii="Arial" w:hAnsi="Arial" w:cs="Arial"/>
                <w:i/>
                <w:sz w:val="20"/>
                <w:szCs w:val="20"/>
              </w:rPr>
              <w:t>ood industry)</w:t>
            </w:r>
          </w:p>
        </w:tc>
        <w:tc>
          <w:tcPr>
            <w:tcW w:w="1093" w:type="pct"/>
            <w:vMerge/>
          </w:tcPr>
          <w:p w:rsidR="00F604C2" w:rsidRPr="00B17EDB" w:rsidRDefault="00F604C2" w:rsidP="00C56EC8">
            <w:pPr>
              <w:pStyle w:val="ListParagraph"/>
              <w:tabs>
                <w:tab w:val="left" w:pos="4283"/>
              </w:tabs>
              <w:spacing w:before="60" w:after="60"/>
              <w:ind w:left="469" w:right="0"/>
              <w:contextualSpacing w:val="0"/>
              <w:rPr>
                <w:rFonts w:ascii="Arial" w:hAnsi="Arial" w:cs="Arial"/>
                <w:sz w:val="20"/>
                <w:szCs w:val="20"/>
              </w:rPr>
            </w:pPr>
          </w:p>
        </w:tc>
        <w:tc>
          <w:tcPr>
            <w:tcW w:w="1529" w:type="pct"/>
            <w:vMerge/>
          </w:tcPr>
          <w:p w:rsidR="00F604C2" w:rsidRPr="00B17EDB" w:rsidRDefault="00F604C2" w:rsidP="00C56EC8">
            <w:pPr>
              <w:tabs>
                <w:tab w:val="left" w:pos="4283"/>
              </w:tabs>
              <w:spacing w:before="60" w:after="60"/>
              <w:ind w:left="0" w:right="0"/>
              <w:rPr>
                <w:rFonts w:ascii="Arial" w:hAnsi="Arial" w:cs="Arial"/>
                <w:sz w:val="20"/>
                <w:szCs w:val="20"/>
              </w:rPr>
            </w:pPr>
          </w:p>
        </w:tc>
        <w:tc>
          <w:tcPr>
            <w:tcW w:w="1155" w:type="pct"/>
            <w:vMerge/>
          </w:tcPr>
          <w:p w:rsidR="00F604C2" w:rsidRPr="00B17EDB" w:rsidRDefault="00F604C2" w:rsidP="00C56EC8">
            <w:pPr>
              <w:tabs>
                <w:tab w:val="left" w:pos="4283"/>
              </w:tabs>
              <w:spacing w:before="60" w:after="60"/>
              <w:ind w:left="0" w:right="0"/>
              <w:rPr>
                <w:rFonts w:ascii="Arial" w:eastAsiaTheme="minorEastAsia" w:hAnsi="Arial" w:cs="Arial"/>
                <w:i/>
                <w:iCs/>
                <w:sz w:val="20"/>
                <w:szCs w:val="20"/>
                <w:lang w:val="en-GB"/>
              </w:rPr>
            </w:pPr>
          </w:p>
        </w:tc>
      </w:tr>
      <w:tr w:rsidR="00F604C2" w:rsidRPr="00B17EDB" w:rsidTr="00C56EC8">
        <w:trPr>
          <w:cantSplit/>
        </w:trPr>
        <w:tc>
          <w:tcPr>
            <w:tcW w:w="1223" w:type="pct"/>
          </w:tcPr>
          <w:p w:rsidR="00F604C2" w:rsidRPr="00305BD7" w:rsidRDefault="00F604C2" w:rsidP="00C56EC8">
            <w:pPr>
              <w:spacing w:before="60" w:after="60"/>
              <w:ind w:left="0" w:right="0"/>
              <w:rPr>
                <w:rFonts w:ascii="Arial" w:hAnsi="Arial" w:cs="Arial"/>
                <w:sz w:val="20"/>
                <w:szCs w:val="20"/>
              </w:rPr>
            </w:pPr>
            <w:r>
              <w:rPr>
                <w:rFonts w:ascii="Arial" w:hAnsi="Arial" w:cs="Arial"/>
                <w:i/>
                <w:sz w:val="20"/>
                <w:szCs w:val="20"/>
              </w:rPr>
              <w:t>(Con</w:t>
            </w:r>
            <w:r w:rsidRPr="00B17EDB">
              <w:rPr>
                <w:rFonts w:ascii="Arial" w:hAnsi="Arial" w:cs="Arial"/>
                <w:i/>
                <w:sz w:val="20"/>
                <w:szCs w:val="20"/>
              </w:rPr>
              <w:t>sumer</w:t>
            </w:r>
            <w:r>
              <w:rPr>
                <w:rFonts w:ascii="Arial" w:hAnsi="Arial" w:cs="Arial"/>
                <w:i/>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Support improving food</w:t>
            </w:r>
            <w:r>
              <w:rPr>
                <w:rFonts w:ascii="Arial" w:hAnsi="Arial" w:cs="Arial"/>
                <w:sz w:val="20"/>
                <w:szCs w:val="20"/>
              </w:rPr>
              <w:t xml:space="preserve"> </w:t>
            </w:r>
            <w:r w:rsidRPr="00B17EDB">
              <w:rPr>
                <w:rFonts w:ascii="Arial" w:hAnsi="Arial" w:cs="Arial"/>
                <w:sz w:val="20"/>
                <w:szCs w:val="20"/>
              </w:rPr>
              <w:t>safety culture</w:t>
            </w:r>
            <w:r>
              <w:rPr>
                <w:rFonts w:ascii="Arial" w:hAnsi="Arial" w:cs="Arial"/>
                <w:sz w:val="20"/>
                <w:szCs w:val="20"/>
              </w:rPr>
              <w:t xml:space="preserve">. </w:t>
            </w:r>
            <w:r w:rsidRPr="00B17EDB">
              <w:rPr>
                <w:rFonts w:ascii="Arial" w:hAnsi="Arial" w:cs="Arial"/>
                <w:sz w:val="20"/>
                <w:szCs w:val="20"/>
              </w:rPr>
              <w:t>Need to focus on states’ inconsistency</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Suggest a national Food </w:t>
            </w:r>
            <w:r>
              <w:rPr>
                <w:rFonts w:ascii="Arial" w:hAnsi="Arial" w:cs="Arial"/>
                <w:sz w:val="20"/>
                <w:szCs w:val="20"/>
              </w:rPr>
              <w:t>A</w:t>
            </w:r>
            <w:r w:rsidRPr="00B17EDB">
              <w:rPr>
                <w:rFonts w:ascii="Arial" w:hAnsi="Arial" w:cs="Arial"/>
                <w:sz w:val="20"/>
                <w:szCs w:val="20"/>
              </w:rPr>
              <w:t>ct, requiring all businesses</w:t>
            </w:r>
            <w:r>
              <w:rPr>
                <w:rFonts w:ascii="Arial" w:hAnsi="Arial" w:cs="Arial"/>
                <w:sz w:val="20"/>
                <w:szCs w:val="20"/>
              </w:rPr>
              <w:t xml:space="preserve"> have a Hazard Analysis Critical Control Point (HACCP) system and better Environmental Health Officer (EHO)</w:t>
            </w:r>
            <w:r w:rsidRPr="00B17EDB">
              <w:rPr>
                <w:rFonts w:ascii="Arial" w:hAnsi="Arial" w:cs="Arial"/>
                <w:sz w:val="20"/>
                <w:szCs w:val="20"/>
              </w:rPr>
              <w:t xml:space="preserve"> training be included</w:t>
            </w:r>
            <w:r>
              <w:rPr>
                <w:rFonts w:ascii="Arial" w:hAnsi="Arial" w:cs="Arial"/>
                <w:sz w:val="20"/>
                <w:szCs w:val="20"/>
              </w:rPr>
              <w:t>.</w:t>
            </w:r>
          </w:p>
        </w:tc>
        <w:tc>
          <w:tcPr>
            <w:tcW w:w="1155" w:type="pct"/>
          </w:tcPr>
          <w:p w:rsidR="00F604C2" w:rsidRPr="00B17EDB" w:rsidRDefault="00F604C2" w:rsidP="00C56EC8">
            <w:pPr>
              <w:tabs>
                <w:tab w:val="left" w:pos="4283"/>
              </w:tabs>
              <w:spacing w:before="60" w:after="60"/>
              <w:ind w:left="0" w:right="0"/>
              <w:rPr>
                <w:rFonts w:ascii="Arial" w:hAnsi="Arial" w:cs="Arial"/>
                <w:sz w:val="20"/>
                <w:szCs w:val="20"/>
              </w:rPr>
            </w:pPr>
            <w:r w:rsidRPr="00B17EDB">
              <w:rPr>
                <w:rFonts w:ascii="Arial" w:hAnsi="Arial" w:cs="Arial"/>
                <w:sz w:val="20"/>
                <w:szCs w:val="20"/>
              </w:rPr>
              <w:t>Introduce real-time monitoring and surveillance of patients by GPs</w:t>
            </w:r>
            <w:r>
              <w:rPr>
                <w:rFonts w:ascii="Arial" w:hAnsi="Arial" w:cs="Arial"/>
                <w:sz w:val="20"/>
                <w:szCs w:val="20"/>
              </w:rPr>
              <w:t>.</w:t>
            </w:r>
          </w:p>
        </w:tc>
      </w:tr>
      <w:tr w:rsidR="00F604C2" w:rsidRPr="00B17EDB" w:rsidTr="00C56EC8">
        <w:trPr>
          <w:cantSplit/>
        </w:trPr>
        <w:tc>
          <w:tcPr>
            <w:tcW w:w="1223" w:type="pct"/>
          </w:tcPr>
          <w:p w:rsidR="00F604C2" w:rsidRDefault="00F604C2" w:rsidP="00C56EC8">
            <w:pPr>
              <w:spacing w:before="60" w:after="60"/>
              <w:ind w:left="0" w:right="0"/>
              <w:rPr>
                <w:rFonts w:ascii="Arial" w:eastAsiaTheme="minorEastAsia" w:hAnsi="Arial" w:cs="Arial"/>
                <w:sz w:val="20"/>
                <w:szCs w:val="20"/>
                <w:lang w:val="en-GB"/>
              </w:rPr>
            </w:pPr>
            <w:r w:rsidRPr="3BDCE97C">
              <w:rPr>
                <w:rFonts w:ascii="Arial" w:eastAsiaTheme="minorEastAsia" w:hAnsi="Arial" w:cs="Arial"/>
                <w:sz w:val="20"/>
                <w:szCs w:val="20"/>
                <w:lang w:val="en-GB"/>
              </w:rPr>
              <w:t>Stanley College</w:t>
            </w:r>
          </w:p>
          <w:p w:rsidR="00F604C2" w:rsidRPr="00B17EDB" w:rsidRDefault="00F604C2" w:rsidP="00C56EC8">
            <w:pPr>
              <w:spacing w:before="60" w:after="60"/>
              <w:ind w:left="0" w:right="0"/>
              <w:rPr>
                <w:rFonts w:ascii="Arial" w:hAnsi="Arial" w:cs="Arial"/>
                <w:sz w:val="20"/>
                <w:szCs w:val="20"/>
              </w:rPr>
            </w:pPr>
            <w:r>
              <w:rPr>
                <w:rFonts w:ascii="Arial" w:eastAsiaTheme="minorHAnsi" w:hAnsi="Arial" w:cs="Arial"/>
                <w:sz w:val="20"/>
                <w:szCs w:val="20"/>
                <w:lang w:val="en-GB"/>
              </w:rPr>
              <w:t>(</w:t>
            </w:r>
            <w:r w:rsidRPr="00B17EDB">
              <w:rPr>
                <w:rFonts w:ascii="Arial" w:eastAsiaTheme="minorHAnsi" w:hAnsi="Arial" w:cs="Arial"/>
                <w:i/>
                <w:sz w:val="20"/>
                <w:szCs w:val="20"/>
                <w:lang w:val="en-GB"/>
              </w:rPr>
              <w:t>Trainer)</w:t>
            </w:r>
          </w:p>
        </w:tc>
        <w:tc>
          <w:tcPr>
            <w:tcW w:w="1093" w:type="pct"/>
          </w:tcPr>
          <w:p w:rsidR="00F604C2" w:rsidRPr="00B17EDB" w:rsidRDefault="00F604C2" w:rsidP="00C56EC8">
            <w:pPr>
              <w:pStyle w:val="Default"/>
              <w:spacing w:before="60" w:after="60"/>
              <w:rPr>
                <w:rFonts w:ascii="Arial" w:hAnsi="Arial" w:cs="Arial"/>
                <w:sz w:val="20"/>
                <w:szCs w:val="20"/>
              </w:rPr>
            </w:pP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Suggest requiring all businesses to have food safety programs and nationally recognised training</w:t>
            </w:r>
            <w:r>
              <w:rPr>
                <w:rFonts w:ascii="Arial" w:hAnsi="Arial" w:cs="Arial"/>
                <w:sz w:val="20"/>
                <w:szCs w:val="20"/>
              </w:rPr>
              <w:t>.</w:t>
            </w:r>
          </w:p>
        </w:tc>
        <w:tc>
          <w:tcPr>
            <w:tcW w:w="1155" w:type="pct"/>
          </w:tcPr>
          <w:p w:rsidR="00F604C2" w:rsidRPr="00B17EDB" w:rsidRDefault="00F604C2" w:rsidP="00C56EC8">
            <w:pPr>
              <w:tabs>
                <w:tab w:val="left" w:pos="4283"/>
              </w:tabs>
              <w:spacing w:before="60" w:after="60"/>
              <w:ind w:left="0" w:right="0"/>
              <w:rPr>
                <w:rFonts w:ascii="Arial" w:hAnsi="Arial" w:cs="Arial"/>
                <w:sz w:val="20"/>
                <w:szCs w:val="20"/>
              </w:rPr>
            </w:pPr>
            <w:r w:rsidRPr="00B17EDB">
              <w:rPr>
                <w:rFonts w:ascii="Arial" w:hAnsi="Arial" w:cs="Arial"/>
                <w:sz w:val="20"/>
                <w:szCs w:val="20"/>
              </w:rPr>
              <w:t>More stringent guidelines, checks and reporting procedures by EHOs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r>
              <w:rPr>
                <w:rFonts w:ascii="Arial" w:hAnsi="Arial" w:cs="Arial"/>
                <w:sz w:val="20"/>
                <w:szCs w:val="20"/>
              </w:rPr>
              <w:t>(</w:t>
            </w:r>
            <w:r w:rsidRPr="00B17EDB">
              <w:rPr>
                <w:rFonts w:ascii="Arial" w:hAnsi="Arial" w:cs="Arial"/>
                <w:i/>
                <w:sz w:val="20"/>
                <w:szCs w:val="20"/>
              </w:rPr>
              <w:t>Consumer)</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Focus on consumer education and importance of hand hygiene</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Contamination of raw chicken meat should be monitored and reported</w:t>
            </w:r>
            <w:r>
              <w:rPr>
                <w:rFonts w:ascii="Arial" w:hAnsi="Arial" w:cs="Arial"/>
                <w:sz w:val="20"/>
                <w:szCs w:val="20"/>
              </w:rPr>
              <w:t>.</w:t>
            </w:r>
          </w:p>
        </w:tc>
        <w:tc>
          <w:tcPr>
            <w:tcW w:w="1155" w:type="pct"/>
          </w:tcPr>
          <w:p w:rsidR="00F604C2" w:rsidRPr="00B17EDB" w:rsidRDefault="00F604C2" w:rsidP="00C56EC8">
            <w:pPr>
              <w:tabs>
                <w:tab w:val="left" w:pos="4283"/>
              </w:tabs>
              <w:spacing w:before="60" w:after="60"/>
              <w:ind w:left="0" w:right="0"/>
              <w:rPr>
                <w:rFonts w:ascii="Arial" w:hAnsi="Arial" w:cs="Arial"/>
                <w:sz w:val="20"/>
                <w:szCs w:val="20"/>
              </w:rPr>
            </w:pP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r>
              <w:rPr>
                <w:rFonts w:ascii="Arial" w:hAnsi="Arial" w:cs="Arial"/>
                <w:sz w:val="20"/>
                <w:szCs w:val="20"/>
              </w:rPr>
              <w:t xml:space="preserve">Port Pirie Regional Council, </w:t>
            </w:r>
            <w:r w:rsidRPr="00B17EDB">
              <w:rPr>
                <w:rFonts w:ascii="Arial" w:hAnsi="Arial" w:cs="Arial"/>
                <w:sz w:val="20"/>
                <w:szCs w:val="20"/>
              </w:rPr>
              <w:t>SA</w:t>
            </w:r>
          </w:p>
          <w:p w:rsidR="00F604C2" w:rsidRPr="00B17EDB" w:rsidRDefault="00F604C2" w:rsidP="00C56EC8">
            <w:pPr>
              <w:spacing w:before="60" w:after="60"/>
              <w:ind w:left="0" w:right="0"/>
              <w:rPr>
                <w:rFonts w:ascii="Arial" w:hAnsi="Arial" w:cs="Arial"/>
                <w:i/>
                <w:sz w:val="20"/>
                <w:szCs w:val="20"/>
              </w:rPr>
            </w:pPr>
            <w:r w:rsidRPr="00B17EDB">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 proposed activities but need national </w:t>
            </w:r>
            <w:r>
              <w:rPr>
                <w:rFonts w:ascii="Arial" w:hAnsi="Arial" w:cs="Arial"/>
                <w:sz w:val="20"/>
                <w:szCs w:val="20"/>
              </w:rPr>
              <w:t>F</w:t>
            </w:r>
            <w:r w:rsidRPr="00B17EDB">
              <w:rPr>
                <w:rFonts w:ascii="Arial" w:hAnsi="Arial" w:cs="Arial"/>
                <w:sz w:val="20"/>
                <w:szCs w:val="20"/>
              </w:rPr>
              <w:t xml:space="preserve">ood </w:t>
            </w:r>
            <w:r>
              <w:rPr>
                <w:rFonts w:ascii="Arial" w:hAnsi="Arial" w:cs="Arial"/>
                <w:sz w:val="20"/>
                <w:szCs w:val="20"/>
              </w:rPr>
              <w:t>A</w:t>
            </w:r>
            <w:r w:rsidRPr="00B17EDB">
              <w:rPr>
                <w:rFonts w:ascii="Arial" w:hAnsi="Arial" w:cs="Arial"/>
                <w:sz w:val="20"/>
                <w:szCs w:val="20"/>
              </w:rPr>
              <w:t>ct</w:t>
            </w:r>
            <w:r>
              <w:rPr>
                <w:rFonts w:ascii="Arial" w:hAnsi="Arial" w:cs="Arial"/>
                <w:sz w:val="20"/>
                <w:szCs w:val="20"/>
              </w:rPr>
              <w:t>.</w:t>
            </w:r>
          </w:p>
        </w:tc>
        <w:tc>
          <w:tcPr>
            <w:tcW w:w="1529" w:type="pct"/>
          </w:tcPr>
          <w:p w:rsidR="00F604C2" w:rsidRPr="00563665" w:rsidRDefault="00F604C2" w:rsidP="00C56EC8">
            <w:pPr>
              <w:pStyle w:val="Default"/>
              <w:spacing w:before="60" w:after="60"/>
              <w:rPr>
                <w:rFonts w:ascii="Arial" w:hAnsi="Arial" w:cs="Arial"/>
                <w:sz w:val="20"/>
                <w:szCs w:val="20"/>
              </w:rPr>
            </w:pPr>
            <w:r w:rsidRPr="00563665">
              <w:rPr>
                <w:rFonts w:ascii="Arial" w:hAnsi="Arial" w:cs="Arial"/>
                <w:sz w:val="20"/>
                <w:szCs w:val="20"/>
              </w:rPr>
              <w:t>Initiative that results in an accredited and mandatory National Safe Food Production/Handling education program.</w:t>
            </w:r>
          </w:p>
        </w:tc>
        <w:tc>
          <w:tcPr>
            <w:tcW w:w="1155" w:type="pct"/>
          </w:tcPr>
          <w:p w:rsidR="00F604C2" w:rsidRPr="00095BB6" w:rsidRDefault="00F604C2" w:rsidP="00C56EC8">
            <w:pPr>
              <w:tabs>
                <w:tab w:val="left" w:pos="4283"/>
              </w:tabs>
              <w:spacing w:before="60" w:after="60"/>
              <w:ind w:left="0" w:right="0"/>
              <w:rPr>
                <w:rFonts w:ascii="Arial" w:hAnsi="Arial" w:cs="Arial"/>
                <w:sz w:val="20"/>
                <w:szCs w:val="20"/>
              </w:rPr>
            </w:pPr>
            <w:r w:rsidRPr="00095BB6">
              <w:rPr>
                <w:rFonts w:ascii="Arial" w:hAnsi="Arial" w:cs="Arial"/>
                <w:sz w:val="20"/>
                <w:szCs w:val="20"/>
              </w:rPr>
              <w:t>Support measures in Table 1</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r w:rsidRPr="00B17EDB">
              <w:rPr>
                <w:rFonts w:ascii="Arial" w:hAnsi="Arial" w:cs="Arial"/>
                <w:sz w:val="20"/>
                <w:szCs w:val="20"/>
              </w:rPr>
              <w:t>AUSVEG</w:t>
            </w:r>
          </w:p>
          <w:p w:rsidR="00F604C2" w:rsidRPr="00095BB6" w:rsidRDefault="00F604C2" w:rsidP="00C56EC8">
            <w:pPr>
              <w:spacing w:before="60" w:after="60"/>
              <w:ind w:left="0" w:right="0"/>
              <w:rPr>
                <w:rFonts w:ascii="Arial" w:hAnsi="Arial" w:cs="Arial"/>
                <w:i/>
                <w:sz w:val="20"/>
                <w:szCs w:val="20"/>
              </w:rPr>
            </w:pPr>
            <w:r w:rsidRPr="00095BB6">
              <w:rPr>
                <w:rFonts w:ascii="Arial" w:hAnsi="Arial" w:cs="Arial"/>
                <w:i/>
                <w:sz w:val="20"/>
                <w:szCs w:val="20"/>
              </w:rPr>
              <w:t>(Peak industry body)</w:t>
            </w:r>
          </w:p>
        </w:tc>
        <w:tc>
          <w:tcPr>
            <w:tcW w:w="1093" w:type="pct"/>
          </w:tcPr>
          <w:p w:rsidR="00F604C2" w:rsidRPr="00B17EDB" w:rsidRDefault="00F604C2" w:rsidP="00C56EC8">
            <w:pPr>
              <w:widowControl/>
              <w:autoSpaceDE w:val="0"/>
              <w:autoSpaceDN w:val="0"/>
              <w:adjustRightInd w:val="0"/>
              <w:spacing w:before="60"/>
              <w:ind w:left="0" w:right="0"/>
              <w:rPr>
                <w:rFonts w:ascii="Arial" w:hAnsi="Arial" w:cs="Arial"/>
                <w:sz w:val="20"/>
                <w:szCs w:val="20"/>
              </w:rPr>
            </w:pPr>
            <w:r>
              <w:rPr>
                <w:rFonts w:ascii="Arial" w:eastAsiaTheme="minorHAnsi" w:hAnsi="Arial" w:cs="Arial"/>
                <w:sz w:val="20"/>
                <w:szCs w:val="20"/>
                <w:lang w:val="en-GB"/>
              </w:rPr>
              <w:t xml:space="preserve">Support actions however should </w:t>
            </w:r>
            <w:r w:rsidRPr="00B17EDB">
              <w:rPr>
                <w:rFonts w:ascii="Arial" w:eastAsiaTheme="minorHAnsi" w:hAnsi="Arial" w:cs="Arial"/>
                <w:sz w:val="20"/>
                <w:szCs w:val="20"/>
                <w:lang w:val="en-GB"/>
              </w:rPr>
              <w:t>establish commodity specific food safety experts, so that</w:t>
            </w:r>
            <w:r>
              <w:rPr>
                <w:rFonts w:ascii="Arial" w:eastAsiaTheme="minorHAnsi" w:hAnsi="Arial" w:cs="Arial"/>
                <w:sz w:val="20"/>
                <w:szCs w:val="20"/>
                <w:lang w:val="en-GB"/>
              </w:rPr>
              <w:t xml:space="preserve"> </w:t>
            </w:r>
            <w:r w:rsidRPr="00B17EDB">
              <w:rPr>
                <w:rFonts w:ascii="Arial" w:hAnsi="Arial" w:cs="Arial"/>
                <w:sz w:val="20"/>
                <w:szCs w:val="20"/>
              </w:rPr>
              <w:t>there is a central, definitive voice</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I</w:t>
            </w:r>
            <w:r w:rsidRPr="00B17EDB">
              <w:rPr>
                <w:rFonts w:ascii="Arial" w:hAnsi="Arial" w:cs="Arial"/>
                <w:sz w:val="20"/>
                <w:szCs w:val="20"/>
              </w:rPr>
              <w:t>ncorporate industry information into future activities</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Industry collaborations</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Develop a resource hub</w:t>
            </w:r>
            <w:r>
              <w:rPr>
                <w:rFonts w:ascii="Arial" w:hAnsi="Arial" w:cs="Arial"/>
                <w:sz w:val="20"/>
                <w:szCs w:val="20"/>
              </w:rPr>
              <w:t>.</w:t>
            </w:r>
          </w:p>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t>Engagement with extension networks</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095BB6">
              <w:rPr>
                <w:rFonts w:ascii="Arial" w:hAnsi="Arial" w:cs="Arial"/>
                <w:sz w:val="20"/>
                <w:szCs w:val="20"/>
              </w:rPr>
              <w:t xml:space="preserve">Use industry research, and incorporate into industry food safety programs such as </w:t>
            </w:r>
            <w:proofErr w:type="spellStart"/>
            <w:r w:rsidRPr="00095BB6">
              <w:rPr>
                <w:rFonts w:ascii="Arial" w:hAnsi="Arial" w:cs="Arial"/>
                <w:sz w:val="20"/>
                <w:szCs w:val="20"/>
              </w:rPr>
              <w:t>Freshcare</w:t>
            </w:r>
            <w:proofErr w:type="spellEnd"/>
            <w:r w:rsidRPr="00095BB6">
              <w:rPr>
                <w:rFonts w:ascii="Arial" w:hAnsi="Arial" w:cs="Arial"/>
                <w:sz w:val="20"/>
                <w:szCs w:val="20"/>
              </w:rPr>
              <w:t xml:space="preserve"> FSQ</w:t>
            </w:r>
            <w:r>
              <w:rPr>
                <w:rFonts w:ascii="Arial" w:hAnsi="Arial" w:cs="Arial"/>
                <w:sz w:val="20"/>
                <w:szCs w:val="20"/>
              </w:rPr>
              <w:t>.</w:t>
            </w:r>
          </w:p>
        </w:tc>
        <w:tc>
          <w:tcPr>
            <w:tcW w:w="1155"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r w:rsidRPr="00B17EDB">
              <w:rPr>
                <w:rFonts w:ascii="Arial" w:eastAsiaTheme="minorHAnsi" w:hAnsi="Arial" w:cs="Arial"/>
                <w:sz w:val="20"/>
                <w:szCs w:val="20"/>
                <w:lang w:val="en-GB"/>
              </w:rPr>
              <w:t>Makes sure evidence is based in Australian conditions, not adapted from overseas.</w:t>
            </w:r>
          </w:p>
          <w:p w:rsidR="00F604C2" w:rsidRPr="00B17EDB"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r w:rsidRPr="00B17EDB">
              <w:rPr>
                <w:rFonts w:ascii="Arial" w:eastAsiaTheme="minorHAnsi" w:hAnsi="Arial" w:cs="Arial"/>
                <w:sz w:val="20"/>
                <w:szCs w:val="20"/>
                <w:lang w:val="en-GB"/>
              </w:rPr>
              <w:t>Gather data from current implementation methods on-farm.</w:t>
            </w:r>
          </w:p>
          <w:p w:rsidR="00F604C2" w:rsidRPr="00095BB6"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eastAsiaTheme="minorHAnsi" w:hAnsi="Arial" w:cs="Arial"/>
                <w:sz w:val="20"/>
                <w:szCs w:val="20"/>
                <w:lang w:val="en-GB"/>
              </w:rPr>
              <w:t>Explore ways to enable anonymous reporting of food safety issues.</w:t>
            </w: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r w:rsidRPr="00B17EDB">
              <w:rPr>
                <w:rFonts w:ascii="Arial" w:hAnsi="Arial" w:cs="Arial"/>
                <w:sz w:val="20"/>
                <w:szCs w:val="20"/>
              </w:rPr>
              <w:lastRenderedPageBreak/>
              <w:t>Australian Eggs</w:t>
            </w:r>
          </w:p>
          <w:p w:rsidR="00F604C2" w:rsidRPr="00B17EDB" w:rsidRDefault="00F604C2" w:rsidP="00C56EC8">
            <w:pPr>
              <w:spacing w:before="60" w:after="60"/>
              <w:ind w:left="0" w:right="0"/>
              <w:rPr>
                <w:rFonts w:ascii="Arial" w:hAnsi="Arial" w:cs="Arial"/>
                <w:sz w:val="20"/>
                <w:szCs w:val="20"/>
              </w:rPr>
            </w:pPr>
            <w:r>
              <w:rPr>
                <w:rFonts w:ascii="Arial" w:hAnsi="Arial" w:cs="Arial"/>
                <w:sz w:val="20"/>
                <w:szCs w:val="20"/>
              </w:rPr>
              <w:t>(</w:t>
            </w:r>
            <w:r w:rsidRPr="00095BB6">
              <w:rPr>
                <w:rFonts w:ascii="Arial" w:hAnsi="Arial" w:cs="Arial"/>
                <w:i/>
                <w:sz w:val="20"/>
                <w:szCs w:val="20"/>
              </w:rPr>
              <w:t>Industry service provider)</w:t>
            </w:r>
          </w:p>
        </w:tc>
        <w:tc>
          <w:tcPr>
            <w:tcW w:w="1093"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E</w:t>
            </w:r>
            <w:r w:rsidRPr="00B17EDB">
              <w:rPr>
                <w:rFonts w:ascii="Arial" w:hAnsi="Arial" w:cs="Arial"/>
                <w:sz w:val="20"/>
                <w:szCs w:val="20"/>
              </w:rPr>
              <w:t>ducation throughout the supply chain as indicated in the proposed mid to long</w:t>
            </w:r>
            <w:r>
              <w:rPr>
                <w:rFonts w:ascii="Arial" w:hAnsi="Arial" w:cs="Arial"/>
                <w:sz w:val="20"/>
                <w:szCs w:val="20"/>
              </w:rPr>
              <w:t>-</w:t>
            </w:r>
            <w:r w:rsidRPr="00B17EDB">
              <w:rPr>
                <w:rFonts w:ascii="Arial" w:hAnsi="Arial" w:cs="Arial"/>
                <w:sz w:val="20"/>
                <w:szCs w:val="20"/>
              </w:rPr>
              <w:t>term action is crucial</w:t>
            </w:r>
            <w:r>
              <w:rPr>
                <w:rFonts w:ascii="Arial" w:hAnsi="Arial" w:cs="Arial"/>
                <w:sz w:val="20"/>
                <w:szCs w:val="20"/>
              </w:rPr>
              <w:t>.</w:t>
            </w:r>
            <w:r w:rsidRPr="00B17EDB">
              <w:rPr>
                <w:rFonts w:ascii="Arial" w:hAnsi="Arial" w:cs="Arial"/>
                <w:sz w:val="20"/>
                <w:szCs w:val="20"/>
              </w:rPr>
              <w:t xml:space="preserve"> </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A co-regulatory approach to the industry </w:t>
            </w:r>
            <w:r>
              <w:rPr>
                <w:rFonts w:ascii="Arial" w:hAnsi="Arial" w:cs="Arial"/>
                <w:sz w:val="20"/>
                <w:szCs w:val="20"/>
              </w:rPr>
              <w:t>Quality Assurance (</w:t>
            </w:r>
            <w:r w:rsidRPr="00B17EDB">
              <w:rPr>
                <w:rFonts w:ascii="Arial" w:hAnsi="Arial" w:cs="Arial"/>
                <w:sz w:val="20"/>
                <w:szCs w:val="20"/>
              </w:rPr>
              <w:t>QA</w:t>
            </w:r>
            <w:r>
              <w:rPr>
                <w:rFonts w:ascii="Arial" w:hAnsi="Arial" w:cs="Arial"/>
                <w:sz w:val="20"/>
                <w:szCs w:val="20"/>
              </w:rPr>
              <w:t>)</w:t>
            </w:r>
            <w:r w:rsidRPr="00B17EDB">
              <w:rPr>
                <w:rFonts w:ascii="Arial" w:hAnsi="Arial" w:cs="Arial"/>
                <w:sz w:val="20"/>
                <w:szCs w:val="20"/>
              </w:rPr>
              <w:t xml:space="preserve"> program</w:t>
            </w:r>
            <w:r>
              <w:rPr>
                <w:rFonts w:ascii="Arial" w:hAnsi="Arial" w:cs="Arial"/>
                <w:sz w:val="20"/>
                <w:szCs w:val="20"/>
              </w:rPr>
              <w:t>.</w:t>
            </w:r>
          </w:p>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eastAsiaTheme="minorHAnsi" w:hAnsi="Arial" w:cs="Arial"/>
                <w:sz w:val="20"/>
                <w:szCs w:val="20"/>
                <w:lang w:val="en-GB"/>
              </w:rPr>
              <w:t>Better training and support for EHOs to better recognise the food safety risk in restaurants, cafes</w:t>
            </w:r>
            <w:r>
              <w:rPr>
                <w:rFonts w:ascii="Arial" w:eastAsiaTheme="minorHAnsi" w:hAnsi="Arial" w:cs="Arial"/>
                <w:sz w:val="20"/>
                <w:szCs w:val="20"/>
                <w:lang w:val="en-GB"/>
              </w:rPr>
              <w:t xml:space="preserve"> </w:t>
            </w:r>
            <w:r w:rsidRPr="00B17EDB">
              <w:rPr>
                <w:rFonts w:ascii="Arial" w:hAnsi="Arial" w:cs="Arial"/>
                <w:sz w:val="20"/>
                <w:szCs w:val="20"/>
              </w:rPr>
              <w:t>and catering</w:t>
            </w:r>
            <w:r>
              <w:rPr>
                <w:rFonts w:ascii="Arial" w:hAnsi="Arial" w:cs="Arial"/>
                <w:sz w:val="20"/>
                <w:szCs w:val="20"/>
              </w:rPr>
              <w:t>.</w:t>
            </w:r>
          </w:p>
        </w:tc>
        <w:tc>
          <w:tcPr>
            <w:tcW w:w="1155" w:type="pct"/>
          </w:tcPr>
          <w:p w:rsidR="00F604C2" w:rsidRPr="00095BB6" w:rsidRDefault="00F604C2" w:rsidP="00C56EC8">
            <w:pPr>
              <w:tabs>
                <w:tab w:val="left" w:pos="4283"/>
              </w:tabs>
              <w:spacing w:before="60" w:after="60"/>
              <w:ind w:left="0" w:right="0"/>
              <w:rPr>
                <w:rFonts w:ascii="Arial" w:hAnsi="Arial" w:cs="Arial"/>
                <w:sz w:val="20"/>
                <w:szCs w:val="20"/>
              </w:rPr>
            </w:pPr>
            <w:r w:rsidRPr="00095BB6">
              <w:rPr>
                <w:rFonts w:ascii="Arial" w:hAnsi="Arial" w:cs="Arial"/>
                <w:sz w:val="20"/>
                <w:szCs w:val="20"/>
              </w:rPr>
              <w:t>Regulators should not be swabbing farms but promote farmers do this and implement appropriate actions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proofErr w:type="spellStart"/>
            <w:r w:rsidRPr="00B17EDB">
              <w:rPr>
                <w:rFonts w:ascii="Arial" w:hAnsi="Arial" w:cs="Arial"/>
                <w:sz w:val="20"/>
                <w:szCs w:val="20"/>
              </w:rPr>
              <w:t>Rawganix</w:t>
            </w:r>
            <w:proofErr w:type="spellEnd"/>
            <w:r w:rsidRPr="00B17EDB">
              <w:rPr>
                <w:rFonts w:ascii="Arial" w:hAnsi="Arial" w:cs="Arial"/>
                <w:sz w:val="20"/>
                <w:szCs w:val="20"/>
              </w:rPr>
              <w:t xml:space="preserve"> Farm</w:t>
            </w:r>
          </w:p>
          <w:p w:rsidR="00F604C2" w:rsidRPr="00B17EDB" w:rsidRDefault="00F604C2" w:rsidP="00C56EC8">
            <w:pPr>
              <w:spacing w:before="60" w:after="60"/>
              <w:ind w:left="0" w:right="0"/>
              <w:rPr>
                <w:rFonts w:ascii="Arial" w:hAnsi="Arial" w:cs="Arial"/>
                <w:sz w:val="20"/>
                <w:szCs w:val="20"/>
              </w:rPr>
            </w:pPr>
            <w:r>
              <w:rPr>
                <w:rFonts w:ascii="Arial" w:hAnsi="Arial" w:cs="Arial"/>
                <w:sz w:val="20"/>
                <w:szCs w:val="20"/>
              </w:rPr>
              <w:t>(</w:t>
            </w:r>
            <w:r w:rsidRPr="00095BB6">
              <w:rPr>
                <w:rFonts w:ascii="Arial" w:hAnsi="Arial" w:cs="Arial"/>
                <w:i/>
                <w:sz w:val="20"/>
                <w:szCs w:val="20"/>
              </w:rPr>
              <w:t>Food industry</w:t>
            </w:r>
            <w:r>
              <w:rPr>
                <w:rFonts w:ascii="Arial" w:hAnsi="Arial" w:cs="Arial"/>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Suggest investigating current methods which give good outcomes</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Review and evaluate best practice methods</w:t>
            </w:r>
            <w:r>
              <w:rPr>
                <w:rFonts w:ascii="Arial" w:hAnsi="Arial" w:cs="Arial"/>
                <w:sz w:val="20"/>
                <w:szCs w:val="20"/>
              </w:rPr>
              <w:t>.</w:t>
            </w:r>
          </w:p>
        </w:tc>
        <w:tc>
          <w:tcPr>
            <w:tcW w:w="1155" w:type="pct"/>
          </w:tcPr>
          <w:p w:rsidR="00F604C2" w:rsidRPr="00B17EDB" w:rsidRDefault="00F604C2" w:rsidP="00C56EC8">
            <w:pPr>
              <w:tabs>
                <w:tab w:val="left" w:pos="4283"/>
              </w:tabs>
              <w:spacing w:before="60" w:after="60"/>
              <w:ind w:left="0" w:right="0"/>
              <w:rPr>
                <w:rFonts w:ascii="Arial" w:hAnsi="Arial" w:cs="Arial"/>
                <w:sz w:val="20"/>
                <w:szCs w:val="20"/>
              </w:rPr>
            </w:pPr>
            <w:r w:rsidRPr="00B17EDB">
              <w:rPr>
                <w:rFonts w:ascii="Arial" w:hAnsi="Arial" w:cs="Arial"/>
                <w:sz w:val="20"/>
                <w:szCs w:val="20"/>
              </w:rPr>
              <w:t>Look at businesses with best outcomes and see how that is achieved</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tabs>
                <w:tab w:val="left" w:pos="3403"/>
              </w:tabs>
              <w:spacing w:before="60" w:after="60"/>
              <w:ind w:left="0" w:right="73"/>
              <w:rPr>
                <w:rFonts w:ascii="Arial" w:hAnsi="Arial" w:cs="Arial"/>
                <w:sz w:val="20"/>
                <w:szCs w:val="20"/>
              </w:rPr>
            </w:pPr>
            <w:r w:rsidRPr="00B17EDB">
              <w:rPr>
                <w:rFonts w:ascii="Arial" w:hAnsi="Arial" w:cs="Arial"/>
                <w:sz w:val="20"/>
                <w:szCs w:val="20"/>
              </w:rPr>
              <w:t xml:space="preserve">Tablelands Regional Council, </w:t>
            </w:r>
            <w:proofErr w:type="spellStart"/>
            <w:r>
              <w:rPr>
                <w:rFonts w:ascii="Arial" w:hAnsi="Arial" w:cs="Arial"/>
                <w:sz w:val="20"/>
                <w:szCs w:val="20"/>
              </w:rPr>
              <w:t>Q</w:t>
            </w:r>
            <w:r w:rsidRPr="00B17EDB">
              <w:rPr>
                <w:rFonts w:ascii="Arial" w:hAnsi="Arial" w:cs="Arial"/>
                <w:sz w:val="20"/>
                <w:szCs w:val="20"/>
              </w:rPr>
              <w:t>ld</w:t>
            </w:r>
            <w:proofErr w:type="spellEnd"/>
          </w:p>
          <w:p w:rsidR="00F604C2" w:rsidRPr="00B17EDB" w:rsidRDefault="00F604C2" w:rsidP="00C56EC8">
            <w:pPr>
              <w:spacing w:before="60" w:after="60"/>
              <w:ind w:left="0"/>
              <w:rPr>
                <w:rFonts w:ascii="Arial" w:hAnsi="Arial" w:cs="Arial"/>
                <w:sz w:val="20"/>
                <w:szCs w:val="20"/>
              </w:rPr>
            </w:pPr>
            <w:r>
              <w:rPr>
                <w:rFonts w:ascii="Arial" w:hAnsi="Arial" w:cs="Arial"/>
                <w:sz w:val="20"/>
                <w:szCs w:val="20"/>
              </w:rPr>
              <w:t>(</w:t>
            </w:r>
            <w:r w:rsidRPr="00095BB6">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Strategy is proactive but lacks clarity on required resources and resourcing.</w:t>
            </w:r>
          </w:p>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Suggests a broader focus may be required </w:t>
            </w:r>
            <w:r>
              <w:rPr>
                <w:rFonts w:ascii="Arial" w:hAnsi="Arial" w:cs="Arial"/>
                <w:sz w:val="20"/>
                <w:szCs w:val="20"/>
              </w:rPr>
              <w:t>(more foods).</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Legislation may be needed to support information sharing.</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I</w:t>
            </w:r>
            <w:r w:rsidRPr="00B17EDB">
              <w:rPr>
                <w:rFonts w:ascii="Arial" w:eastAsiaTheme="minorHAnsi" w:hAnsi="Arial" w:cs="Arial"/>
                <w:color w:val="000000"/>
                <w:sz w:val="20"/>
                <w:szCs w:val="20"/>
                <w:lang w:val="en-GB"/>
              </w:rPr>
              <w:t>nsert measures to</w:t>
            </w:r>
            <w:r>
              <w:rPr>
                <w:rFonts w:ascii="Arial" w:eastAsiaTheme="minorHAnsi" w:hAnsi="Arial" w:cs="Arial"/>
                <w:color w:val="000000"/>
                <w:sz w:val="20"/>
                <w:szCs w:val="20"/>
                <w:lang w:val="en-GB"/>
              </w:rPr>
              <w:t xml:space="preserve"> reduce illness </w:t>
            </w:r>
            <w:r w:rsidRPr="00B17EDB">
              <w:rPr>
                <w:rFonts w:ascii="Arial" w:eastAsiaTheme="minorHAnsi" w:hAnsi="Arial" w:cs="Arial"/>
                <w:color w:val="000000"/>
                <w:sz w:val="20"/>
                <w:szCs w:val="20"/>
                <w:lang w:val="en-GB"/>
              </w:rPr>
              <w:t>no</w:t>
            </w:r>
            <w:r>
              <w:rPr>
                <w:rFonts w:ascii="Arial" w:eastAsiaTheme="minorHAnsi" w:hAnsi="Arial" w:cs="Arial"/>
                <w:color w:val="000000"/>
                <w:sz w:val="20"/>
                <w:szCs w:val="20"/>
                <w:lang w:val="en-GB"/>
              </w:rPr>
              <w:t xml:space="preserve">t </w:t>
            </w:r>
            <w:r w:rsidRPr="00B17EDB">
              <w:rPr>
                <w:rFonts w:ascii="Arial" w:eastAsiaTheme="minorHAnsi" w:hAnsi="Arial" w:cs="Arial"/>
                <w:color w:val="000000"/>
                <w:sz w:val="20"/>
                <w:szCs w:val="20"/>
                <w:lang w:val="en-GB"/>
              </w:rPr>
              <w:t>industry codes of practice e.g. regular testing and maximum limits of pathogens, supported by regular monitoring programs</w:t>
            </w:r>
            <w:r>
              <w:rPr>
                <w:rFonts w:ascii="Arial" w:eastAsiaTheme="minorHAnsi" w:hAnsi="Arial" w:cs="Arial"/>
                <w:color w:val="000000"/>
                <w:sz w:val="20"/>
                <w:szCs w:val="20"/>
                <w:lang w:val="en-GB"/>
              </w:rPr>
              <w:t>.</w:t>
            </w:r>
          </w:p>
        </w:tc>
        <w:tc>
          <w:tcPr>
            <w:tcW w:w="1155"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Ensure that data collected is processed and circulated in a timely manner</w:t>
            </w:r>
            <w:r>
              <w:rPr>
                <w:rFonts w:ascii="Arial" w:hAnsi="Arial" w:cs="Arial"/>
                <w:sz w:val="20"/>
                <w:szCs w:val="20"/>
              </w:rPr>
              <w:t>.</w:t>
            </w:r>
            <w:r w:rsidRPr="00B17EDB">
              <w:rPr>
                <w:rFonts w:ascii="Arial" w:hAnsi="Arial" w:cs="Arial"/>
                <w:sz w:val="20"/>
                <w:szCs w:val="20"/>
              </w:rPr>
              <w:t xml:space="preserve"> </w:t>
            </w:r>
          </w:p>
          <w:p w:rsidR="00F604C2" w:rsidRPr="00C415DE" w:rsidRDefault="00F604C2" w:rsidP="00C56EC8">
            <w:pPr>
              <w:tabs>
                <w:tab w:val="left" w:pos="4283"/>
              </w:tabs>
              <w:spacing w:before="60" w:after="60"/>
              <w:ind w:left="0" w:right="0"/>
              <w:rPr>
                <w:rFonts w:ascii="Arial" w:hAnsi="Arial" w:cs="Arial"/>
                <w:sz w:val="20"/>
                <w:szCs w:val="20"/>
              </w:rPr>
            </w:pPr>
          </w:p>
        </w:tc>
      </w:tr>
      <w:tr w:rsidR="00F604C2" w:rsidRPr="00B17EDB" w:rsidTr="00C56EC8">
        <w:trPr>
          <w:cantSplit/>
        </w:trPr>
        <w:tc>
          <w:tcPr>
            <w:tcW w:w="1223" w:type="pct"/>
          </w:tcPr>
          <w:p w:rsidR="00F604C2" w:rsidRPr="00B17EDB" w:rsidRDefault="00F604C2" w:rsidP="00C56EC8">
            <w:pPr>
              <w:spacing w:before="60" w:after="60"/>
              <w:ind w:left="0" w:right="0"/>
              <w:rPr>
                <w:rFonts w:ascii="Arial" w:hAnsi="Arial" w:cs="Arial"/>
                <w:sz w:val="20"/>
                <w:szCs w:val="20"/>
              </w:rPr>
            </w:pPr>
            <w:r w:rsidRPr="00B17EDB">
              <w:rPr>
                <w:rFonts w:ascii="Arial" w:hAnsi="Arial" w:cs="Arial"/>
                <w:sz w:val="20"/>
                <w:szCs w:val="20"/>
              </w:rPr>
              <w:t>Cumberland Council, NSW</w:t>
            </w:r>
          </w:p>
          <w:p w:rsidR="00F604C2" w:rsidRPr="00B17EDB" w:rsidRDefault="00F604C2" w:rsidP="00C56EC8">
            <w:pPr>
              <w:spacing w:before="60" w:after="60"/>
              <w:ind w:left="0" w:right="0"/>
              <w:rPr>
                <w:rFonts w:ascii="Arial" w:hAnsi="Arial" w:cs="Arial"/>
                <w:sz w:val="20"/>
                <w:szCs w:val="20"/>
              </w:rPr>
            </w:pPr>
            <w:r>
              <w:rPr>
                <w:rFonts w:ascii="Arial" w:hAnsi="Arial" w:cs="Arial"/>
                <w:sz w:val="20"/>
                <w:szCs w:val="20"/>
              </w:rPr>
              <w:t>(</w:t>
            </w:r>
            <w:r w:rsidRPr="00095BB6">
              <w:rPr>
                <w:rFonts w:ascii="Arial" w:hAnsi="Arial" w:cs="Arial"/>
                <w:i/>
                <w:sz w:val="20"/>
                <w:szCs w:val="20"/>
              </w:rPr>
              <w:t>Local Government</w:t>
            </w:r>
            <w:r>
              <w:rPr>
                <w:rFonts w:ascii="Arial" w:hAnsi="Arial" w:cs="Arial"/>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Strategy does not recognise the role that local government can play and whether they have capacity</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A nationally consistent approach to the use of high risk food products</w:t>
            </w:r>
            <w:r>
              <w:rPr>
                <w:rFonts w:ascii="Arial" w:hAnsi="Arial" w:cs="Arial"/>
                <w:sz w:val="20"/>
                <w:szCs w:val="20"/>
              </w:rPr>
              <w:t xml:space="preserve"> (e.g. enfor</w:t>
            </w:r>
            <w:r w:rsidRPr="00B17EDB">
              <w:rPr>
                <w:rFonts w:ascii="Arial" w:hAnsi="Arial" w:cs="Arial"/>
                <w:sz w:val="20"/>
                <w:szCs w:val="20"/>
              </w:rPr>
              <w:t>c</w:t>
            </w:r>
            <w:r>
              <w:rPr>
                <w:rFonts w:ascii="Arial" w:hAnsi="Arial" w:cs="Arial"/>
                <w:sz w:val="20"/>
                <w:szCs w:val="20"/>
              </w:rPr>
              <w:t>em</w:t>
            </w:r>
            <w:r w:rsidRPr="00B17EDB">
              <w:rPr>
                <w:rFonts w:ascii="Arial" w:hAnsi="Arial" w:cs="Arial"/>
                <w:sz w:val="20"/>
                <w:szCs w:val="20"/>
              </w:rPr>
              <w:t>ent protocols and a national education campaign</w:t>
            </w:r>
            <w:r>
              <w:rPr>
                <w:rFonts w:ascii="Arial" w:hAnsi="Arial" w:cs="Arial"/>
                <w:sz w:val="20"/>
                <w:szCs w:val="20"/>
              </w:rPr>
              <w:t>)</w:t>
            </w:r>
            <w:r w:rsidRPr="00B17EDB">
              <w:rPr>
                <w:rFonts w:ascii="Arial" w:hAnsi="Arial" w:cs="Arial"/>
                <w:sz w:val="20"/>
                <w:szCs w:val="20"/>
              </w:rPr>
              <w:t xml:space="preserve"> is needed</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I</w:t>
            </w:r>
            <w:r w:rsidRPr="00B17EDB">
              <w:rPr>
                <w:rFonts w:ascii="Arial" w:hAnsi="Arial" w:cs="Arial"/>
                <w:sz w:val="20"/>
                <w:szCs w:val="20"/>
              </w:rPr>
              <w:t>ncentives</w:t>
            </w:r>
            <w:r>
              <w:rPr>
                <w:rFonts w:ascii="Arial" w:hAnsi="Arial" w:cs="Arial"/>
                <w:sz w:val="20"/>
                <w:szCs w:val="20"/>
              </w:rPr>
              <w:t>/</w:t>
            </w:r>
            <w:r w:rsidRPr="00B17EDB">
              <w:rPr>
                <w:rFonts w:ascii="Arial" w:hAnsi="Arial" w:cs="Arial"/>
                <w:sz w:val="20"/>
                <w:szCs w:val="20"/>
              </w:rPr>
              <w:t>disincentives for businesses that do the right/wrong thing</w:t>
            </w:r>
            <w:r>
              <w:rPr>
                <w:rFonts w:ascii="Arial" w:hAnsi="Arial" w:cs="Arial"/>
                <w:sz w:val="20"/>
                <w:szCs w:val="20"/>
              </w:rPr>
              <w:t>.</w:t>
            </w:r>
          </w:p>
          <w:p w:rsidR="00F604C2" w:rsidRPr="00B17EDB" w:rsidRDefault="00F604C2" w:rsidP="00C56EC8">
            <w:pPr>
              <w:pStyle w:val="Default"/>
              <w:spacing w:before="60" w:after="60"/>
              <w:rPr>
                <w:rFonts w:ascii="Arial" w:hAnsi="Arial" w:cs="Arial"/>
                <w:color w:val="auto"/>
                <w:sz w:val="20"/>
                <w:szCs w:val="20"/>
              </w:rPr>
            </w:pPr>
            <w:r w:rsidRPr="00B17EDB">
              <w:rPr>
                <w:rFonts w:ascii="Arial" w:hAnsi="Arial" w:cs="Arial"/>
                <w:color w:val="auto"/>
                <w:sz w:val="20"/>
                <w:szCs w:val="20"/>
              </w:rPr>
              <w:t>Engaging with television to get consistent messages</w:t>
            </w:r>
            <w:r>
              <w:rPr>
                <w:rFonts w:ascii="Arial" w:hAnsi="Arial" w:cs="Arial"/>
                <w:color w:val="auto"/>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Increase university training of env</w:t>
            </w:r>
            <w:r>
              <w:rPr>
                <w:rFonts w:ascii="Arial" w:hAnsi="Arial" w:cs="Arial"/>
                <w:sz w:val="20"/>
                <w:szCs w:val="20"/>
              </w:rPr>
              <w:t>ironmental health professionals.</w:t>
            </w:r>
            <w:r w:rsidRPr="00B17EDB">
              <w:rPr>
                <w:rFonts w:ascii="Arial" w:hAnsi="Arial" w:cs="Arial"/>
                <w:sz w:val="20"/>
                <w:szCs w:val="20"/>
              </w:rPr>
              <w:t xml:space="preserve"> Harmonisation of standards across states</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Greater access (format and in several languages) for food businesses</w:t>
            </w:r>
            <w:r>
              <w:rPr>
                <w:rFonts w:ascii="Arial" w:hAnsi="Arial" w:cs="Arial"/>
                <w:sz w:val="20"/>
                <w:szCs w:val="20"/>
              </w:rPr>
              <w:t>.</w:t>
            </w:r>
          </w:p>
        </w:tc>
        <w:tc>
          <w:tcPr>
            <w:tcW w:w="1155" w:type="pct"/>
          </w:tcPr>
          <w:p w:rsidR="00F604C2" w:rsidRPr="00095BB6" w:rsidRDefault="00F604C2" w:rsidP="00C56EC8">
            <w:pPr>
              <w:tabs>
                <w:tab w:val="left" w:pos="4283"/>
              </w:tabs>
              <w:spacing w:before="60" w:after="60"/>
              <w:ind w:left="0" w:right="0"/>
              <w:rPr>
                <w:rFonts w:ascii="Arial" w:hAnsi="Arial" w:cs="Arial"/>
                <w:sz w:val="20"/>
                <w:szCs w:val="20"/>
              </w:rPr>
            </w:pPr>
            <w:r w:rsidRPr="00095BB6">
              <w:rPr>
                <w:rFonts w:ascii="Arial" w:hAnsi="Arial" w:cs="Arial"/>
                <w:sz w:val="20"/>
                <w:szCs w:val="20"/>
              </w:rPr>
              <w:t>Ac</w:t>
            </w:r>
            <w:r>
              <w:rPr>
                <w:rFonts w:ascii="Arial" w:hAnsi="Arial" w:cs="Arial"/>
                <w:sz w:val="20"/>
                <w:szCs w:val="20"/>
              </w:rPr>
              <w:t>cess</w:t>
            </w:r>
            <w:r w:rsidRPr="00095BB6">
              <w:rPr>
                <w:rFonts w:ascii="Arial" w:hAnsi="Arial" w:cs="Arial"/>
                <w:sz w:val="20"/>
                <w:szCs w:val="20"/>
              </w:rPr>
              <w:t xml:space="preserve"> by EHOs and industry to a national database of outbreaks, causes and measures to rectify</w:t>
            </w:r>
            <w:r>
              <w:rPr>
                <w:rFonts w:ascii="Arial" w:hAnsi="Arial" w:cs="Arial"/>
                <w:sz w:val="20"/>
                <w:szCs w:val="20"/>
              </w:rPr>
              <w:t>.</w:t>
            </w:r>
          </w:p>
          <w:p w:rsidR="00F604C2" w:rsidRDefault="00F604C2" w:rsidP="00C56EC8">
            <w:pPr>
              <w:tabs>
                <w:tab w:val="left" w:pos="4283"/>
              </w:tabs>
              <w:spacing w:before="60" w:after="60"/>
              <w:ind w:left="0" w:right="0"/>
              <w:rPr>
                <w:rFonts w:ascii="Arial" w:hAnsi="Arial" w:cs="Arial"/>
                <w:sz w:val="20"/>
                <w:szCs w:val="20"/>
              </w:rPr>
            </w:pPr>
            <w:r w:rsidRPr="00095BB6">
              <w:rPr>
                <w:rFonts w:ascii="Arial" w:hAnsi="Arial" w:cs="Arial"/>
                <w:sz w:val="20"/>
                <w:szCs w:val="20"/>
              </w:rPr>
              <w:t>Surveying businesses and looking at practices</w:t>
            </w:r>
            <w:r>
              <w:rPr>
                <w:rFonts w:ascii="Arial" w:hAnsi="Arial" w:cs="Arial"/>
                <w:sz w:val="20"/>
                <w:szCs w:val="20"/>
              </w:rPr>
              <w:t>.</w:t>
            </w:r>
          </w:p>
          <w:p w:rsidR="00F604C2" w:rsidRPr="00095BB6" w:rsidRDefault="00F604C2" w:rsidP="00C56EC8">
            <w:pPr>
              <w:tabs>
                <w:tab w:val="left" w:pos="4283"/>
              </w:tabs>
              <w:spacing w:before="60" w:after="60"/>
              <w:ind w:left="0" w:right="0"/>
              <w:rPr>
                <w:rFonts w:ascii="Arial" w:hAnsi="Arial" w:cs="Arial"/>
                <w:sz w:val="20"/>
                <w:szCs w:val="20"/>
              </w:rPr>
            </w:pPr>
            <w:r w:rsidRPr="00095BB6">
              <w:rPr>
                <w:rFonts w:ascii="Arial" w:hAnsi="Arial" w:cs="Arial"/>
                <w:sz w:val="20"/>
                <w:szCs w:val="20"/>
              </w:rPr>
              <w:t>Survey local government on adoption of enforcement policies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spacing w:before="60" w:after="60"/>
              <w:ind w:left="0"/>
              <w:rPr>
                <w:rFonts w:ascii="Arial" w:hAnsi="Arial" w:cs="Arial"/>
                <w:sz w:val="20"/>
                <w:szCs w:val="20"/>
              </w:rPr>
            </w:pPr>
            <w:r w:rsidRPr="00B17EDB">
              <w:rPr>
                <w:rFonts w:ascii="Arial" w:hAnsi="Arial" w:cs="Arial"/>
                <w:sz w:val="20"/>
                <w:szCs w:val="20"/>
              </w:rPr>
              <w:t>CCP Technologies</w:t>
            </w:r>
          </w:p>
          <w:p w:rsidR="00F604C2" w:rsidRPr="00B17EDB" w:rsidRDefault="00F604C2" w:rsidP="00C56EC8">
            <w:pPr>
              <w:spacing w:before="60" w:after="60"/>
              <w:ind w:left="0"/>
              <w:rPr>
                <w:rFonts w:ascii="Arial" w:hAnsi="Arial" w:cs="Arial"/>
                <w:sz w:val="20"/>
                <w:szCs w:val="20"/>
              </w:rPr>
            </w:pPr>
            <w:r>
              <w:rPr>
                <w:rFonts w:ascii="Arial" w:hAnsi="Arial" w:cs="Arial"/>
                <w:sz w:val="20"/>
                <w:szCs w:val="20"/>
              </w:rPr>
              <w:t>(</w:t>
            </w:r>
            <w:r w:rsidRPr="00095BB6">
              <w:rPr>
                <w:rFonts w:ascii="Arial" w:hAnsi="Arial" w:cs="Arial"/>
                <w:i/>
                <w:sz w:val="20"/>
                <w:szCs w:val="20"/>
              </w:rPr>
              <w:t>Private sector</w:t>
            </w:r>
            <w:r>
              <w:rPr>
                <w:rFonts w:ascii="Arial" w:hAnsi="Arial" w:cs="Arial"/>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The importance of technol</w:t>
            </w:r>
            <w:r>
              <w:rPr>
                <w:rFonts w:ascii="Arial" w:hAnsi="Arial" w:cs="Arial"/>
                <w:sz w:val="20"/>
                <w:szCs w:val="20"/>
              </w:rPr>
              <w:t xml:space="preserve">ogy needs to be highlighted e.g. </w:t>
            </w:r>
            <w:proofErr w:type="spellStart"/>
            <w:r>
              <w:rPr>
                <w:rFonts w:ascii="Arial" w:hAnsi="Arial" w:cs="Arial"/>
                <w:sz w:val="20"/>
                <w:szCs w:val="20"/>
              </w:rPr>
              <w:t>b</w:t>
            </w:r>
            <w:r w:rsidRPr="00B17EDB">
              <w:rPr>
                <w:rFonts w:ascii="Arial" w:hAnsi="Arial" w:cs="Arial"/>
                <w:sz w:val="20"/>
                <w:szCs w:val="20"/>
              </w:rPr>
              <w:t>lockchain</w:t>
            </w:r>
            <w:proofErr w:type="spellEnd"/>
            <w:r w:rsidRPr="00B17EDB">
              <w:rPr>
                <w:rFonts w:ascii="Arial" w:hAnsi="Arial" w:cs="Arial"/>
                <w:sz w:val="20"/>
                <w:szCs w:val="20"/>
              </w:rPr>
              <w:t xml:space="preserve">, the </w:t>
            </w:r>
            <w:r>
              <w:rPr>
                <w:rFonts w:ascii="Arial" w:hAnsi="Arial" w:cs="Arial"/>
                <w:sz w:val="20"/>
                <w:szCs w:val="20"/>
              </w:rPr>
              <w:t>I</w:t>
            </w:r>
            <w:r w:rsidRPr="00B17EDB">
              <w:rPr>
                <w:rFonts w:ascii="Arial" w:hAnsi="Arial" w:cs="Arial"/>
                <w:sz w:val="20"/>
                <w:szCs w:val="20"/>
              </w:rPr>
              <w:t xml:space="preserve">nternet of </w:t>
            </w:r>
            <w:r>
              <w:rPr>
                <w:rFonts w:ascii="Arial" w:hAnsi="Arial" w:cs="Arial"/>
                <w:sz w:val="20"/>
                <w:szCs w:val="20"/>
              </w:rPr>
              <w:t>T</w:t>
            </w:r>
            <w:r w:rsidRPr="00B17EDB">
              <w:rPr>
                <w:rFonts w:ascii="Arial" w:hAnsi="Arial" w:cs="Arial"/>
                <w:sz w:val="20"/>
                <w:szCs w:val="20"/>
              </w:rPr>
              <w:t>hings</w:t>
            </w:r>
            <w:r>
              <w:rPr>
                <w:rFonts w:ascii="Arial" w:hAnsi="Arial" w:cs="Arial"/>
                <w:sz w:val="20"/>
                <w:szCs w:val="20"/>
              </w:rPr>
              <w:t xml:space="preserve"> (</w:t>
            </w:r>
            <w:proofErr w:type="spellStart"/>
            <w:r>
              <w:rPr>
                <w:rFonts w:ascii="Arial" w:hAnsi="Arial" w:cs="Arial"/>
                <w:sz w:val="20"/>
                <w:szCs w:val="20"/>
              </w:rPr>
              <w:t>IoT</w:t>
            </w:r>
            <w:proofErr w:type="spellEnd"/>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Strategy should include more practical measures to promote technology adoption at the state level.</w:t>
            </w:r>
          </w:p>
        </w:tc>
        <w:tc>
          <w:tcPr>
            <w:tcW w:w="1155" w:type="pct"/>
          </w:tcPr>
          <w:p w:rsidR="00F604C2" w:rsidRPr="00C415DE" w:rsidRDefault="00F604C2" w:rsidP="00C56EC8">
            <w:pPr>
              <w:tabs>
                <w:tab w:val="left" w:pos="4283"/>
              </w:tabs>
              <w:spacing w:before="60" w:after="60"/>
              <w:ind w:left="0" w:right="0"/>
              <w:rPr>
                <w:rFonts w:ascii="Arial" w:hAnsi="Arial" w:cs="Arial"/>
                <w:sz w:val="20"/>
                <w:szCs w:val="20"/>
              </w:rPr>
            </w:pPr>
            <w:r w:rsidRPr="00C415DE">
              <w:rPr>
                <w:rFonts w:ascii="Arial" w:eastAsiaTheme="minorHAnsi" w:hAnsi="Arial" w:cs="Arial"/>
                <w:sz w:val="20"/>
                <w:szCs w:val="20"/>
                <w:lang w:val="en-GB"/>
              </w:rPr>
              <w:t xml:space="preserve">Capturing data is the starting point with businesses required to post temperature and other records to a food safety </w:t>
            </w:r>
            <w:proofErr w:type="spellStart"/>
            <w:r w:rsidRPr="00C415DE">
              <w:rPr>
                <w:rFonts w:ascii="Arial" w:eastAsiaTheme="minorHAnsi" w:hAnsi="Arial" w:cs="Arial"/>
                <w:sz w:val="20"/>
                <w:szCs w:val="20"/>
                <w:lang w:val="en-GB"/>
              </w:rPr>
              <w:t>blockchain</w:t>
            </w:r>
            <w:proofErr w:type="spellEnd"/>
            <w:r>
              <w:rPr>
                <w:rFonts w:ascii="Arial" w:eastAsiaTheme="minorHAnsi" w:hAnsi="Arial" w:cs="Arial"/>
                <w:sz w:val="20"/>
                <w:szCs w:val="20"/>
                <w:lang w:val="en-GB"/>
              </w:rPr>
              <w:t>.</w:t>
            </w:r>
          </w:p>
        </w:tc>
      </w:tr>
      <w:tr w:rsidR="00F604C2" w:rsidRPr="00B17EDB" w:rsidTr="00C56EC8">
        <w:trPr>
          <w:cantSplit/>
        </w:trPr>
        <w:tc>
          <w:tcPr>
            <w:tcW w:w="1223" w:type="pct"/>
          </w:tcPr>
          <w:p w:rsidR="00F604C2" w:rsidRDefault="00F604C2" w:rsidP="00C56EC8">
            <w:pPr>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lastRenderedPageBreak/>
              <w:t xml:space="preserve">Food Safety Standards </w:t>
            </w:r>
            <w:r>
              <w:rPr>
                <w:rFonts w:ascii="Arial" w:eastAsiaTheme="minorHAnsi" w:hAnsi="Arial" w:cs="Arial"/>
                <w:color w:val="000000"/>
                <w:sz w:val="20"/>
                <w:szCs w:val="20"/>
                <w:lang w:val="en-GB"/>
              </w:rPr>
              <w:t>&amp; Re</w:t>
            </w:r>
            <w:r w:rsidRPr="00B17EDB">
              <w:rPr>
                <w:rFonts w:ascii="Arial" w:eastAsiaTheme="minorHAnsi" w:hAnsi="Arial" w:cs="Arial"/>
                <w:color w:val="000000"/>
                <w:sz w:val="20"/>
                <w:szCs w:val="20"/>
                <w:lang w:val="en-GB"/>
              </w:rPr>
              <w:t>gulation</w:t>
            </w:r>
            <w:r>
              <w:rPr>
                <w:rFonts w:ascii="Arial" w:eastAsiaTheme="minorHAnsi" w:hAnsi="Arial" w:cs="Arial"/>
                <w:color w:val="000000"/>
                <w:sz w:val="20"/>
                <w:szCs w:val="20"/>
                <w:lang w:val="en-GB"/>
              </w:rPr>
              <w:t xml:space="preserve">, </w:t>
            </w:r>
            <w:proofErr w:type="spellStart"/>
            <w:r>
              <w:rPr>
                <w:rFonts w:ascii="Arial" w:eastAsiaTheme="minorHAnsi" w:hAnsi="Arial" w:cs="Arial"/>
                <w:color w:val="000000"/>
                <w:sz w:val="20"/>
                <w:szCs w:val="20"/>
                <w:lang w:val="en-GB"/>
              </w:rPr>
              <w:t>Qld</w:t>
            </w:r>
            <w:proofErr w:type="spellEnd"/>
            <w:r>
              <w:rPr>
                <w:rFonts w:ascii="Arial" w:eastAsiaTheme="minorHAnsi" w:hAnsi="Arial" w:cs="Arial"/>
                <w:color w:val="000000"/>
                <w:sz w:val="20"/>
                <w:szCs w:val="20"/>
                <w:lang w:val="en-GB"/>
              </w:rPr>
              <w:t xml:space="preserve"> Health</w:t>
            </w:r>
          </w:p>
          <w:p w:rsidR="00F604C2" w:rsidRPr="00C415DE" w:rsidRDefault="00F604C2" w:rsidP="00C56EC8">
            <w:pPr>
              <w:spacing w:before="60" w:after="60"/>
              <w:ind w:left="0" w:right="0"/>
              <w:rPr>
                <w:rFonts w:ascii="Arial" w:eastAsiaTheme="minorHAnsi" w:hAnsi="Arial" w:cs="Arial"/>
                <w:i/>
                <w:color w:val="000000"/>
                <w:sz w:val="20"/>
                <w:szCs w:val="20"/>
                <w:lang w:val="en-GB"/>
              </w:rPr>
            </w:pPr>
            <w:r w:rsidRPr="00C415DE">
              <w:rPr>
                <w:rFonts w:ascii="Arial" w:eastAsiaTheme="minorHAnsi" w:hAnsi="Arial" w:cs="Arial"/>
                <w:i/>
                <w:color w:val="000000"/>
                <w:sz w:val="20"/>
                <w:szCs w:val="20"/>
                <w:lang w:val="en-GB"/>
              </w:rPr>
              <w:t>(Government)</w:t>
            </w:r>
          </w:p>
          <w:p w:rsidR="00F604C2" w:rsidRPr="00B17EDB" w:rsidRDefault="00F604C2" w:rsidP="00C56EC8">
            <w:pPr>
              <w:spacing w:before="60" w:after="60"/>
              <w:ind w:left="0" w:right="0"/>
              <w:rPr>
                <w:rFonts w:ascii="Arial" w:hAnsi="Arial" w:cs="Arial"/>
                <w:sz w:val="20"/>
                <w:szCs w:val="20"/>
              </w:rPr>
            </w:pPr>
          </w:p>
        </w:tc>
        <w:tc>
          <w:tcPr>
            <w:tcW w:w="1093" w:type="pct"/>
          </w:tcPr>
          <w:p w:rsidR="00F604C2" w:rsidRDefault="00F604C2" w:rsidP="00C56EC8">
            <w:pPr>
              <w:widowControl/>
              <w:autoSpaceDE w:val="0"/>
              <w:autoSpaceDN w:val="0"/>
              <w:adjustRightInd w:val="0"/>
              <w:spacing w:before="60"/>
              <w:ind w:left="0" w:right="0"/>
              <w:rPr>
                <w:rFonts w:ascii="Arial" w:eastAsiaTheme="minorHAnsi" w:hAnsi="Arial" w:cs="Arial"/>
                <w:color w:val="000000"/>
                <w:sz w:val="20"/>
                <w:szCs w:val="20"/>
                <w:lang w:val="en-GB"/>
              </w:rPr>
            </w:pPr>
            <w:r>
              <w:rPr>
                <w:rFonts w:ascii="Arial" w:eastAsiaTheme="minorHAnsi" w:hAnsi="Arial" w:cs="Arial"/>
                <w:color w:val="000000"/>
                <w:sz w:val="20"/>
                <w:szCs w:val="20"/>
                <w:lang w:val="en-GB"/>
              </w:rPr>
              <w:t xml:space="preserve">Queensland strongly supports the core areas and recognises </w:t>
            </w:r>
          </w:p>
          <w:p w:rsidR="00F604C2" w:rsidRPr="00B17EDB" w:rsidRDefault="00F604C2" w:rsidP="00C56EC8">
            <w:pPr>
              <w:pStyle w:val="Default"/>
              <w:spacing w:after="6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industry engagement is imperative.</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eastAsiaTheme="minorHAnsi" w:hAnsi="Arial" w:cs="Arial"/>
                <w:color w:val="000000"/>
                <w:sz w:val="20"/>
                <w:szCs w:val="20"/>
                <w:lang w:val="en-GB"/>
              </w:rPr>
              <w:t>Nil, as discussed above, the activities effectively address a through-chain approach</w:t>
            </w:r>
            <w:r>
              <w:rPr>
                <w:rFonts w:ascii="Arial" w:eastAsiaTheme="minorHAnsi" w:hAnsi="Arial" w:cs="Arial"/>
                <w:color w:val="000000"/>
                <w:sz w:val="20"/>
                <w:szCs w:val="20"/>
                <w:lang w:val="en-GB"/>
              </w:rPr>
              <w:t>.</w:t>
            </w:r>
          </w:p>
        </w:tc>
        <w:tc>
          <w:tcPr>
            <w:tcW w:w="1155"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C</w:t>
            </w:r>
            <w:r w:rsidRPr="00B17EDB">
              <w:rPr>
                <w:rFonts w:ascii="Arial" w:hAnsi="Arial" w:cs="Arial"/>
                <w:sz w:val="20"/>
                <w:szCs w:val="20"/>
              </w:rPr>
              <w:t>ollection of data at a national level from control points along the supply chain is recommended</w:t>
            </w:r>
            <w:r>
              <w:rPr>
                <w:rFonts w:ascii="Arial" w:hAnsi="Arial" w:cs="Arial"/>
                <w:sz w:val="20"/>
                <w:szCs w:val="20"/>
              </w:rPr>
              <w:t>.</w:t>
            </w:r>
            <w:r w:rsidRPr="00B17EDB">
              <w:rPr>
                <w:rFonts w:ascii="Arial" w:hAnsi="Arial" w:cs="Arial"/>
                <w:sz w:val="20"/>
                <w:szCs w:val="20"/>
              </w:rPr>
              <w:t xml:space="preserve"> </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Existing arrangements for collecting data after the event needs to be augmented by real time collection of data wherever possible</w:t>
            </w:r>
            <w:r>
              <w:rPr>
                <w:rFonts w:ascii="Arial" w:hAnsi="Arial" w:cs="Arial"/>
                <w:sz w:val="20"/>
                <w:szCs w:val="20"/>
              </w:rPr>
              <w:t>.</w:t>
            </w:r>
          </w:p>
        </w:tc>
      </w:tr>
      <w:tr w:rsidR="00F604C2" w:rsidRPr="00B17EDB" w:rsidTr="00C56EC8">
        <w:trPr>
          <w:cantSplit/>
        </w:trPr>
        <w:tc>
          <w:tcPr>
            <w:tcW w:w="1223" w:type="pct"/>
          </w:tcPr>
          <w:p w:rsidR="00F604C2" w:rsidRDefault="00F604C2" w:rsidP="00C56EC8">
            <w:pPr>
              <w:spacing w:before="60" w:after="60"/>
              <w:ind w:left="0" w:right="0"/>
              <w:rPr>
                <w:rFonts w:ascii="Arial" w:hAnsi="Arial" w:cs="Arial"/>
                <w:sz w:val="20"/>
                <w:szCs w:val="20"/>
              </w:rPr>
            </w:pPr>
            <w:r w:rsidRPr="00B17EDB">
              <w:rPr>
                <w:rFonts w:ascii="Arial" w:hAnsi="Arial" w:cs="Arial"/>
                <w:sz w:val="20"/>
                <w:szCs w:val="20"/>
              </w:rPr>
              <w:t>Dietitians Association of Australia</w:t>
            </w:r>
          </w:p>
          <w:p w:rsidR="00F604C2" w:rsidRPr="004D76B1" w:rsidRDefault="00F604C2" w:rsidP="00C56EC8">
            <w:pPr>
              <w:spacing w:before="60" w:after="60"/>
              <w:ind w:left="0" w:right="0"/>
              <w:rPr>
                <w:rFonts w:ascii="Arial" w:hAnsi="Arial" w:cs="Arial"/>
                <w:i/>
                <w:sz w:val="20"/>
                <w:szCs w:val="20"/>
              </w:rPr>
            </w:pPr>
            <w:r>
              <w:rPr>
                <w:rFonts w:ascii="Arial" w:hAnsi="Arial" w:cs="Arial"/>
                <w:i/>
                <w:sz w:val="20"/>
                <w:szCs w:val="20"/>
              </w:rPr>
              <w:t>(Public H</w:t>
            </w:r>
            <w:r w:rsidRPr="004D76B1">
              <w:rPr>
                <w:rFonts w:ascii="Arial" w:hAnsi="Arial" w:cs="Arial"/>
                <w:i/>
                <w:sz w:val="20"/>
                <w:szCs w:val="20"/>
              </w:rPr>
              <w:t>ealth)</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DAA supports </w:t>
            </w:r>
            <w:r>
              <w:rPr>
                <w:rFonts w:ascii="Arial" w:hAnsi="Arial" w:cs="Arial"/>
                <w:sz w:val="20"/>
                <w:szCs w:val="20"/>
              </w:rPr>
              <w:t xml:space="preserve">the </w:t>
            </w:r>
            <w:proofErr w:type="gramStart"/>
            <w:r w:rsidRPr="00B17EDB">
              <w:rPr>
                <w:rFonts w:ascii="Arial" w:hAnsi="Arial" w:cs="Arial"/>
                <w:sz w:val="20"/>
                <w:szCs w:val="20"/>
              </w:rPr>
              <w:t>strategy</w:t>
            </w:r>
            <w:r>
              <w:rPr>
                <w:rFonts w:ascii="Arial" w:hAnsi="Arial" w:cs="Arial"/>
                <w:sz w:val="20"/>
                <w:szCs w:val="20"/>
              </w:rPr>
              <w:t>,</w:t>
            </w:r>
            <w:proofErr w:type="gramEnd"/>
            <w:r>
              <w:rPr>
                <w:rFonts w:ascii="Arial" w:hAnsi="Arial" w:cs="Arial"/>
                <w:sz w:val="20"/>
                <w:szCs w:val="20"/>
              </w:rPr>
              <w:t xml:space="preserve"> </w:t>
            </w:r>
            <w:r w:rsidRPr="00B17EDB">
              <w:rPr>
                <w:rFonts w:ascii="Arial" w:hAnsi="Arial" w:cs="Arial"/>
                <w:sz w:val="20"/>
                <w:szCs w:val="20"/>
              </w:rPr>
              <w:t>however recommends considering national and global approaches re use of antimicrobials</w:t>
            </w:r>
            <w:r>
              <w:rPr>
                <w:rFonts w:ascii="Arial" w:hAnsi="Arial" w:cs="Arial"/>
                <w:sz w:val="20"/>
                <w:szCs w:val="20"/>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p>
        </w:tc>
        <w:tc>
          <w:tcPr>
            <w:tcW w:w="1155" w:type="pct"/>
          </w:tcPr>
          <w:p w:rsidR="00F604C2" w:rsidRPr="00C415DE" w:rsidRDefault="00F604C2" w:rsidP="00C56EC8">
            <w:pPr>
              <w:tabs>
                <w:tab w:val="left" w:pos="4283"/>
              </w:tabs>
              <w:spacing w:before="60" w:after="60"/>
              <w:ind w:left="0" w:right="0"/>
              <w:rPr>
                <w:rFonts w:ascii="Arial" w:hAnsi="Arial" w:cs="Arial"/>
                <w:sz w:val="20"/>
                <w:szCs w:val="20"/>
              </w:rPr>
            </w:pPr>
          </w:p>
        </w:tc>
      </w:tr>
      <w:tr w:rsidR="00F604C2" w:rsidRPr="00B17EDB" w:rsidTr="00C56EC8">
        <w:trPr>
          <w:cantSplit/>
        </w:trPr>
        <w:tc>
          <w:tcPr>
            <w:tcW w:w="1223" w:type="pct"/>
          </w:tcPr>
          <w:p w:rsidR="00F604C2" w:rsidRDefault="00F604C2" w:rsidP="00C56EC8">
            <w:pPr>
              <w:pStyle w:val="Default"/>
              <w:spacing w:before="60"/>
              <w:rPr>
                <w:rFonts w:ascii="Arial" w:hAnsi="Arial" w:cs="Arial"/>
                <w:sz w:val="20"/>
                <w:szCs w:val="20"/>
              </w:rPr>
            </w:pPr>
            <w:r w:rsidRPr="00B17EDB">
              <w:rPr>
                <w:rFonts w:ascii="Arial" w:hAnsi="Arial" w:cs="Arial"/>
                <w:sz w:val="20"/>
                <w:szCs w:val="20"/>
              </w:rPr>
              <w:t xml:space="preserve">Restaurant and Catering </w:t>
            </w:r>
            <w:r>
              <w:rPr>
                <w:rFonts w:ascii="Arial" w:hAnsi="Arial" w:cs="Arial"/>
                <w:sz w:val="20"/>
                <w:szCs w:val="20"/>
              </w:rPr>
              <w:t>A</w:t>
            </w:r>
            <w:r w:rsidRPr="00B17EDB">
              <w:rPr>
                <w:rFonts w:ascii="Arial" w:hAnsi="Arial" w:cs="Arial"/>
                <w:sz w:val="20"/>
                <w:szCs w:val="20"/>
              </w:rPr>
              <w:t>ustralia</w:t>
            </w:r>
          </w:p>
          <w:p w:rsidR="00F604C2" w:rsidRDefault="00F604C2" w:rsidP="00C56EC8">
            <w:pPr>
              <w:pStyle w:val="Default"/>
              <w:rPr>
                <w:rFonts w:ascii="Arial" w:hAnsi="Arial" w:cs="Arial"/>
                <w:color w:val="auto"/>
                <w:sz w:val="20"/>
                <w:szCs w:val="20"/>
              </w:rPr>
            </w:pPr>
            <w:r w:rsidRPr="00B17EDB">
              <w:rPr>
                <w:rFonts w:ascii="Arial" w:hAnsi="Arial" w:cs="Arial"/>
                <w:sz w:val="20"/>
                <w:szCs w:val="20"/>
              </w:rPr>
              <w:t>Au</w:t>
            </w:r>
            <w:r w:rsidRPr="0045440E">
              <w:rPr>
                <w:rFonts w:ascii="Arial" w:hAnsi="Arial" w:cs="Arial"/>
                <w:color w:val="auto"/>
                <w:sz w:val="20"/>
                <w:szCs w:val="20"/>
              </w:rPr>
              <w:t>stralian Hotels Association</w:t>
            </w:r>
          </w:p>
          <w:p w:rsidR="00F604C2" w:rsidRPr="0045440E" w:rsidRDefault="00F604C2" w:rsidP="00C56EC8">
            <w:pPr>
              <w:pStyle w:val="Default"/>
              <w:spacing w:before="60"/>
              <w:rPr>
                <w:rFonts w:ascii="Arial" w:hAnsi="Arial" w:cs="Arial"/>
                <w:color w:val="auto"/>
                <w:sz w:val="20"/>
                <w:szCs w:val="20"/>
              </w:rPr>
            </w:pPr>
            <w:r>
              <w:rPr>
                <w:rFonts w:ascii="Arial" w:hAnsi="Arial" w:cs="Arial"/>
                <w:bCs/>
                <w:sz w:val="20"/>
                <w:szCs w:val="20"/>
              </w:rPr>
              <w:t>(</w:t>
            </w:r>
            <w:r w:rsidRPr="00B850EF">
              <w:rPr>
                <w:rFonts w:ascii="Arial" w:hAnsi="Arial" w:cs="Arial"/>
                <w:bCs/>
                <w:i/>
                <w:sz w:val="20"/>
                <w:szCs w:val="20"/>
              </w:rPr>
              <w:t>Food industry)</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Supports the overarching objective but cautions </w:t>
            </w:r>
            <w:r>
              <w:rPr>
                <w:rFonts w:ascii="Arial" w:hAnsi="Arial" w:cs="Arial"/>
                <w:sz w:val="20"/>
                <w:szCs w:val="20"/>
              </w:rPr>
              <w:t>i</w:t>
            </w:r>
            <w:r w:rsidRPr="00B17EDB">
              <w:rPr>
                <w:rFonts w:ascii="Arial" w:hAnsi="Arial" w:cs="Arial"/>
                <w:sz w:val="20"/>
                <w:szCs w:val="20"/>
              </w:rPr>
              <w:t>mposing unnecessary administrative or regulatory burden on the food service sector</w:t>
            </w:r>
            <w:r>
              <w:rPr>
                <w:rFonts w:ascii="Arial" w:hAnsi="Arial" w:cs="Arial"/>
                <w:sz w:val="20"/>
                <w:szCs w:val="20"/>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eastAsiaTheme="minorHAnsi" w:hAnsi="Arial" w:cs="Arial"/>
                <w:color w:val="000000"/>
                <w:sz w:val="20"/>
                <w:szCs w:val="20"/>
                <w:lang w:val="en-GB"/>
              </w:rPr>
              <w:t>The strategy should prioritise the development of a common set of national food safety standards which are applied and interpreted consistently to businesses operating across all Local Government Areas</w:t>
            </w:r>
            <w:r>
              <w:rPr>
                <w:rFonts w:ascii="Arial" w:eastAsiaTheme="minorHAnsi" w:hAnsi="Arial" w:cs="Arial"/>
                <w:color w:val="000000"/>
                <w:sz w:val="20"/>
                <w:szCs w:val="20"/>
                <w:lang w:val="en-GB"/>
              </w:rPr>
              <w:t>.</w:t>
            </w:r>
            <w:r w:rsidRPr="00B17EDB">
              <w:rPr>
                <w:rFonts w:ascii="Arial" w:eastAsiaTheme="minorHAnsi" w:hAnsi="Arial" w:cs="Arial"/>
                <w:color w:val="000000"/>
                <w:sz w:val="20"/>
                <w:szCs w:val="20"/>
                <w:lang w:val="en-GB"/>
              </w:rPr>
              <w:t xml:space="preserve"> </w:t>
            </w:r>
          </w:p>
        </w:tc>
        <w:tc>
          <w:tcPr>
            <w:tcW w:w="1155"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Proper and robust data collection on the causes and sources of foodborne illnesses is needed</w:t>
            </w:r>
            <w:r>
              <w:rPr>
                <w:rFonts w:ascii="Arial" w:eastAsiaTheme="minorHAnsi" w:hAnsi="Arial" w:cs="Arial"/>
                <w:color w:val="000000"/>
                <w:sz w:val="20"/>
                <w:szCs w:val="20"/>
                <w:lang w:val="en-GB"/>
              </w:rPr>
              <w:t>.</w:t>
            </w:r>
            <w:r w:rsidRPr="00B17EDB">
              <w:rPr>
                <w:rFonts w:ascii="Arial" w:eastAsiaTheme="minorHAnsi" w:hAnsi="Arial" w:cs="Arial"/>
                <w:color w:val="000000"/>
                <w:sz w:val="20"/>
                <w:szCs w:val="20"/>
                <w:lang w:val="en-GB"/>
              </w:rPr>
              <w:t xml:space="preserve"> </w:t>
            </w:r>
          </w:p>
          <w:p w:rsidR="00F604C2" w:rsidRPr="00B850EF" w:rsidRDefault="00F604C2" w:rsidP="00C56EC8">
            <w:pPr>
              <w:tabs>
                <w:tab w:val="left" w:pos="4283"/>
              </w:tabs>
              <w:spacing w:before="60" w:after="60"/>
              <w:ind w:left="0" w:right="0"/>
              <w:rPr>
                <w:rFonts w:ascii="Arial" w:hAnsi="Arial" w:cs="Arial"/>
                <w:sz w:val="20"/>
                <w:szCs w:val="20"/>
              </w:rPr>
            </w:pPr>
          </w:p>
        </w:tc>
      </w:tr>
      <w:tr w:rsidR="00F604C2" w:rsidRPr="00B17EDB" w:rsidTr="00C56EC8">
        <w:trPr>
          <w:cantSplit/>
          <w:trHeight w:val="1233"/>
        </w:trPr>
        <w:tc>
          <w:tcPr>
            <w:tcW w:w="1223" w:type="pct"/>
          </w:tcPr>
          <w:p w:rsidR="00F604C2" w:rsidRDefault="00F604C2" w:rsidP="00C56EC8">
            <w:pPr>
              <w:pStyle w:val="Default"/>
              <w:spacing w:before="60" w:after="60"/>
              <w:rPr>
                <w:rFonts w:ascii="Arial" w:hAnsi="Arial" w:cs="Arial"/>
                <w:bCs/>
                <w:sz w:val="20"/>
                <w:szCs w:val="20"/>
              </w:rPr>
            </w:pPr>
            <w:r w:rsidRPr="00B850EF">
              <w:rPr>
                <w:rFonts w:ascii="Arial" w:hAnsi="Arial" w:cs="Arial"/>
                <w:bCs/>
                <w:sz w:val="20"/>
                <w:szCs w:val="20"/>
              </w:rPr>
              <w:t xml:space="preserve">KFC Australia </w:t>
            </w:r>
          </w:p>
          <w:p w:rsidR="00F604C2" w:rsidRPr="00B17EDB" w:rsidRDefault="00F604C2" w:rsidP="00C56EC8">
            <w:pPr>
              <w:pStyle w:val="Default"/>
              <w:spacing w:before="60" w:after="60"/>
              <w:rPr>
                <w:rFonts w:ascii="Arial" w:hAnsi="Arial" w:cs="Arial"/>
                <w:sz w:val="20"/>
                <w:szCs w:val="20"/>
              </w:rPr>
            </w:pPr>
            <w:r>
              <w:rPr>
                <w:rFonts w:ascii="Arial" w:hAnsi="Arial" w:cs="Arial"/>
                <w:bCs/>
                <w:sz w:val="20"/>
                <w:szCs w:val="20"/>
              </w:rPr>
              <w:t>(</w:t>
            </w:r>
            <w:r w:rsidRPr="00B850EF">
              <w:rPr>
                <w:rFonts w:ascii="Arial" w:hAnsi="Arial" w:cs="Arial"/>
                <w:bCs/>
                <w:i/>
                <w:sz w:val="20"/>
                <w:szCs w:val="20"/>
              </w:rPr>
              <w:t>Food industry)</w:t>
            </w:r>
          </w:p>
        </w:tc>
        <w:tc>
          <w:tcPr>
            <w:tcW w:w="1093" w:type="pct"/>
          </w:tcPr>
          <w:p w:rsidR="00F604C2" w:rsidRPr="00305BD7"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Pr>
                <w:rFonts w:ascii="Arial" w:eastAsiaTheme="minorHAnsi" w:hAnsi="Arial" w:cs="Arial"/>
                <w:color w:val="000000"/>
                <w:sz w:val="20"/>
                <w:szCs w:val="20"/>
                <w:lang w:val="en-GB"/>
              </w:rPr>
              <w:t>Supports strategy p</w:t>
            </w:r>
            <w:r w:rsidRPr="00B17EDB">
              <w:rPr>
                <w:rFonts w:ascii="Arial" w:eastAsiaTheme="minorHAnsi" w:hAnsi="Arial" w:cs="Arial"/>
                <w:color w:val="000000"/>
                <w:sz w:val="20"/>
                <w:szCs w:val="20"/>
                <w:lang w:val="en-GB"/>
              </w:rPr>
              <w:t>articularly</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removing inconsistencies in</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interpretation, implementation and response across jurisdictions</w:t>
            </w:r>
            <w:r>
              <w:rPr>
                <w:rFonts w:ascii="Arial" w:eastAsiaTheme="minorHAnsi" w:hAnsi="Arial" w:cs="Arial"/>
                <w:color w:val="000000"/>
                <w:sz w:val="20"/>
                <w:szCs w:val="20"/>
                <w:lang w:val="en-GB"/>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S</w:t>
            </w:r>
            <w:r w:rsidRPr="00B17EDB">
              <w:rPr>
                <w:rFonts w:ascii="Arial" w:eastAsiaTheme="minorHAnsi" w:hAnsi="Arial" w:cs="Arial"/>
                <w:color w:val="000000"/>
                <w:sz w:val="20"/>
                <w:szCs w:val="20"/>
                <w:lang w:val="en-GB"/>
              </w:rPr>
              <w:t>upports the implementation of a</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National HACCP Accreditation program across the whole food supply</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chain.</w:t>
            </w:r>
          </w:p>
        </w:tc>
        <w:tc>
          <w:tcPr>
            <w:tcW w:w="1155" w:type="pct"/>
          </w:tcPr>
          <w:p w:rsidR="00F604C2" w:rsidRPr="00B850EF" w:rsidRDefault="00F604C2" w:rsidP="00C56EC8">
            <w:pPr>
              <w:pStyle w:val="Default"/>
              <w:spacing w:before="60" w:after="60"/>
              <w:rPr>
                <w:rFonts w:ascii="Arial" w:hAnsi="Arial" w:cs="Arial"/>
                <w:sz w:val="20"/>
                <w:szCs w:val="20"/>
              </w:rPr>
            </w:pPr>
            <w:r w:rsidRPr="00B17EDB">
              <w:rPr>
                <w:rFonts w:ascii="Arial" w:hAnsi="Arial" w:cs="Arial"/>
                <w:sz w:val="20"/>
                <w:szCs w:val="20"/>
              </w:rPr>
              <w:t>Collection of foodborne illness data to be done consistently and on a regular basis and reported on in a timely manner to assess the imp</w:t>
            </w:r>
            <w:r>
              <w:rPr>
                <w:rFonts w:ascii="Arial" w:hAnsi="Arial" w:cs="Arial"/>
                <w:sz w:val="20"/>
                <w:szCs w:val="20"/>
              </w:rPr>
              <w:t>act of the introduced strategy.</w:t>
            </w:r>
          </w:p>
        </w:tc>
      </w:tr>
      <w:tr w:rsidR="00F604C2" w:rsidRPr="00B17EDB" w:rsidTr="00C56EC8">
        <w:trPr>
          <w:cantSplit/>
        </w:trPr>
        <w:tc>
          <w:tcPr>
            <w:tcW w:w="1223" w:type="pct"/>
          </w:tcPr>
          <w:p w:rsidR="00F604C2" w:rsidRDefault="00F604C2" w:rsidP="00C56EC8">
            <w:pPr>
              <w:widowControl/>
              <w:autoSpaceDE w:val="0"/>
              <w:autoSpaceDN w:val="0"/>
              <w:adjustRightInd w:val="0"/>
              <w:spacing w:before="60"/>
              <w:ind w:left="0" w:right="0"/>
              <w:rPr>
                <w:rFonts w:ascii="Arial" w:hAnsi="Arial" w:cs="Arial"/>
                <w:sz w:val="20"/>
                <w:szCs w:val="20"/>
              </w:rPr>
            </w:pPr>
            <w:r w:rsidRPr="00F604C2">
              <w:rPr>
                <w:rFonts w:ascii="Arial" w:eastAsiaTheme="minorHAnsi" w:hAnsi="Arial" w:cs="Arial"/>
                <w:color w:val="000000"/>
                <w:sz w:val="20"/>
                <w:szCs w:val="20"/>
                <w:lang w:val="en-AU"/>
              </w:rPr>
              <w:t>Joint Accreditation Scheme of Australia &amp; New Zealand</w:t>
            </w:r>
            <w:r>
              <w:rPr>
                <w:rFonts w:ascii="Calibri" w:eastAsiaTheme="minorHAnsi" w:hAnsi="Calibri" w:cs="Calibri"/>
                <w:color w:val="000000"/>
                <w:sz w:val="22"/>
                <w:szCs w:val="22"/>
                <w:lang w:val="en-AU"/>
              </w:rPr>
              <w:t xml:space="preserve"> (</w:t>
            </w:r>
            <w:r w:rsidRPr="00B17EDB">
              <w:rPr>
                <w:rFonts w:ascii="Arial" w:hAnsi="Arial" w:cs="Arial"/>
                <w:sz w:val="20"/>
                <w:szCs w:val="20"/>
              </w:rPr>
              <w:t>JAS-ANZ</w:t>
            </w:r>
            <w:r>
              <w:rPr>
                <w:rFonts w:ascii="Arial" w:hAnsi="Arial" w:cs="Arial"/>
                <w:sz w:val="20"/>
                <w:szCs w:val="20"/>
              </w:rPr>
              <w:t>)</w:t>
            </w:r>
          </w:p>
          <w:p w:rsidR="00F604C2" w:rsidRPr="004E70E7" w:rsidRDefault="00F604C2" w:rsidP="00C56EC8">
            <w:pPr>
              <w:widowControl/>
              <w:autoSpaceDE w:val="0"/>
              <w:autoSpaceDN w:val="0"/>
              <w:adjustRightInd w:val="0"/>
              <w:spacing w:before="60"/>
              <w:ind w:left="0" w:right="0"/>
              <w:rPr>
                <w:rFonts w:ascii="Arial" w:hAnsi="Arial" w:cs="Arial"/>
                <w:i/>
                <w:sz w:val="20"/>
                <w:szCs w:val="20"/>
              </w:rPr>
            </w:pPr>
            <w:r w:rsidRPr="004E70E7">
              <w:rPr>
                <w:rFonts w:ascii="Arial" w:hAnsi="Arial" w:cs="Arial"/>
                <w:i/>
                <w:sz w:val="20"/>
                <w:szCs w:val="20"/>
              </w:rPr>
              <w:t>(Industry)</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The strategy omits engaging </w:t>
            </w:r>
            <w:r>
              <w:rPr>
                <w:rFonts w:ascii="Arial" w:hAnsi="Arial" w:cs="Arial"/>
                <w:sz w:val="20"/>
                <w:szCs w:val="20"/>
              </w:rPr>
              <w:t xml:space="preserve">and collaborating </w:t>
            </w:r>
            <w:r w:rsidRPr="00B17EDB">
              <w:rPr>
                <w:rFonts w:ascii="Arial" w:hAnsi="Arial" w:cs="Arial"/>
                <w:sz w:val="20"/>
                <w:szCs w:val="20"/>
              </w:rPr>
              <w:t>with ‘independent’ assessors of conformance</w:t>
            </w:r>
            <w:r>
              <w:rPr>
                <w:rFonts w:ascii="Arial" w:hAnsi="Arial" w:cs="Arial"/>
                <w:sz w:val="20"/>
                <w:szCs w:val="20"/>
              </w:rPr>
              <w:t xml:space="preserve">. </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eastAsiaTheme="minorHAnsi" w:hAnsi="Arial" w:cs="Arial"/>
                <w:color w:val="000000"/>
                <w:sz w:val="20"/>
                <w:szCs w:val="20"/>
                <w:lang w:val="en-GB"/>
              </w:rPr>
              <w:t>There is an opportunity for the strategy to acknowledge the role and the responsibility of certification bodies to assess the food safety culture</w:t>
            </w:r>
            <w:r>
              <w:rPr>
                <w:rFonts w:ascii="Arial" w:eastAsiaTheme="minorHAnsi" w:hAnsi="Arial" w:cs="Arial"/>
                <w:color w:val="000000"/>
                <w:sz w:val="20"/>
                <w:szCs w:val="20"/>
                <w:lang w:val="en-GB"/>
              </w:rPr>
              <w:t>.</w:t>
            </w:r>
            <w:r w:rsidRPr="00B17EDB">
              <w:rPr>
                <w:rFonts w:ascii="Arial" w:eastAsiaTheme="minorHAnsi" w:hAnsi="Arial" w:cs="Arial"/>
                <w:color w:val="000000"/>
                <w:sz w:val="20"/>
                <w:szCs w:val="20"/>
                <w:lang w:val="en-GB"/>
              </w:rPr>
              <w:t xml:space="preserve"> </w:t>
            </w:r>
          </w:p>
        </w:tc>
        <w:tc>
          <w:tcPr>
            <w:tcW w:w="1155" w:type="pct"/>
          </w:tcPr>
          <w:p w:rsidR="00F604C2"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 xml:space="preserve">A vulnerability risk assessment of the food supply needs to </w:t>
            </w:r>
            <w:r>
              <w:rPr>
                <w:rFonts w:ascii="Arial" w:eastAsiaTheme="minorHAnsi" w:hAnsi="Arial" w:cs="Arial"/>
                <w:color w:val="000000"/>
                <w:sz w:val="20"/>
                <w:szCs w:val="20"/>
                <w:lang w:val="en-GB"/>
              </w:rPr>
              <w:t>be done.</w:t>
            </w:r>
          </w:p>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p>
        </w:tc>
      </w:tr>
      <w:tr w:rsidR="00F604C2" w:rsidRPr="00B17EDB" w:rsidTr="00C56EC8">
        <w:trPr>
          <w:cantSplit/>
          <w:trHeight w:val="771"/>
        </w:trPr>
        <w:tc>
          <w:tcPr>
            <w:tcW w:w="1223" w:type="pct"/>
          </w:tcPr>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City of Mt Gambier, S</w:t>
            </w:r>
            <w:r>
              <w:rPr>
                <w:rFonts w:ascii="Arial" w:hAnsi="Arial" w:cs="Arial"/>
                <w:sz w:val="20"/>
                <w:szCs w:val="20"/>
              </w:rPr>
              <w:t>A</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26514">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Education should be highlighted with food safety training c</w:t>
            </w:r>
            <w:r>
              <w:rPr>
                <w:rFonts w:ascii="Arial" w:hAnsi="Arial" w:cs="Arial"/>
                <w:sz w:val="20"/>
                <w:szCs w:val="20"/>
              </w:rPr>
              <w:t>ompulsory for all new business.</w:t>
            </w:r>
          </w:p>
        </w:tc>
        <w:tc>
          <w:tcPr>
            <w:tcW w:w="1529" w:type="pct"/>
          </w:tcPr>
          <w:p w:rsidR="00F604C2" w:rsidRPr="00B17EDB" w:rsidRDefault="00F604C2" w:rsidP="00C56EC8">
            <w:pPr>
              <w:pStyle w:val="Default"/>
              <w:spacing w:before="60" w:after="60"/>
              <w:rPr>
                <w:rFonts w:ascii="Arial" w:hAnsi="Arial" w:cs="Arial"/>
                <w:color w:val="auto"/>
                <w:sz w:val="20"/>
                <w:szCs w:val="20"/>
              </w:rPr>
            </w:pPr>
            <w:r>
              <w:rPr>
                <w:rFonts w:ascii="Arial" w:hAnsi="Arial" w:cs="Arial"/>
                <w:color w:val="auto"/>
                <w:sz w:val="20"/>
                <w:szCs w:val="20"/>
              </w:rPr>
              <w:t>A national approach to food safety promotion.</w:t>
            </w:r>
          </w:p>
          <w:p w:rsidR="00F604C2" w:rsidRPr="00B17EDB" w:rsidRDefault="00F604C2" w:rsidP="00C56EC8">
            <w:pPr>
              <w:pStyle w:val="Default"/>
              <w:spacing w:before="60" w:after="60"/>
              <w:rPr>
                <w:rFonts w:ascii="Arial" w:hAnsi="Arial" w:cs="Arial"/>
                <w:sz w:val="20"/>
                <w:szCs w:val="20"/>
              </w:rPr>
            </w:pPr>
          </w:p>
        </w:tc>
        <w:tc>
          <w:tcPr>
            <w:tcW w:w="1155" w:type="pct"/>
          </w:tcPr>
          <w:p w:rsidR="00F604C2" w:rsidRPr="00F26514" w:rsidRDefault="00F604C2" w:rsidP="00C56EC8">
            <w:pPr>
              <w:tabs>
                <w:tab w:val="left" w:pos="4283"/>
              </w:tabs>
              <w:spacing w:before="60" w:after="60"/>
              <w:ind w:left="0" w:right="0"/>
              <w:rPr>
                <w:rFonts w:ascii="Arial" w:hAnsi="Arial" w:cs="Arial"/>
                <w:sz w:val="20"/>
                <w:szCs w:val="20"/>
              </w:rPr>
            </w:pPr>
          </w:p>
        </w:tc>
      </w:tr>
      <w:tr w:rsidR="00F604C2" w:rsidRPr="00B17EDB" w:rsidTr="00C56EC8">
        <w:trPr>
          <w:cantSplit/>
        </w:trPr>
        <w:tc>
          <w:tcPr>
            <w:tcW w:w="1223" w:type="pct"/>
          </w:tcPr>
          <w:p w:rsidR="00F604C2" w:rsidRPr="008B0F87" w:rsidRDefault="00F604C2" w:rsidP="00C56EC8">
            <w:pPr>
              <w:tabs>
                <w:tab w:val="left" w:pos="4283"/>
              </w:tabs>
              <w:spacing w:before="60" w:after="60"/>
              <w:ind w:left="0" w:right="0"/>
              <w:rPr>
                <w:rFonts w:ascii="Arial" w:hAnsi="Arial" w:cs="Arial"/>
                <w:sz w:val="20"/>
                <w:szCs w:val="20"/>
              </w:rPr>
            </w:pPr>
            <w:r w:rsidRPr="008B0F87">
              <w:rPr>
                <w:rFonts w:ascii="Arial" w:eastAsiaTheme="minorHAnsi" w:hAnsi="Arial" w:cs="Arial"/>
                <w:color w:val="000000"/>
                <w:sz w:val="20"/>
                <w:szCs w:val="20"/>
                <w:lang w:val="en-GB"/>
              </w:rPr>
              <w:lastRenderedPageBreak/>
              <w:t xml:space="preserve">University of Sydney - </w:t>
            </w:r>
            <w:r w:rsidRPr="008B0F87">
              <w:rPr>
                <w:rFonts w:ascii="Arial" w:eastAsiaTheme="minorHAnsi" w:hAnsi="Arial" w:cs="Arial"/>
                <w:i/>
                <w:iCs/>
                <w:color w:val="000000"/>
                <w:sz w:val="20"/>
                <w:szCs w:val="20"/>
                <w:lang w:val="en-GB"/>
              </w:rPr>
              <w:t>ARC Training Centre for Food Safety in the Fresh Produce Industry</w:t>
            </w:r>
          </w:p>
          <w:p w:rsidR="00F604C2" w:rsidRPr="008B0F87" w:rsidRDefault="00F604C2" w:rsidP="00C56EC8">
            <w:pPr>
              <w:tabs>
                <w:tab w:val="left" w:pos="4283"/>
              </w:tabs>
              <w:spacing w:before="60" w:after="60"/>
              <w:ind w:left="0" w:right="0"/>
              <w:rPr>
                <w:rFonts w:ascii="Arial" w:hAnsi="Arial" w:cs="Arial"/>
                <w:sz w:val="20"/>
                <w:szCs w:val="20"/>
              </w:rPr>
            </w:pPr>
            <w:r>
              <w:rPr>
                <w:rFonts w:ascii="Arial" w:eastAsiaTheme="minorHAnsi" w:hAnsi="Arial" w:cs="Arial"/>
                <w:i/>
                <w:iCs/>
                <w:color w:val="000000"/>
                <w:sz w:val="20"/>
                <w:szCs w:val="20"/>
                <w:lang w:val="en-GB"/>
              </w:rPr>
              <w:t>(</w:t>
            </w:r>
            <w:r w:rsidRPr="008B0F87">
              <w:rPr>
                <w:rFonts w:ascii="Arial" w:eastAsiaTheme="minorHAnsi" w:hAnsi="Arial" w:cs="Arial"/>
                <w:i/>
                <w:iCs/>
                <w:color w:val="000000"/>
                <w:sz w:val="20"/>
                <w:szCs w:val="20"/>
                <w:lang w:val="en-GB"/>
              </w:rPr>
              <w:t>University</w:t>
            </w:r>
            <w:r>
              <w:rPr>
                <w:rFonts w:ascii="Arial" w:eastAsiaTheme="minorHAnsi" w:hAnsi="Arial" w:cs="Arial"/>
                <w:i/>
                <w:iCs/>
                <w:color w:val="000000"/>
                <w:sz w:val="20"/>
                <w:szCs w:val="20"/>
                <w:lang w:val="en-GB"/>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Nil</w:t>
            </w:r>
            <w:r>
              <w:rPr>
                <w:rFonts w:ascii="Arial" w:hAnsi="Arial" w:cs="Arial"/>
                <w:sz w:val="20"/>
                <w:szCs w:val="20"/>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E</w:t>
            </w:r>
            <w:r w:rsidRPr="00B17EDB">
              <w:rPr>
                <w:rFonts w:ascii="Arial" w:eastAsiaTheme="minorHAnsi" w:hAnsi="Arial" w:cs="Arial"/>
                <w:color w:val="000000"/>
                <w:sz w:val="20"/>
                <w:szCs w:val="20"/>
                <w:lang w:val="en-GB"/>
              </w:rPr>
              <w:t>xternalities such as the social, economic</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and environmental costs</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associated with</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implementation of mitigation strategies, should</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also be considered.</w:t>
            </w:r>
          </w:p>
        </w:tc>
        <w:tc>
          <w:tcPr>
            <w:tcW w:w="1155" w:type="pct"/>
          </w:tcPr>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t>Providing a suitable framework for the sharing of data is essential</w:t>
            </w:r>
            <w:r>
              <w:rPr>
                <w:rFonts w:ascii="Arial" w:hAnsi="Arial" w:cs="Arial"/>
                <w:sz w:val="20"/>
                <w:szCs w:val="20"/>
              </w:rPr>
              <w:t>.</w:t>
            </w:r>
          </w:p>
          <w:p w:rsidR="00F604C2" w:rsidRPr="00AD65B5" w:rsidRDefault="00F604C2" w:rsidP="00C56EC8">
            <w:pPr>
              <w:pStyle w:val="Default"/>
              <w:spacing w:before="60" w:after="60"/>
              <w:rPr>
                <w:rFonts w:ascii="Arial" w:hAnsi="Arial" w:cs="Arial"/>
                <w:sz w:val="20"/>
                <w:szCs w:val="20"/>
              </w:rPr>
            </w:pPr>
          </w:p>
        </w:tc>
      </w:tr>
      <w:tr w:rsidR="00F604C2" w:rsidRPr="00B17EDB" w:rsidTr="00C56EC8">
        <w:trPr>
          <w:cantSplit/>
        </w:trPr>
        <w:tc>
          <w:tcPr>
            <w:tcW w:w="1223" w:type="pct"/>
          </w:tcPr>
          <w:p w:rsidR="00F604C2" w:rsidRPr="00AD65B5" w:rsidRDefault="00F604C2" w:rsidP="00C56EC8">
            <w:pPr>
              <w:tabs>
                <w:tab w:val="left" w:pos="4283"/>
              </w:tabs>
              <w:spacing w:before="60" w:after="60"/>
              <w:ind w:left="0" w:right="0"/>
              <w:rPr>
                <w:rFonts w:ascii="Arial" w:hAnsi="Arial" w:cs="Arial"/>
                <w:sz w:val="20"/>
                <w:szCs w:val="20"/>
              </w:rPr>
            </w:pPr>
            <w:r w:rsidRPr="00AD65B5">
              <w:rPr>
                <w:rFonts w:ascii="Arial" w:eastAsiaTheme="minorHAnsi" w:hAnsi="Arial" w:cs="Arial"/>
                <w:bCs/>
                <w:color w:val="000000"/>
                <w:sz w:val="20"/>
                <w:szCs w:val="20"/>
                <w:lang w:val="en-GB"/>
              </w:rPr>
              <w:t>Environmental Health Australia</w:t>
            </w:r>
            <w:r>
              <w:rPr>
                <w:rFonts w:ascii="Arial" w:eastAsiaTheme="minorHAnsi" w:hAnsi="Arial" w:cs="Arial"/>
                <w:bCs/>
                <w:color w:val="000000"/>
                <w:sz w:val="20"/>
                <w:szCs w:val="20"/>
                <w:lang w:val="en-GB"/>
              </w:rPr>
              <w:t xml:space="preserve">, </w:t>
            </w:r>
            <w:r w:rsidRPr="00AD65B5">
              <w:rPr>
                <w:rFonts w:ascii="Arial" w:eastAsiaTheme="minorHAnsi" w:hAnsi="Arial" w:cs="Arial"/>
                <w:bCs/>
                <w:color w:val="000000"/>
                <w:sz w:val="20"/>
                <w:szCs w:val="20"/>
                <w:lang w:val="en-GB"/>
              </w:rPr>
              <w:t>NSW Inc.</w:t>
            </w:r>
          </w:p>
          <w:p w:rsidR="00F604C2" w:rsidRPr="00AD65B5" w:rsidRDefault="00F604C2" w:rsidP="00C56EC8">
            <w:pPr>
              <w:tabs>
                <w:tab w:val="left" w:pos="4283"/>
              </w:tabs>
              <w:spacing w:before="60" w:after="60"/>
              <w:ind w:left="0" w:right="0"/>
              <w:rPr>
                <w:rFonts w:ascii="Arial" w:hAnsi="Arial" w:cs="Arial"/>
                <w:sz w:val="20"/>
                <w:szCs w:val="20"/>
              </w:rPr>
            </w:pPr>
            <w:r w:rsidRPr="00305BD7">
              <w:rPr>
                <w:rFonts w:ascii="Arial" w:eastAsiaTheme="minorHAnsi" w:hAnsi="Arial" w:cs="Arial"/>
                <w:bCs/>
                <w:color w:val="000000"/>
                <w:sz w:val="20"/>
                <w:szCs w:val="20"/>
                <w:lang w:val="en-GB"/>
              </w:rPr>
              <w:t>(</w:t>
            </w:r>
            <w:r w:rsidRPr="00AD65B5">
              <w:rPr>
                <w:rFonts w:ascii="Arial" w:eastAsiaTheme="minorHAnsi" w:hAnsi="Arial" w:cs="Arial"/>
                <w:bCs/>
                <w:i/>
                <w:color w:val="000000"/>
                <w:sz w:val="20"/>
                <w:szCs w:val="20"/>
                <w:lang w:val="en-GB"/>
              </w:rPr>
              <w:t>Not-for-profit organisation)</w:t>
            </w:r>
          </w:p>
        </w:tc>
        <w:tc>
          <w:tcPr>
            <w:tcW w:w="1093"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Pr>
                <w:rFonts w:ascii="Arial" w:eastAsiaTheme="minorHAnsi" w:hAnsi="Arial" w:cs="Arial"/>
                <w:color w:val="000000"/>
                <w:sz w:val="20"/>
                <w:szCs w:val="20"/>
                <w:lang w:val="en-GB"/>
              </w:rPr>
              <w:t>Promote the strategy to the medical profession.</w:t>
            </w:r>
          </w:p>
          <w:p w:rsidR="00F604C2" w:rsidRPr="00B17EDB" w:rsidRDefault="00F604C2" w:rsidP="00C56EC8">
            <w:pPr>
              <w:pStyle w:val="Default"/>
              <w:spacing w:before="60" w:after="60"/>
              <w:rPr>
                <w:rFonts w:ascii="Arial" w:hAnsi="Arial" w:cs="Arial"/>
                <w:sz w:val="20"/>
                <w:szCs w:val="20"/>
              </w:rPr>
            </w:pPr>
          </w:p>
        </w:tc>
        <w:tc>
          <w:tcPr>
            <w:tcW w:w="1529"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 xml:space="preserve">Suggests compulsory development for regulators and make food safety supervisors mandatory. </w:t>
            </w:r>
          </w:p>
        </w:tc>
        <w:tc>
          <w:tcPr>
            <w:tcW w:w="1155" w:type="pct"/>
          </w:tcPr>
          <w:p w:rsidR="00F604C2" w:rsidRPr="00AD65B5" w:rsidRDefault="00F604C2" w:rsidP="00C56EC8">
            <w:pPr>
              <w:tabs>
                <w:tab w:val="left" w:pos="4283"/>
              </w:tabs>
              <w:spacing w:before="60" w:after="60"/>
              <w:ind w:left="0" w:right="0"/>
              <w:rPr>
                <w:rFonts w:ascii="Arial" w:hAnsi="Arial" w:cs="Arial"/>
                <w:sz w:val="20"/>
                <w:szCs w:val="20"/>
              </w:rPr>
            </w:pPr>
            <w:r w:rsidRPr="00AD65B5">
              <w:rPr>
                <w:rFonts w:ascii="Arial" w:hAnsi="Arial" w:cs="Arial"/>
                <w:sz w:val="20"/>
                <w:szCs w:val="20"/>
              </w:rPr>
              <w:t>Funding for proactive sampling in retail and further research to identify the cause of increas</w:t>
            </w:r>
            <w:r>
              <w:rPr>
                <w:rFonts w:ascii="Arial" w:hAnsi="Arial" w:cs="Arial"/>
                <w:sz w:val="20"/>
                <w:szCs w:val="20"/>
              </w:rPr>
              <w:t xml:space="preserve">e. </w:t>
            </w:r>
          </w:p>
        </w:tc>
      </w:tr>
      <w:tr w:rsidR="00F604C2" w:rsidRPr="00B17EDB" w:rsidTr="00C56EC8">
        <w:trPr>
          <w:cantSplit/>
        </w:trPr>
        <w:tc>
          <w:tcPr>
            <w:tcW w:w="1223" w:type="pct"/>
          </w:tcPr>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Australian Chicken Meat Federation</w:t>
            </w:r>
          </w:p>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Ingham’s</w:t>
            </w:r>
          </w:p>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Golden Cockerel</w:t>
            </w:r>
          </w:p>
          <w:p w:rsidR="00F604C2" w:rsidRPr="00F26514"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 xml:space="preserve">Australian Duck Meat </w:t>
            </w:r>
            <w:r w:rsidRPr="00F26514">
              <w:rPr>
                <w:rFonts w:ascii="Arial" w:hAnsi="Arial" w:cs="Arial"/>
                <w:sz w:val="20"/>
                <w:szCs w:val="20"/>
              </w:rPr>
              <w:t>Association</w:t>
            </w:r>
          </w:p>
          <w:p w:rsidR="00F604C2" w:rsidRPr="00F26514"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F26514">
              <w:rPr>
                <w:rFonts w:ascii="Arial" w:hAnsi="Arial" w:cs="Arial"/>
                <w:i/>
                <w:sz w:val="20"/>
                <w:szCs w:val="20"/>
              </w:rPr>
              <w:t>Food industry)</w:t>
            </w:r>
          </w:p>
        </w:tc>
        <w:tc>
          <w:tcPr>
            <w:tcW w:w="1093" w:type="pct"/>
          </w:tcPr>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t>Supports a national strategy however questions what new initiatives are planned and the linkage between state activities and national activities</w:t>
            </w:r>
            <w:r>
              <w:rPr>
                <w:rFonts w:ascii="Arial" w:hAnsi="Arial" w:cs="Arial"/>
                <w:sz w:val="20"/>
                <w:szCs w:val="20"/>
              </w:rPr>
              <w:t>.</w:t>
            </w:r>
          </w:p>
          <w:p w:rsidR="00F604C2" w:rsidRPr="00F174D5" w:rsidRDefault="00F604C2" w:rsidP="00C56EC8">
            <w:pPr>
              <w:pStyle w:val="Default"/>
              <w:spacing w:before="60" w:after="60"/>
              <w:rPr>
                <w:rFonts w:ascii="Arial" w:hAnsi="Arial" w:cs="Arial"/>
                <w:sz w:val="20"/>
                <w:szCs w:val="20"/>
              </w:rPr>
            </w:pPr>
            <w:r>
              <w:rPr>
                <w:rFonts w:ascii="Arial" w:eastAsia="Times New Roman" w:hAnsi="Arial" w:cs="Arial"/>
                <w:sz w:val="20"/>
                <w:szCs w:val="20"/>
              </w:rPr>
              <w:t>C</w:t>
            </w:r>
            <w:r w:rsidRPr="00F174D5">
              <w:rPr>
                <w:rFonts w:ascii="Arial" w:eastAsia="Times New Roman" w:hAnsi="Arial" w:cs="Arial"/>
                <w:sz w:val="20"/>
                <w:szCs w:val="20"/>
              </w:rPr>
              <w:t>onsistent methodology for monitoring and surveillance important</w:t>
            </w:r>
            <w:r>
              <w:rPr>
                <w:rFonts w:ascii="Arial" w:eastAsia="Times New Roman" w:hAnsi="Arial" w:cs="Arial"/>
                <w:sz w:val="20"/>
                <w:szCs w:val="20"/>
              </w:rPr>
              <w:t>.</w:t>
            </w:r>
          </w:p>
        </w:tc>
        <w:tc>
          <w:tcPr>
            <w:tcW w:w="1529" w:type="pct"/>
          </w:tcPr>
          <w:p w:rsidR="00F604C2" w:rsidRPr="00B17EDB" w:rsidRDefault="00F604C2" w:rsidP="00C56EC8">
            <w:pPr>
              <w:pStyle w:val="Default"/>
              <w:spacing w:after="60"/>
              <w:rPr>
                <w:rFonts w:ascii="Arial" w:hAnsi="Arial" w:cs="Arial"/>
                <w:sz w:val="20"/>
                <w:szCs w:val="20"/>
              </w:rPr>
            </w:pPr>
            <w:r w:rsidRPr="00B17EDB">
              <w:rPr>
                <w:rFonts w:ascii="Arial" w:hAnsi="Arial" w:cs="Arial"/>
                <w:sz w:val="20"/>
                <w:szCs w:val="20"/>
              </w:rPr>
              <w:t>Include prioritising of activities for resourcing</w:t>
            </w:r>
            <w:r>
              <w:rPr>
                <w:rFonts w:ascii="Arial" w:hAnsi="Arial" w:cs="Arial"/>
                <w:sz w:val="20"/>
                <w:szCs w:val="20"/>
              </w:rPr>
              <w:t>.</w:t>
            </w:r>
          </w:p>
          <w:p w:rsidR="00F604C2" w:rsidRPr="00B17EDB" w:rsidRDefault="00F604C2" w:rsidP="00C56EC8">
            <w:pPr>
              <w:widowControl/>
              <w:autoSpaceDE w:val="0"/>
              <w:autoSpaceDN w:val="0"/>
              <w:adjustRightInd w:val="0"/>
              <w:spacing w:before="0"/>
              <w:ind w:left="0" w:right="0"/>
              <w:rPr>
                <w:rFonts w:ascii="Arial" w:hAnsi="Arial" w:cs="Arial"/>
                <w:sz w:val="20"/>
                <w:szCs w:val="20"/>
              </w:rPr>
            </w:pPr>
            <w:r>
              <w:rPr>
                <w:rFonts w:ascii="Arial" w:eastAsiaTheme="minorHAnsi" w:hAnsi="Arial" w:cs="Arial"/>
                <w:color w:val="000000"/>
                <w:sz w:val="20"/>
                <w:szCs w:val="20"/>
                <w:lang w:val="en-GB"/>
              </w:rPr>
              <w:t>Identified a number of activities e.g. communication to the medical sector, assessing inconsistent implementation of standards, developing robust sampling protocols.</w:t>
            </w:r>
          </w:p>
        </w:tc>
        <w:tc>
          <w:tcPr>
            <w:tcW w:w="1155" w:type="pct"/>
          </w:tcPr>
          <w:p w:rsidR="00F604C2" w:rsidRPr="00F26514" w:rsidRDefault="00F604C2" w:rsidP="00C56EC8">
            <w:pPr>
              <w:widowControl/>
              <w:autoSpaceDE w:val="0"/>
              <w:autoSpaceDN w:val="0"/>
              <w:adjustRightInd w:val="0"/>
              <w:spacing w:before="60" w:after="60"/>
              <w:ind w:left="0" w:right="0"/>
              <w:rPr>
                <w:rFonts w:ascii="Arial" w:hAnsi="Arial" w:cs="Arial"/>
                <w:sz w:val="20"/>
                <w:szCs w:val="20"/>
              </w:rPr>
            </w:pPr>
          </w:p>
        </w:tc>
      </w:tr>
      <w:tr w:rsidR="00F604C2" w:rsidRPr="00B17EDB" w:rsidTr="00C56EC8">
        <w:trPr>
          <w:cantSplit/>
        </w:trPr>
        <w:tc>
          <w:tcPr>
            <w:tcW w:w="1223" w:type="pct"/>
          </w:tcPr>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 xml:space="preserve">Eastern </w:t>
            </w:r>
            <w:r>
              <w:rPr>
                <w:rFonts w:ascii="Arial" w:hAnsi="Arial" w:cs="Arial"/>
                <w:sz w:val="20"/>
                <w:szCs w:val="20"/>
              </w:rPr>
              <w:t>H</w:t>
            </w:r>
            <w:r w:rsidRPr="00F26514">
              <w:rPr>
                <w:rFonts w:ascii="Arial" w:hAnsi="Arial" w:cs="Arial"/>
                <w:sz w:val="20"/>
                <w:szCs w:val="20"/>
              </w:rPr>
              <w:t>ealth Authority</w:t>
            </w:r>
          </w:p>
          <w:p w:rsidR="00F604C2" w:rsidRPr="00F26514"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8B0F87">
              <w:rPr>
                <w:rFonts w:ascii="Arial" w:hAnsi="Arial" w:cs="Arial"/>
                <w:i/>
                <w:sz w:val="20"/>
                <w:szCs w:val="20"/>
              </w:rPr>
              <w:t>Government)</w:t>
            </w:r>
          </w:p>
        </w:tc>
        <w:tc>
          <w:tcPr>
            <w:tcW w:w="1093" w:type="pct"/>
          </w:tcPr>
          <w:p w:rsidR="00F604C2"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Improving food safety culture</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is essential for long term voluntary compliance</w:t>
            </w:r>
            <w:r>
              <w:rPr>
                <w:rFonts w:ascii="Arial" w:eastAsiaTheme="minorHAnsi" w:hAnsi="Arial" w:cs="Arial"/>
                <w:color w:val="000000"/>
                <w:sz w:val="20"/>
                <w:szCs w:val="20"/>
                <w:lang w:val="en-GB"/>
              </w:rPr>
              <w:t>.</w:t>
            </w:r>
            <w:r w:rsidRPr="00B17EDB">
              <w:rPr>
                <w:rFonts w:ascii="Arial" w:eastAsiaTheme="minorHAnsi" w:hAnsi="Arial" w:cs="Arial"/>
                <w:color w:val="000000"/>
                <w:sz w:val="20"/>
                <w:szCs w:val="20"/>
                <w:lang w:val="en-GB"/>
              </w:rPr>
              <w:t xml:space="preserve"> </w:t>
            </w:r>
          </w:p>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Consistent and straight forward education.</w:t>
            </w:r>
          </w:p>
        </w:tc>
        <w:tc>
          <w:tcPr>
            <w:tcW w:w="1529"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Specific training regarding processes</w:t>
            </w:r>
            <w:r>
              <w:rPr>
                <w:rFonts w:ascii="Arial" w:eastAsiaTheme="minorHAnsi" w:hAnsi="Arial" w:cs="Arial"/>
                <w:color w:val="000000"/>
                <w:sz w:val="20"/>
                <w:szCs w:val="20"/>
                <w:lang w:val="en-GB"/>
              </w:rPr>
              <w:t xml:space="preserve"> </w:t>
            </w:r>
            <w:r w:rsidRPr="00B17EDB">
              <w:rPr>
                <w:rFonts w:ascii="Arial" w:eastAsiaTheme="minorHAnsi" w:hAnsi="Arial" w:cs="Arial"/>
                <w:color w:val="000000"/>
                <w:sz w:val="20"/>
                <w:szCs w:val="20"/>
                <w:lang w:val="en-GB"/>
              </w:rPr>
              <w:t>needs to be made available to these businesses</w:t>
            </w:r>
            <w:r>
              <w:rPr>
                <w:rFonts w:ascii="Arial" w:eastAsiaTheme="minorHAnsi" w:hAnsi="Arial" w:cs="Arial"/>
                <w:color w:val="000000"/>
                <w:sz w:val="20"/>
                <w:szCs w:val="20"/>
                <w:lang w:val="en-GB"/>
              </w:rPr>
              <w:t>.</w:t>
            </w:r>
            <w:r w:rsidRPr="00B17EDB">
              <w:rPr>
                <w:rFonts w:ascii="Arial" w:eastAsiaTheme="minorHAnsi" w:hAnsi="Arial" w:cs="Arial"/>
                <w:color w:val="000000"/>
                <w:sz w:val="20"/>
                <w:szCs w:val="20"/>
                <w:lang w:val="en-GB"/>
              </w:rPr>
              <w:t xml:space="preserve"> </w:t>
            </w:r>
          </w:p>
          <w:p w:rsidR="00F604C2" w:rsidRPr="00B17EDB" w:rsidRDefault="00F604C2" w:rsidP="00C56EC8">
            <w:pPr>
              <w:pStyle w:val="Default"/>
              <w:spacing w:before="60" w:after="60"/>
              <w:rPr>
                <w:rFonts w:ascii="Arial" w:hAnsi="Arial" w:cs="Arial"/>
                <w:sz w:val="20"/>
                <w:szCs w:val="20"/>
              </w:rPr>
            </w:pPr>
          </w:p>
        </w:tc>
        <w:tc>
          <w:tcPr>
            <w:tcW w:w="1155" w:type="pct"/>
          </w:tcPr>
          <w:p w:rsidR="00F604C2" w:rsidRPr="00B17EDB" w:rsidRDefault="00F604C2" w:rsidP="00C56EC8">
            <w:pPr>
              <w:widowControl/>
              <w:autoSpaceDE w:val="0"/>
              <w:autoSpaceDN w:val="0"/>
              <w:adjustRightInd w:val="0"/>
              <w:spacing w:before="60" w:after="60"/>
              <w:ind w:left="0" w:right="0"/>
              <w:rPr>
                <w:rFonts w:ascii="Arial" w:hAnsi="Arial" w:cs="Arial"/>
                <w:sz w:val="20"/>
                <w:szCs w:val="20"/>
              </w:rPr>
            </w:pPr>
            <w:r>
              <w:rPr>
                <w:rFonts w:ascii="Arial" w:eastAsiaTheme="minorHAnsi" w:hAnsi="Arial" w:cs="Arial"/>
                <w:color w:val="000000"/>
                <w:sz w:val="20"/>
                <w:szCs w:val="20"/>
                <w:lang w:val="en-GB"/>
              </w:rPr>
              <w:t>Improved data access through electronic reporting systems.</w:t>
            </w:r>
          </w:p>
        </w:tc>
      </w:tr>
      <w:tr w:rsidR="00F604C2" w:rsidRPr="00B17EDB" w:rsidTr="00C56EC8">
        <w:trPr>
          <w:cantSplit/>
        </w:trPr>
        <w:tc>
          <w:tcPr>
            <w:tcW w:w="1223" w:type="pct"/>
          </w:tcPr>
          <w:p w:rsidR="00F604C2" w:rsidRPr="00F26514" w:rsidRDefault="00F604C2" w:rsidP="00C56EC8">
            <w:pPr>
              <w:tabs>
                <w:tab w:val="left" w:pos="4283"/>
              </w:tabs>
              <w:spacing w:before="60" w:after="60"/>
              <w:ind w:left="0" w:right="0"/>
              <w:rPr>
                <w:rFonts w:ascii="Arial" w:hAnsi="Arial" w:cs="Arial"/>
                <w:sz w:val="20"/>
                <w:szCs w:val="20"/>
              </w:rPr>
            </w:pPr>
            <w:r w:rsidRPr="00F26514">
              <w:rPr>
                <w:rFonts w:ascii="Arial" w:hAnsi="Arial" w:cs="Arial"/>
                <w:sz w:val="20"/>
                <w:szCs w:val="20"/>
              </w:rPr>
              <w:t>City of Port Adelaide</w:t>
            </w:r>
            <w:r>
              <w:rPr>
                <w:rFonts w:ascii="Arial" w:hAnsi="Arial" w:cs="Arial"/>
                <w:sz w:val="20"/>
                <w:szCs w:val="20"/>
              </w:rPr>
              <w:t>,</w:t>
            </w:r>
            <w:r w:rsidRPr="00F26514">
              <w:rPr>
                <w:rFonts w:ascii="Arial" w:hAnsi="Arial" w:cs="Arial"/>
                <w:sz w:val="20"/>
                <w:szCs w:val="20"/>
              </w:rPr>
              <w:t xml:space="preserve"> Enfield</w:t>
            </w:r>
          </w:p>
          <w:p w:rsidR="00F604C2" w:rsidRPr="00F26514"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8B0F87">
              <w:rPr>
                <w:rFonts w:ascii="Arial" w:hAnsi="Arial" w:cs="Arial"/>
                <w:i/>
                <w:sz w:val="20"/>
                <w:szCs w:val="20"/>
              </w:rPr>
              <w:t>Government)</w:t>
            </w:r>
          </w:p>
        </w:tc>
        <w:tc>
          <w:tcPr>
            <w:tcW w:w="1093" w:type="pct"/>
          </w:tcPr>
          <w:p w:rsidR="00F604C2" w:rsidRDefault="00F604C2" w:rsidP="00C56EC8">
            <w:pPr>
              <w:pStyle w:val="Default"/>
              <w:spacing w:before="60" w:after="60"/>
              <w:rPr>
                <w:rFonts w:ascii="Arial" w:hAnsi="Arial" w:cs="Arial"/>
                <w:sz w:val="20"/>
                <w:szCs w:val="20"/>
              </w:rPr>
            </w:pPr>
            <w:r>
              <w:rPr>
                <w:rFonts w:ascii="Arial" w:hAnsi="Arial" w:cs="Arial"/>
                <w:sz w:val="20"/>
                <w:szCs w:val="20"/>
              </w:rPr>
              <w:t xml:space="preserve">Include </w:t>
            </w:r>
            <w:r w:rsidRPr="00B17EDB">
              <w:rPr>
                <w:rFonts w:ascii="Arial" w:hAnsi="Arial" w:cs="Arial"/>
                <w:sz w:val="20"/>
                <w:szCs w:val="20"/>
              </w:rPr>
              <w:t>Government in the implementation/disseminatio</w:t>
            </w:r>
            <w:r>
              <w:rPr>
                <w:rFonts w:ascii="Arial" w:hAnsi="Arial" w:cs="Arial"/>
                <w:sz w:val="20"/>
                <w:szCs w:val="20"/>
              </w:rPr>
              <w:t>n of this educational material.</w:t>
            </w:r>
          </w:p>
          <w:p w:rsidR="00F604C2" w:rsidRPr="00B17EDB" w:rsidRDefault="00F604C2" w:rsidP="00C56EC8">
            <w:pPr>
              <w:pStyle w:val="Default"/>
              <w:spacing w:before="60" w:after="60"/>
              <w:rPr>
                <w:rFonts w:ascii="Arial" w:hAnsi="Arial" w:cs="Arial"/>
                <w:sz w:val="20"/>
                <w:szCs w:val="20"/>
              </w:rPr>
            </w:pPr>
          </w:p>
        </w:tc>
        <w:tc>
          <w:tcPr>
            <w:tcW w:w="1529" w:type="pct"/>
          </w:tcPr>
          <w:p w:rsidR="00F604C2" w:rsidRPr="00F174D5" w:rsidRDefault="00F604C2" w:rsidP="00C56EC8">
            <w:pPr>
              <w:pStyle w:val="Default"/>
              <w:spacing w:before="60" w:after="60"/>
              <w:rPr>
                <w:rFonts w:ascii="Arial" w:eastAsia="Times New Roman" w:hAnsi="Arial" w:cs="Arial"/>
                <w:sz w:val="20"/>
                <w:szCs w:val="20"/>
              </w:rPr>
            </w:pPr>
            <w:r w:rsidRPr="00F174D5">
              <w:rPr>
                <w:rFonts w:ascii="Arial" w:eastAsia="Times New Roman" w:hAnsi="Arial" w:cs="Arial"/>
                <w:sz w:val="20"/>
                <w:szCs w:val="20"/>
              </w:rPr>
              <w:t>Suggest an emphasis on GPs role in sampling and characterisation and reporting</w:t>
            </w:r>
            <w:r>
              <w:rPr>
                <w:rFonts w:ascii="Arial" w:eastAsia="Times New Roman" w:hAnsi="Arial" w:cs="Arial"/>
                <w:sz w:val="20"/>
                <w:szCs w:val="20"/>
              </w:rPr>
              <w:t>.</w:t>
            </w:r>
          </w:p>
          <w:p w:rsidR="00F604C2" w:rsidRPr="00F174D5" w:rsidRDefault="00F604C2" w:rsidP="00C56EC8">
            <w:pPr>
              <w:pStyle w:val="Default"/>
              <w:spacing w:before="60" w:after="60"/>
              <w:rPr>
                <w:rFonts w:ascii="Arial" w:hAnsi="Arial" w:cs="Arial"/>
                <w:sz w:val="20"/>
                <w:szCs w:val="20"/>
              </w:rPr>
            </w:pPr>
            <w:r w:rsidRPr="00F174D5">
              <w:rPr>
                <w:rFonts w:ascii="Arial" w:hAnsi="Arial" w:cs="Arial"/>
                <w:sz w:val="20"/>
                <w:szCs w:val="20"/>
              </w:rPr>
              <w:t>Information on home food safety e.g. preventing cross-contamination, poultry/egg hygiene practices</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School education</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Engaging with various cultural groups to get advice on influencing cultural change</w:t>
            </w:r>
            <w:r>
              <w:rPr>
                <w:rFonts w:ascii="Arial" w:hAnsi="Arial" w:cs="Arial"/>
                <w:sz w:val="20"/>
                <w:szCs w:val="20"/>
              </w:rPr>
              <w:t>.</w:t>
            </w:r>
          </w:p>
        </w:tc>
        <w:tc>
          <w:tcPr>
            <w:tcW w:w="1155" w:type="pct"/>
          </w:tcPr>
          <w:p w:rsidR="00F604C2" w:rsidRDefault="00F604C2" w:rsidP="00C56EC8">
            <w:pPr>
              <w:pStyle w:val="Default"/>
              <w:spacing w:before="60" w:after="60"/>
              <w:rPr>
                <w:rFonts w:ascii="Arial" w:hAnsi="Arial" w:cs="Arial"/>
                <w:sz w:val="20"/>
                <w:szCs w:val="20"/>
              </w:rPr>
            </w:pPr>
            <w:r>
              <w:rPr>
                <w:rFonts w:ascii="Arial" w:hAnsi="Arial" w:cs="Arial"/>
                <w:sz w:val="20"/>
                <w:szCs w:val="20"/>
              </w:rPr>
              <w:t>Getting doctors to provide more samples for confirmation.</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Ensure EHOs are part of decision-making.</w:t>
            </w:r>
          </w:p>
        </w:tc>
      </w:tr>
      <w:tr w:rsidR="00F604C2" w:rsidRPr="00B17EDB" w:rsidTr="00C56EC8">
        <w:trPr>
          <w:cantSplit/>
        </w:trPr>
        <w:tc>
          <w:tcPr>
            <w:tcW w:w="1223" w:type="pct"/>
          </w:tcPr>
          <w:p w:rsidR="00F604C2" w:rsidRPr="00AD65B5" w:rsidRDefault="00F604C2" w:rsidP="00C56EC8">
            <w:pPr>
              <w:tabs>
                <w:tab w:val="left" w:pos="4283"/>
              </w:tabs>
              <w:spacing w:before="60" w:after="60"/>
              <w:ind w:left="0" w:right="0"/>
              <w:rPr>
                <w:rFonts w:ascii="Arial" w:hAnsi="Arial" w:cs="Arial"/>
                <w:sz w:val="20"/>
                <w:szCs w:val="20"/>
              </w:rPr>
            </w:pPr>
            <w:r w:rsidRPr="3BDCE97C">
              <w:rPr>
                <w:rFonts w:ascii="Arial" w:hAnsi="Arial" w:cs="Arial"/>
                <w:sz w:val="20"/>
                <w:szCs w:val="20"/>
              </w:rPr>
              <w:t>Food Safety Information Council (</w:t>
            </w:r>
            <w:r>
              <w:rPr>
                <w:rFonts w:ascii="Arial" w:hAnsi="Arial" w:cs="Arial"/>
                <w:i/>
                <w:iCs/>
                <w:sz w:val="20"/>
                <w:szCs w:val="20"/>
              </w:rPr>
              <w:t>O</w:t>
            </w:r>
            <w:r w:rsidRPr="3BDCE97C">
              <w:rPr>
                <w:rFonts w:ascii="Arial" w:hAnsi="Arial" w:cs="Arial"/>
                <w:i/>
                <w:iCs/>
                <w:sz w:val="20"/>
                <w:szCs w:val="20"/>
              </w:rPr>
              <w:t>ther)</w:t>
            </w:r>
          </w:p>
        </w:tc>
        <w:tc>
          <w:tcPr>
            <w:tcW w:w="1093"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S</w:t>
            </w:r>
            <w:r w:rsidRPr="00B17EDB">
              <w:rPr>
                <w:rFonts w:ascii="Arial" w:hAnsi="Arial" w:cs="Arial"/>
                <w:sz w:val="20"/>
                <w:szCs w:val="20"/>
              </w:rPr>
              <w:t xml:space="preserve">upports the </w:t>
            </w:r>
            <w:r>
              <w:rPr>
                <w:rFonts w:ascii="Arial" w:hAnsi="Arial" w:cs="Arial"/>
                <w:sz w:val="20"/>
                <w:szCs w:val="20"/>
              </w:rPr>
              <w:t>activities.</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Consumer food safety research and education campaigns</w:t>
            </w:r>
            <w:r>
              <w:rPr>
                <w:rFonts w:ascii="Arial" w:hAnsi="Arial" w:cs="Arial"/>
                <w:sz w:val="20"/>
                <w:szCs w:val="20"/>
              </w:rPr>
              <w:t>.</w:t>
            </w:r>
          </w:p>
        </w:tc>
        <w:tc>
          <w:tcPr>
            <w:tcW w:w="1155" w:type="pct"/>
          </w:tcPr>
          <w:p w:rsidR="00F604C2" w:rsidRPr="00AD65B5" w:rsidRDefault="00F604C2" w:rsidP="00C56EC8">
            <w:pPr>
              <w:tabs>
                <w:tab w:val="left" w:pos="4283"/>
              </w:tabs>
              <w:spacing w:before="60" w:after="60"/>
              <w:ind w:left="0" w:right="0"/>
              <w:rPr>
                <w:rFonts w:ascii="Arial" w:hAnsi="Arial" w:cs="Arial"/>
                <w:sz w:val="20"/>
                <w:szCs w:val="20"/>
              </w:rPr>
            </w:pPr>
            <w:r w:rsidRPr="00AD65B5">
              <w:rPr>
                <w:rFonts w:ascii="Arial" w:hAnsi="Arial" w:cs="Arial"/>
                <w:sz w:val="20"/>
                <w:szCs w:val="20"/>
              </w:rPr>
              <w:t xml:space="preserve">Improved epidemiological data on sporadic cases and outbreaks to inform </w:t>
            </w:r>
            <w:r>
              <w:rPr>
                <w:rFonts w:ascii="Arial" w:hAnsi="Arial" w:cs="Arial"/>
                <w:sz w:val="20"/>
                <w:szCs w:val="20"/>
              </w:rPr>
              <w:t>education.</w:t>
            </w:r>
          </w:p>
        </w:tc>
      </w:tr>
      <w:tr w:rsidR="00F604C2" w:rsidRPr="00B17EDB" w:rsidTr="00C56EC8">
        <w:trPr>
          <w:cantSplit/>
        </w:trPr>
        <w:tc>
          <w:tcPr>
            <w:tcW w:w="1223" w:type="pct"/>
          </w:tcPr>
          <w:p w:rsidR="00F604C2" w:rsidRPr="00AD65B5" w:rsidRDefault="00F604C2" w:rsidP="00C56EC8">
            <w:pPr>
              <w:tabs>
                <w:tab w:val="left" w:pos="4283"/>
              </w:tabs>
              <w:spacing w:before="60" w:after="60"/>
              <w:ind w:left="0" w:right="0"/>
              <w:rPr>
                <w:rFonts w:ascii="Arial" w:hAnsi="Arial" w:cs="Arial"/>
                <w:sz w:val="20"/>
                <w:szCs w:val="20"/>
              </w:rPr>
            </w:pPr>
            <w:proofErr w:type="spellStart"/>
            <w:r>
              <w:rPr>
                <w:rFonts w:ascii="Arial" w:hAnsi="Arial" w:cs="Arial"/>
                <w:sz w:val="20"/>
                <w:szCs w:val="20"/>
              </w:rPr>
              <w:lastRenderedPageBreak/>
              <w:t>Rockhampton</w:t>
            </w:r>
            <w:proofErr w:type="spellEnd"/>
            <w:r>
              <w:rPr>
                <w:rFonts w:ascii="Arial" w:hAnsi="Arial" w:cs="Arial"/>
                <w:sz w:val="20"/>
                <w:szCs w:val="20"/>
              </w:rPr>
              <w:t xml:space="preserve"> Regional Council, </w:t>
            </w:r>
            <w:proofErr w:type="spellStart"/>
            <w:r>
              <w:rPr>
                <w:rFonts w:ascii="Arial" w:hAnsi="Arial" w:cs="Arial"/>
                <w:sz w:val="20"/>
                <w:szCs w:val="20"/>
              </w:rPr>
              <w:t>Q</w:t>
            </w:r>
            <w:r w:rsidRPr="00AD65B5">
              <w:rPr>
                <w:rFonts w:ascii="Arial" w:hAnsi="Arial" w:cs="Arial"/>
                <w:sz w:val="20"/>
                <w:szCs w:val="20"/>
              </w:rPr>
              <w:t>ld</w:t>
            </w:r>
            <w:proofErr w:type="spellEnd"/>
          </w:p>
          <w:p w:rsidR="00F604C2" w:rsidRPr="00AD65B5"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AD65B5">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Support the strategy and suggested ways for information to flow to local government</w:t>
            </w:r>
            <w:r>
              <w:rPr>
                <w:rFonts w:ascii="Arial" w:hAnsi="Arial" w:cs="Arial"/>
                <w:sz w:val="20"/>
                <w:szCs w:val="20"/>
              </w:rPr>
              <w:t>.</w:t>
            </w:r>
            <w:r w:rsidRPr="00B17EDB">
              <w:rPr>
                <w:rFonts w:ascii="Arial" w:hAnsi="Arial" w:cs="Arial"/>
                <w:sz w:val="20"/>
                <w:szCs w:val="20"/>
              </w:rPr>
              <w:t xml:space="preserve"> </w:t>
            </w:r>
          </w:p>
        </w:tc>
        <w:tc>
          <w:tcPr>
            <w:tcW w:w="1529"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N</w:t>
            </w:r>
            <w:r w:rsidRPr="00B17EDB">
              <w:rPr>
                <w:rFonts w:ascii="Arial" w:hAnsi="Arial" w:cs="Arial"/>
                <w:sz w:val="20"/>
                <w:szCs w:val="20"/>
              </w:rPr>
              <w:t>il</w:t>
            </w:r>
            <w:r>
              <w:rPr>
                <w:rFonts w:ascii="Arial" w:hAnsi="Arial" w:cs="Arial"/>
                <w:sz w:val="20"/>
                <w:szCs w:val="20"/>
              </w:rPr>
              <w:t>.</w:t>
            </w:r>
          </w:p>
        </w:tc>
        <w:tc>
          <w:tcPr>
            <w:tcW w:w="1155"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Focus</w:t>
            </w:r>
            <w:r>
              <w:rPr>
                <w:rFonts w:ascii="Arial" w:hAnsi="Arial" w:cs="Arial"/>
                <w:sz w:val="20"/>
                <w:szCs w:val="20"/>
              </w:rPr>
              <w:t xml:space="preserve"> </w:t>
            </w:r>
            <w:r w:rsidRPr="00B17EDB">
              <w:rPr>
                <w:rFonts w:ascii="Arial" w:hAnsi="Arial" w:cs="Arial"/>
                <w:sz w:val="20"/>
                <w:szCs w:val="20"/>
              </w:rPr>
              <w:t>on the key localities where outbreaks are occurring</w:t>
            </w:r>
            <w:r>
              <w:rPr>
                <w:rFonts w:ascii="Arial" w:hAnsi="Arial" w:cs="Arial"/>
                <w:sz w:val="20"/>
                <w:szCs w:val="20"/>
              </w:rPr>
              <w:t xml:space="preserve"> to determine possible pathways.</w:t>
            </w:r>
          </w:p>
        </w:tc>
      </w:tr>
      <w:tr w:rsidR="00F604C2" w:rsidRPr="00B17EDB" w:rsidTr="00C56EC8">
        <w:trPr>
          <w:cantSplit/>
        </w:trPr>
        <w:tc>
          <w:tcPr>
            <w:tcW w:w="1223" w:type="pct"/>
          </w:tcPr>
          <w:p w:rsidR="00F604C2" w:rsidRPr="00AD65B5" w:rsidRDefault="00F604C2" w:rsidP="00C56EC8">
            <w:pPr>
              <w:tabs>
                <w:tab w:val="left" w:pos="4283"/>
              </w:tabs>
              <w:spacing w:before="60" w:after="60"/>
              <w:ind w:left="0" w:right="0"/>
              <w:rPr>
                <w:rFonts w:ascii="Arial" w:hAnsi="Arial" w:cs="Arial"/>
                <w:sz w:val="20"/>
                <w:szCs w:val="20"/>
              </w:rPr>
            </w:pPr>
            <w:r w:rsidRPr="00AD65B5">
              <w:rPr>
                <w:rFonts w:ascii="Arial" w:hAnsi="Arial" w:cs="Arial"/>
                <w:sz w:val="20"/>
                <w:szCs w:val="20"/>
              </w:rPr>
              <w:t xml:space="preserve">City of </w:t>
            </w:r>
            <w:proofErr w:type="spellStart"/>
            <w:r w:rsidRPr="00AD65B5">
              <w:rPr>
                <w:rFonts w:ascii="Arial" w:hAnsi="Arial" w:cs="Arial"/>
                <w:sz w:val="20"/>
                <w:szCs w:val="20"/>
              </w:rPr>
              <w:t>Onkaparinga</w:t>
            </w:r>
            <w:proofErr w:type="spellEnd"/>
            <w:r w:rsidRPr="00AD65B5">
              <w:rPr>
                <w:rFonts w:ascii="Arial" w:hAnsi="Arial" w:cs="Arial"/>
                <w:sz w:val="20"/>
                <w:szCs w:val="20"/>
              </w:rPr>
              <w:t>, SA</w:t>
            </w:r>
          </w:p>
          <w:p w:rsidR="00F604C2" w:rsidRPr="00AD65B5"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AD65B5">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Consistency is needed within the food regulation system.</w:t>
            </w:r>
          </w:p>
        </w:tc>
        <w:tc>
          <w:tcPr>
            <w:tcW w:w="1529" w:type="pct"/>
          </w:tcPr>
          <w:p w:rsidR="00F604C2" w:rsidRDefault="00F604C2" w:rsidP="00C56EC8">
            <w:pPr>
              <w:pStyle w:val="Default"/>
              <w:spacing w:before="60" w:after="60"/>
              <w:rPr>
                <w:rFonts w:ascii="Arial" w:hAnsi="Arial" w:cs="Arial"/>
                <w:sz w:val="20"/>
                <w:szCs w:val="20"/>
              </w:rPr>
            </w:pPr>
            <w:r>
              <w:rPr>
                <w:rFonts w:ascii="Arial" w:hAnsi="Arial" w:cs="Arial"/>
                <w:sz w:val="20"/>
                <w:szCs w:val="20"/>
              </w:rPr>
              <w:t>Include licencing, compulsory training and record keeping.</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 xml:space="preserve"> </w:t>
            </w:r>
          </w:p>
        </w:tc>
        <w:tc>
          <w:tcPr>
            <w:tcW w:w="1155"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Improved access to </w:t>
            </w:r>
            <w:r>
              <w:rPr>
                <w:rFonts w:ascii="Arial" w:hAnsi="Arial" w:cs="Arial"/>
                <w:sz w:val="20"/>
                <w:szCs w:val="20"/>
              </w:rPr>
              <w:t xml:space="preserve">investigation and monitoring </w:t>
            </w:r>
            <w:r w:rsidRPr="00B17EDB">
              <w:rPr>
                <w:rFonts w:ascii="Arial" w:hAnsi="Arial" w:cs="Arial"/>
                <w:sz w:val="20"/>
                <w:szCs w:val="20"/>
              </w:rPr>
              <w:t>information for councils</w:t>
            </w:r>
            <w:r>
              <w:rPr>
                <w:rFonts w:ascii="Arial" w:hAnsi="Arial" w:cs="Arial"/>
                <w:sz w:val="20"/>
                <w:szCs w:val="20"/>
              </w:rPr>
              <w:t>.</w:t>
            </w:r>
            <w:r w:rsidRPr="00B17EDB">
              <w:rPr>
                <w:rFonts w:ascii="Arial" w:hAnsi="Arial" w:cs="Arial"/>
                <w:sz w:val="20"/>
                <w:szCs w:val="20"/>
              </w:rPr>
              <w:t xml:space="preserve"> </w:t>
            </w:r>
          </w:p>
        </w:tc>
      </w:tr>
      <w:tr w:rsidR="00F604C2" w:rsidRPr="00B17EDB" w:rsidTr="00C56EC8">
        <w:trPr>
          <w:cantSplit/>
          <w:trHeight w:val="790"/>
        </w:trPr>
        <w:tc>
          <w:tcPr>
            <w:tcW w:w="1223" w:type="pct"/>
          </w:tcPr>
          <w:p w:rsidR="00F604C2" w:rsidRDefault="00F604C2" w:rsidP="00C56EC8">
            <w:pPr>
              <w:tabs>
                <w:tab w:val="left" w:pos="4283"/>
              </w:tabs>
              <w:spacing w:before="60" w:after="60"/>
              <w:ind w:left="0" w:right="0"/>
              <w:rPr>
                <w:rFonts w:ascii="Arial" w:hAnsi="Arial" w:cs="Arial"/>
                <w:sz w:val="20"/>
                <w:szCs w:val="20"/>
              </w:rPr>
            </w:pPr>
            <w:r w:rsidRPr="00073E9B">
              <w:rPr>
                <w:rFonts w:ascii="Arial" w:hAnsi="Arial" w:cs="Arial"/>
                <w:sz w:val="20"/>
                <w:szCs w:val="20"/>
              </w:rPr>
              <w:t>Australian Food and Grocery Council</w:t>
            </w:r>
          </w:p>
          <w:p w:rsidR="00F604C2" w:rsidRPr="004E70E7" w:rsidRDefault="00F604C2" w:rsidP="00C56EC8">
            <w:pPr>
              <w:tabs>
                <w:tab w:val="left" w:pos="4283"/>
              </w:tabs>
              <w:spacing w:before="60" w:after="60"/>
              <w:ind w:left="0" w:right="0"/>
              <w:rPr>
                <w:rFonts w:ascii="Arial" w:hAnsi="Arial" w:cs="Arial"/>
                <w:i/>
                <w:sz w:val="20"/>
                <w:szCs w:val="20"/>
              </w:rPr>
            </w:pPr>
            <w:r w:rsidRPr="004E70E7">
              <w:rPr>
                <w:rFonts w:ascii="Arial" w:hAnsi="Arial" w:cs="Arial"/>
                <w:i/>
                <w:sz w:val="20"/>
                <w:szCs w:val="20"/>
              </w:rPr>
              <w:t xml:space="preserve">(Industry association) </w:t>
            </w:r>
          </w:p>
        </w:tc>
        <w:tc>
          <w:tcPr>
            <w:tcW w:w="1093" w:type="pct"/>
          </w:tcPr>
          <w:p w:rsidR="00F604C2" w:rsidRDefault="00F604C2" w:rsidP="00C56EC8">
            <w:pPr>
              <w:widowControl/>
              <w:spacing w:before="60" w:after="60"/>
              <w:ind w:left="0" w:right="0"/>
              <w:rPr>
                <w:rFonts w:ascii="Arial" w:hAnsi="Arial" w:cs="Arial"/>
                <w:sz w:val="20"/>
                <w:szCs w:val="20"/>
              </w:rPr>
            </w:pPr>
            <w:r w:rsidRPr="00F174D5">
              <w:rPr>
                <w:rFonts w:ascii="Arial" w:hAnsi="Arial" w:cs="Arial"/>
                <w:sz w:val="20"/>
                <w:szCs w:val="20"/>
              </w:rPr>
              <w:t>Supports the strategy particularly the development of strong food safety culture.</w:t>
            </w:r>
          </w:p>
          <w:p w:rsidR="00F604C2" w:rsidRDefault="00F604C2" w:rsidP="00C56EC8">
            <w:pPr>
              <w:widowControl/>
              <w:spacing w:before="60" w:after="60"/>
              <w:ind w:left="0" w:right="0"/>
              <w:rPr>
                <w:rFonts w:ascii="Arial" w:hAnsi="Arial" w:cs="Arial"/>
                <w:sz w:val="20"/>
                <w:szCs w:val="20"/>
              </w:rPr>
            </w:pPr>
            <w:r w:rsidRPr="00F174D5">
              <w:rPr>
                <w:rFonts w:ascii="Arial" w:hAnsi="Arial" w:cs="Arial"/>
                <w:sz w:val="20"/>
                <w:szCs w:val="20"/>
              </w:rPr>
              <w:t xml:space="preserve">Monitoring and surveillance should be </w:t>
            </w:r>
            <w:proofErr w:type="spellStart"/>
            <w:r w:rsidRPr="00F174D5">
              <w:rPr>
                <w:rFonts w:ascii="Arial" w:hAnsi="Arial" w:cs="Arial"/>
                <w:sz w:val="20"/>
                <w:szCs w:val="20"/>
              </w:rPr>
              <w:t>prioritised</w:t>
            </w:r>
            <w:proofErr w:type="spellEnd"/>
            <w:r w:rsidRPr="00F174D5">
              <w:rPr>
                <w:rFonts w:ascii="Arial" w:hAnsi="Arial" w:cs="Arial"/>
                <w:sz w:val="20"/>
                <w:szCs w:val="20"/>
              </w:rPr>
              <w:t xml:space="preserve"> to improve understanding of causes of food borne incidents</w:t>
            </w:r>
            <w:r>
              <w:rPr>
                <w:rFonts w:ascii="Arial" w:hAnsi="Arial" w:cs="Arial"/>
                <w:sz w:val="20"/>
                <w:szCs w:val="20"/>
              </w:rPr>
              <w:t>.</w:t>
            </w:r>
          </w:p>
          <w:p w:rsidR="00F604C2" w:rsidRPr="00B17EDB" w:rsidRDefault="00F604C2" w:rsidP="00C56EC8">
            <w:pPr>
              <w:widowControl/>
              <w:spacing w:before="60" w:after="60"/>
              <w:ind w:left="0" w:right="0"/>
              <w:rPr>
                <w:rFonts w:ascii="Arial" w:hAnsi="Arial" w:cs="Arial"/>
                <w:sz w:val="20"/>
                <w:szCs w:val="20"/>
              </w:rPr>
            </w:pPr>
            <w:r>
              <w:rPr>
                <w:rFonts w:ascii="Arial" w:hAnsi="Arial" w:cs="Arial"/>
                <w:sz w:val="20"/>
                <w:szCs w:val="20"/>
              </w:rPr>
              <w:t>F</w:t>
            </w:r>
            <w:r w:rsidRPr="00F174D5">
              <w:rPr>
                <w:rFonts w:ascii="Arial" w:hAnsi="Arial" w:cs="Arial"/>
                <w:sz w:val="20"/>
                <w:szCs w:val="20"/>
              </w:rPr>
              <w:t>ood hygiene campaign needed, support for consumer education</w:t>
            </w:r>
            <w:r>
              <w:rPr>
                <w:rFonts w:ascii="Arial" w:hAnsi="Arial" w:cs="Arial"/>
                <w:sz w:val="20"/>
                <w:szCs w:val="20"/>
              </w:rPr>
              <w:t>.</w:t>
            </w:r>
          </w:p>
        </w:tc>
        <w:tc>
          <w:tcPr>
            <w:tcW w:w="1529" w:type="pct"/>
          </w:tcPr>
          <w:p w:rsidR="00F604C2" w:rsidRPr="00073E9B" w:rsidRDefault="00F604C2" w:rsidP="00C56EC8">
            <w:pPr>
              <w:pStyle w:val="Default"/>
              <w:spacing w:before="60" w:after="60"/>
              <w:rPr>
                <w:rFonts w:ascii="Arial" w:hAnsi="Arial" w:cs="Arial"/>
                <w:sz w:val="20"/>
                <w:szCs w:val="20"/>
              </w:rPr>
            </w:pPr>
            <w:r w:rsidRPr="00073E9B">
              <w:rPr>
                <w:rFonts w:ascii="Arial" w:hAnsi="Arial" w:cs="Arial"/>
                <w:bCs/>
                <w:sz w:val="20"/>
                <w:szCs w:val="20"/>
              </w:rPr>
              <w:t>Recommends the immediate reintroduction of reporting of aggregated national data on the incidence of foodborne illnesses</w:t>
            </w:r>
            <w:r>
              <w:rPr>
                <w:rFonts w:ascii="Arial" w:hAnsi="Arial" w:cs="Arial"/>
                <w:bCs/>
                <w:sz w:val="20"/>
                <w:szCs w:val="20"/>
              </w:rPr>
              <w:t>.</w:t>
            </w:r>
          </w:p>
        </w:tc>
        <w:tc>
          <w:tcPr>
            <w:tcW w:w="1155" w:type="pct"/>
          </w:tcPr>
          <w:p w:rsidR="00F604C2" w:rsidRPr="00073E9B" w:rsidRDefault="00F604C2" w:rsidP="00C56EC8">
            <w:pPr>
              <w:tabs>
                <w:tab w:val="left" w:pos="4283"/>
              </w:tabs>
              <w:spacing w:before="60" w:after="60"/>
              <w:ind w:left="0" w:right="0"/>
              <w:rPr>
                <w:rFonts w:ascii="Arial" w:hAnsi="Arial" w:cs="Arial"/>
                <w:sz w:val="20"/>
                <w:szCs w:val="20"/>
              </w:rPr>
            </w:pPr>
            <w:r w:rsidRPr="00073E9B">
              <w:rPr>
                <w:rFonts w:ascii="Arial" w:hAnsi="Arial" w:cs="Arial"/>
                <w:bCs/>
                <w:sz w:val="20"/>
                <w:szCs w:val="20"/>
              </w:rPr>
              <w:t xml:space="preserve">Support for research </w:t>
            </w:r>
            <w:proofErr w:type="gramStart"/>
            <w:r w:rsidRPr="00073E9B">
              <w:rPr>
                <w:rFonts w:ascii="Arial" w:hAnsi="Arial" w:cs="Arial"/>
                <w:bCs/>
                <w:sz w:val="20"/>
                <w:szCs w:val="20"/>
              </w:rPr>
              <w:t>be</w:t>
            </w:r>
            <w:proofErr w:type="gramEnd"/>
            <w:r w:rsidRPr="00073E9B">
              <w:rPr>
                <w:rFonts w:ascii="Arial" w:hAnsi="Arial" w:cs="Arial"/>
                <w:bCs/>
                <w:sz w:val="20"/>
                <w:szCs w:val="20"/>
              </w:rPr>
              <w:t xml:space="preserve"> carefully targeted</w:t>
            </w:r>
            <w:r>
              <w:rPr>
                <w:rFonts w:ascii="Arial" w:hAnsi="Arial" w:cs="Arial"/>
                <w:bCs/>
                <w:sz w:val="20"/>
                <w:szCs w:val="20"/>
              </w:rPr>
              <w:t>.</w:t>
            </w:r>
            <w:r w:rsidRPr="00073E9B">
              <w:rPr>
                <w:rFonts w:ascii="Arial" w:hAnsi="Arial" w:cs="Arial"/>
                <w:bCs/>
                <w:sz w:val="20"/>
                <w:szCs w:val="20"/>
              </w:rPr>
              <w:t xml:space="preserve"> </w:t>
            </w:r>
          </w:p>
        </w:tc>
      </w:tr>
      <w:tr w:rsidR="00F604C2" w:rsidRPr="00B17EDB" w:rsidTr="00C56EC8">
        <w:trPr>
          <w:cantSplit/>
        </w:trPr>
        <w:tc>
          <w:tcPr>
            <w:tcW w:w="1223" w:type="pct"/>
          </w:tcPr>
          <w:p w:rsidR="00F604C2" w:rsidRDefault="00F604C2" w:rsidP="00C56EC8">
            <w:pPr>
              <w:tabs>
                <w:tab w:val="left" w:pos="4283"/>
              </w:tabs>
              <w:spacing w:before="60" w:after="60"/>
              <w:ind w:left="0" w:right="0"/>
              <w:rPr>
                <w:rFonts w:ascii="Arial" w:hAnsi="Arial" w:cs="Arial"/>
                <w:sz w:val="20"/>
                <w:szCs w:val="20"/>
              </w:rPr>
            </w:pPr>
            <w:r w:rsidRPr="005F079B">
              <w:rPr>
                <w:rFonts w:ascii="Arial" w:hAnsi="Arial" w:cs="Arial"/>
                <w:sz w:val="20"/>
                <w:szCs w:val="20"/>
              </w:rPr>
              <w:t xml:space="preserve">Victorian Departments of Health and Human Services (DHHS) and </w:t>
            </w:r>
            <w:r>
              <w:rPr>
                <w:rFonts w:ascii="Arial" w:hAnsi="Arial" w:cs="Arial"/>
                <w:sz w:val="20"/>
                <w:szCs w:val="20"/>
              </w:rPr>
              <w:t xml:space="preserve">the Department of </w:t>
            </w:r>
            <w:r w:rsidRPr="005F079B">
              <w:rPr>
                <w:rFonts w:ascii="Arial" w:hAnsi="Arial" w:cs="Arial"/>
                <w:sz w:val="20"/>
                <w:szCs w:val="20"/>
              </w:rPr>
              <w:t>Economic Development, Jobs, Transport and Resources (DEDJTR)</w:t>
            </w:r>
          </w:p>
          <w:p w:rsidR="00F604C2" w:rsidRPr="005F079B"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w:t>
            </w:r>
            <w:r w:rsidRPr="00AD65B5">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Supports the strategy and provided specific guidance for eggs, leafy greens and strawberries.</w:t>
            </w:r>
          </w:p>
        </w:tc>
        <w:tc>
          <w:tcPr>
            <w:tcW w:w="1529" w:type="pct"/>
          </w:tcPr>
          <w:p w:rsidR="00F604C2" w:rsidRPr="00F174D5" w:rsidRDefault="00F604C2" w:rsidP="00C56EC8">
            <w:pPr>
              <w:pStyle w:val="Default"/>
              <w:spacing w:before="60" w:after="60"/>
              <w:rPr>
                <w:rFonts w:ascii="Arial" w:hAnsi="Arial" w:cs="Arial"/>
                <w:sz w:val="20"/>
                <w:szCs w:val="20"/>
              </w:rPr>
            </w:pPr>
            <w:r w:rsidRPr="00F174D5">
              <w:rPr>
                <w:rFonts w:ascii="Arial" w:hAnsi="Arial" w:cs="Arial"/>
                <w:sz w:val="20"/>
                <w:szCs w:val="20"/>
              </w:rPr>
              <w:t xml:space="preserve">Suggest exploring options for </w:t>
            </w:r>
            <w:r w:rsidRPr="002062D6">
              <w:rPr>
                <w:rFonts w:ascii="Arial" w:hAnsi="Arial" w:cs="Arial"/>
                <w:i/>
                <w:sz w:val="20"/>
                <w:szCs w:val="20"/>
              </w:rPr>
              <w:t xml:space="preserve">Listeria </w:t>
            </w:r>
            <w:r w:rsidRPr="00F174D5">
              <w:rPr>
                <w:rFonts w:ascii="Arial" w:hAnsi="Arial" w:cs="Arial"/>
                <w:sz w:val="20"/>
                <w:szCs w:val="20"/>
              </w:rPr>
              <w:t>monocytogenes management.</w:t>
            </w:r>
          </w:p>
          <w:p w:rsidR="00F604C2" w:rsidRPr="00F174D5" w:rsidRDefault="00F604C2" w:rsidP="00C56EC8">
            <w:pPr>
              <w:pStyle w:val="Default"/>
              <w:spacing w:before="60" w:after="60"/>
              <w:rPr>
                <w:rFonts w:ascii="Arial" w:hAnsi="Arial" w:cs="Arial"/>
                <w:sz w:val="20"/>
                <w:szCs w:val="20"/>
              </w:rPr>
            </w:pPr>
            <w:r w:rsidRPr="00F174D5">
              <w:rPr>
                <w:rFonts w:ascii="Arial" w:eastAsia="Times New Roman" w:hAnsi="Arial" w:cs="Arial"/>
                <w:sz w:val="20"/>
                <w:szCs w:val="20"/>
              </w:rPr>
              <w:t>Suggest series of activities focussed on horticulture including product traceability</w:t>
            </w:r>
            <w:r>
              <w:rPr>
                <w:rFonts w:ascii="Arial" w:eastAsia="Times New Roman" w:hAnsi="Arial" w:cs="Arial"/>
                <w:sz w:val="20"/>
                <w:szCs w:val="20"/>
              </w:rPr>
              <w:t xml:space="preserve"> and</w:t>
            </w:r>
            <w:r w:rsidRPr="00F174D5">
              <w:rPr>
                <w:rFonts w:ascii="Arial" w:eastAsia="Times New Roman" w:hAnsi="Arial" w:cs="Arial"/>
                <w:sz w:val="20"/>
                <w:szCs w:val="20"/>
              </w:rPr>
              <w:t xml:space="preserve"> communicating advantage of certified food safety systems</w:t>
            </w:r>
            <w:r>
              <w:rPr>
                <w:rFonts w:ascii="Arial" w:eastAsia="Times New Roman" w:hAnsi="Arial" w:cs="Arial"/>
                <w:sz w:val="20"/>
                <w:szCs w:val="20"/>
              </w:rPr>
              <w:t>.</w:t>
            </w:r>
          </w:p>
        </w:tc>
        <w:tc>
          <w:tcPr>
            <w:tcW w:w="1155" w:type="pct"/>
          </w:tcPr>
          <w:p w:rsidR="00F604C2" w:rsidRPr="005F079B"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Up to date national reporting and food handler knowledge survey.</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CSIRO</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5F4417">
              <w:rPr>
                <w:rFonts w:ascii="Arial" w:hAnsi="Arial" w:cs="Arial"/>
                <w:i/>
                <w:sz w:val="20"/>
                <w:szCs w:val="20"/>
              </w:rPr>
              <w:t>Research organisation)</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Support the proposed activities</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Consideration should be given to a specific target for reduction of salmonellosis and </w:t>
            </w:r>
            <w:proofErr w:type="spellStart"/>
            <w:r w:rsidRPr="00B17EDB">
              <w:rPr>
                <w:rFonts w:ascii="Arial" w:hAnsi="Arial" w:cs="Arial"/>
                <w:sz w:val="20"/>
                <w:szCs w:val="20"/>
              </w:rPr>
              <w:t>campylobacteriosis</w:t>
            </w:r>
            <w:proofErr w:type="spellEnd"/>
            <w:r>
              <w:rPr>
                <w:rFonts w:ascii="Arial" w:hAnsi="Arial" w:cs="Arial"/>
                <w:sz w:val="20"/>
                <w:szCs w:val="20"/>
              </w:rPr>
              <w:t>.</w:t>
            </w:r>
            <w:r w:rsidRPr="00B17EDB">
              <w:rPr>
                <w:rFonts w:ascii="Arial" w:hAnsi="Arial" w:cs="Arial"/>
                <w:sz w:val="20"/>
                <w:szCs w:val="20"/>
              </w:rPr>
              <w:t xml:space="preserve"> </w:t>
            </w:r>
          </w:p>
          <w:p w:rsidR="00F604C2" w:rsidRPr="00B17EDB" w:rsidRDefault="00F604C2" w:rsidP="00C56EC8">
            <w:pPr>
              <w:pStyle w:val="Default"/>
              <w:spacing w:before="60" w:after="60"/>
              <w:rPr>
                <w:rFonts w:ascii="Arial" w:hAnsi="Arial" w:cs="Arial"/>
                <w:sz w:val="20"/>
                <w:szCs w:val="20"/>
              </w:rPr>
            </w:pPr>
          </w:p>
        </w:tc>
        <w:tc>
          <w:tcPr>
            <w:tcW w:w="1155" w:type="pct"/>
          </w:tcPr>
          <w:p w:rsidR="00F604C2" w:rsidRPr="005F4417" w:rsidRDefault="00F604C2" w:rsidP="00C56EC8">
            <w:pPr>
              <w:tabs>
                <w:tab w:val="left" w:pos="4283"/>
              </w:tabs>
              <w:spacing w:before="60" w:after="60"/>
              <w:ind w:left="0" w:right="0"/>
              <w:rPr>
                <w:rFonts w:ascii="Arial" w:hAnsi="Arial" w:cs="Arial"/>
                <w:sz w:val="20"/>
                <w:szCs w:val="20"/>
              </w:rPr>
            </w:pPr>
            <w:r w:rsidRPr="005F4417">
              <w:rPr>
                <w:rFonts w:ascii="Arial" w:hAnsi="Arial" w:cs="Arial"/>
                <w:sz w:val="20"/>
                <w:szCs w:val="20"/>
              </w:rPr>
              <w:t>It will be important to establish baselines for the pathogens</w:t>
            </w:r>
            <w:r>
              <w:rPr>
                <w:rFonts w:ascii="Arial" w:hAnsi="Arial" w:cs="Arial"/>
                <w:sz w:val="20"/>
                <w:szCs w:val="20"/>
              </w:rPr>
              <w:t>,</w:t>
            </w:r>
            <w:r w:rsidRPr="005F4417">
              <w:rPr>
                <w:rFonts w:ascii="Arial" w:hAnsi="Arial" w:cs="Arial"/>
                <w:sz w:val="20"/>
                <w:szCs w:val="20"/>
              </w:rPr>
              <w:t xml:space="preserve"> and data needs to be gathered in a consistent manner for effective comparisons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City of </w:t>
            </w:r>
            <w:proofErr w:type="spellStart"/>
            <w:r w:rsidRPr="00B17EDB">
              <w:rPr>
                <w:rFonts w:ascii="Arial" w:hAnsi="Arial" w:cs="Arial"/>
                <w:sz w:val="20"/>
                <w:szCs w:val="20"/>
              </w:rPr>
              <w:t>Playford</w:t>
            </w:r>
            <w:proofErr w:type="spellEnd"/>
            <w:r w:rsidRPr="00B17EDB">
              <w:rPr>
                <w:rFonts w:ascii="Arial" w:hAnsi="Arial" w:cs="Arial"/>
                <w:sz w:val="20"/>
                <w:szCs w:val="20"/>
              </w:rPr>
              <w:t>, SA</w:t>
            </w:r>
          </w:p>
          <w:p w:rsidR="00F604C2" w:rsidRPr="00305BD7" w:rsidRDefault="00F604C2" w:rsidP="00C56EC8">
            <w:pPr>
              <w:pStyle w:val="Default"/>
              <w:spacing w:before="60" w:after="60"/>
              <w:rPr>
                <w:rFonts w:ascii="Arial" w:hAnsi="Arial" w:cs="Arial"/>
                <w:i/>
                <w:sz w:val="20"/>
                <w:szCs w:val="20"/>
              </w:rPr>
            </w:pPr>
            <w:r w:rsidRPr="00305BD7">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 the proposed activities however the lack of a consistent regulatory approach </w:t>
            </w:r>
            <w:r>
              <w:rPr>
                <w:rFonts w:ascii="Arial" w:hAnsi="Arial" w:cs="Arial"/>
                <w:sz w:val="20"/>
                <w:szCs w:val="20"/>
              </w:rPr>
              <w:t>is not covered.</w:t>
            </w:r>
          </w:p>
        </w:tc>
        <w:tc>
          <w:tcPr>
            <w:tcW w:w="1529"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Mandatory national registration and training.</w:t>
            </w:r>
          </w:p>
        </w:tc>
        <w:tc>
          <w:tcPr>
            <w:tcW w:w="1155" w:type="pct"/>
          </w:tcPr>
          <w:p w:rsidR="00F604C2" w:rsidRPr="005F4417" w:rsidRDefault="00F604C2" w:rsidP="00C56EC8">
            <w:pPr>
              <w:tabs>
                <w:tab w:val="left" w:pos="4283"/>
              </w:tabs>
              <w:spacing w:before="60" w:after="60"/>
              <w:ind w:left="0" w:right="0"/>
              <w:rPr>
                <w:rFonts w:ascii="Arial" w:hAnsi="Arial" w:cs="Arial"/>
                <w:sz w:val="20"/>
                <w:szCs w:val="20"/>
              </w:rPr>
            </w:pPr>
            <w:r w:rsidRPr="005F4417">
              <w:rPr>
                <w:rFonts w:ascii="Arial" w:hAnsi="Arial" w:cs="Arial"/>
                <w:sz w:val="20"/>
                <w:szCs w:val="20"/>
              </w:rPr>
              <w:t>Unsure</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lastRenderedPageBreak/>
              <w:t>Australian Pork L</w:t>
            </w:r>
            <w:r w:rsidRPr="00B17EDB">
              <w:rPr>
                <w:rFonts w:ascii="Arial" w:hAnsi="Arial" w:cs="Arial"/>
                <w:sz w:val="20"/>
                <w:szCs w:val="20"/>
              </w:rPr>
              <w:t>imited</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5F4417">
              <w:rPr>
                <w:rFonts w:ascii="Arial" w:hAnsi="Arial" w:cs="Arial"/>
                <w:i/>
                <w:sz w:val="20"/>
                <w:szCs w:val="20"/>
              </w:rPr>
              <w:t>Research organisation)</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Supports greater information sharing, industry engagement and </w:t>
            </w:r>
            <w:r>
              <w:rPr>
                <w:rFonts w:ascii="Arial" w:hAnsi="Arial" w:cs="Arial"/>
                <w:sz w:val="20"/>
                <w:szCs w:val="20"/>
              </w:rPr>
              <w:t>consolidating</w:t>
            </w:r>
            <w:r w:rsidRPr="00B17EDB">
              <w:rPr>
                <w:rFonts w:ascii="Arial" w:hAnsi="Arial" w:cs="Arial"/>
                <w:sz w:val="20"/>
                <w:szCs w:val="20"/>
              </w:rPr>
              <w:t xml:space="preserve"> information across jurisdictions</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No</w:t>
            </w:r>
            <w:r>
              <w:rPr>
                <w:rFonts w:ascii="Arial" w:hAnsi="Arial" w:cs="Arial"/>
                <w:sz w:val="20"/>
                <w:szCs w:val="20"/>
              </w:rPr>
              <w:t xml:space="preserve"> </w:t>
            </w:r>
            <w:r w:rsidRPr="00B17EDB">
              <w:rPr>
                <w:rFonts w:ascii="Arial" w:hAnsi="Arial" w:cs="Arial"/>
                <w:sz w:val="20"/>
                <w:szCs w:val="20"/>
              </w:rPr>
              <w:t>further suggestions at this time</w:t>
            </w:r>
            <w:r>
              <w:rPr>
                <w:rFonts w:ascii="Arial" w:hAnsi="Arial" w:cs="Arial"/>
                <w:sz w:val="20"/>
                <w:szCs w:val="20"/>
              </w:rPr>
              <w:t>.</w:t>
            </w:r>
          </w:p>
        </w:tc>
        <w:tc>
          <w:tcPr>
            <w:tcW w:w="1155" w:type="pct"/>
          </w:tcPr>
          <w:p w:rsidR="00F604C2" w:rsidRPr="00667B88" w:rsidRDefault="00F604C2" w:rsidP="00C56EC8">
            <w:pPr>
              <w:tabs>
                <w:tab w:val="left" w:pos="4283"/>
              </w:tabs>
              <w:spacing w:before="60" w:after="60"/>
              <w:ind w:left="0" w:right="0"/>
              <w:rPr>
                <w:rFonts w:ascii="Arial" w:hAnsi="Arial" w:cs="Arial"/>
                <w:sz w:val="20"/>
                <w:szCs w:val="20"/>
              </w:rPr>
            </w:pPr>
            <w:r w:rsidRPr="00667B88">
              <w:rPr>
                <w:rFonts w:ascii="Arial" w:hAnsi="Arial" w:cs="Arial"/>
                <w:sz w:val="20"/>
                <w:szCs w:val="20"/>
              </w:rPr>
              <w:t>Recommend on-going assessment, surveillance and research of foodborne illness risk prevalence in overseas production systems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City of Tea Tree Gully, SA</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5F4417">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Questions how success will be measured and effectivene</w:t>
            </w:r>
            <w:r>
              <w:rPr>
                <w:rFonts w:ascii="Arial" w:hAnsi="Arial" w:cs="Arial"/>
                <w:sz w:val="20"/>
                <w:szCs w:val="20"/>
              </w:rPr>
              <w:t>ss</w:t>
            </w:r>
            <w:r w:rsidRPr="00B17EDB">
              <w:rPr>
                <w:rFonts w:ascii="Arial" w:hAnsi="Arial" w:cs="Arial"/>
                <w:sz w:val="20"/>
                <w:szCs w:val="20"/>
              </w:rPr>
              <w:t xml:space="preserve"> of actions determined</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Suggests including food safety programs for businesses, record keeping and mandatory training for food handlers</w:t>
            </w:r>
            <w:r>
              <w:rPr>
                <w:rFonts w:ascii="Arial" w:hAnsi="Arial" w:cs="Arial"/>
                <w:sz w:val="20"/>
                <w:szCs w:val="20"/>
              </w:rPr>
              <w:t>.</w:t>
            </w:r>
          </w:p>
        </w:tc>
        <w:tc>
          <w:tcPr>
            <w:tcW w:w="1155" w:type="pct"/>
          </w:tcPr>
          <w:p w:rsidR="00F604C2" w:rsidRPr="00B17EDB"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rPr>
              <w:t>A national system to track trends.</w:t>
            </w:r>
          </w:p>
          <w:p w:rsidR="00F604C2" w:rsidRPr="00667B88" w:rsidRDefault="00F604C2" w:rsidP="00C56EC8">
            <w:pPr>
              <w:pStyle w:val="Default"/>
              <w:spacing w:before="60" w:after="60"/>
              <w:rPr>
                <w:rFonts w:ascii="Arial" w:hAnsi="Arial" w:cs="Arial"/>
                <w:sz w:val="20"/>
                <w:szCs w:val="20"/>
              </w:rPr>
            </w:pPr>
          </w:p>
        </w:tc>
      </w:tr>
      <w:tr w:rsidR="00F604C2" w:rsidRPr="00B17EDB" w:rsidTr="00C56EC8">
        <w:trPr>
          <w:cantSplit/>
        </w:trPr>
        <w:tc>
          <w:tcPr>
            <w:tcW w:w="1223" w:type="pct"/>
          </w:tcPr>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t>Voice of Horticulture</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26514">
              <w:rPr>
                <w:rFonts w:ascii="Arial" w:hAnsi="Arial" w:cs="Arial"/>
                <w:i/>
                <w:sz w:val="20"/>
                <w:szCs w:val="20"/>
              </w:rPr>
              <w:t>Food industry)</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Would support initiatives that upskill authorised officers to close the gap between knowledge and application and improve food safety culture in informal and formal training.</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The complexity of the Food Act and its interpretation is an issue.</w:t>
            </w:r>
          </w:p>
        </w:tc>
        <w:tc>
          <w:tcPr>
            <w:tcW w:w="1529" w:type="pct"/>
          </w:tcPr>
          <w:p w:rsidR="00F604C2" w:rsidRPr="00B17EDB" w:rsidRDefault="00F604C2" w:rsidP="00C56EC8">
            <w:pPr>
              <w:pStyle w:val="Default"/>
              <w:spacing w:before="60" w:after="60"/>
              <w:rPr>
                <w:rFonts w:ascii="Arial" w:hAnsi="Arial" w:cs="Arial"/>
                <w:sz w:val="20"/>
                <w:szCs w:val="20"/>
              </w:rPr>
            </w:pPr>
          </w:p>
        </w:tc>
        <w:tc>
          <w:tcPr>
            <w:tcW w:w="1155" w:type="pct"/>
          </w:tcPr>
          <w:p w:rsidR="00F604C2" w:rsidRPr="00B17EDB" w:rsidRDefault="00F604C2" w:rsidP="00C56EC8">
            <w:pPr>
              <w:pStyle w:val="ListParagraph"/>
              <w:tabs>
                <w:tab w:val="left" w:pos="4283"/>
              </w:tabs>
              <w:spacing w:before="60" w:after="60"/>
              <w:ind w:left="469" w:right="0"/>
              <w:contextualSpacing w:val="0"/>
              <w:rPr>
                <w:rFonts w:ascii="Arial" w:hAnsi="Arial" w:cs="Arial"/>
                <w:sz w:val="20"/>
                <w:szCs w:val="20"/>
              </w:rPr>
            </w:pP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City of Marion, SA</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71CC9">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Strategy is a great imitative and supports the activities. Suggest adding food defence and Listeria to the focus</w:t>
            </w:r>
            <w:r>
              <w:rPr>
                <w:rFonts w:ascii="Arial" w:hAnsi="Arial" w:cs="Arial"/>
                <w:sz w:val="20"/>
                <w:szCs w:val="20"/>
              </w:rPr>
              <w:t>.</w:t>
            </w:r>
          </w:p>
        </w:tc>
        <w:tc>
          <w:tcPr>
            <w:tcW w:w="1529"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Promotion of food safety through multiple channels including through school curriculums</w:t>
            </w:r>
            <w:r>
              <w:rPr>
                <w:rFonts w:ascii="Arial" w:hAnsi="Arial" w:cs="Arial"/>
                <w:sz w:val="20"/>
                <w:szCs w:val="20"/>
              </w:rPr>
              <w:t>.</w:t>
            </w: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hAnsi="Arial" w:cs="Arial"/>
                <w:sz w:val="20"/>
                <w:szCs w:val="20"/>
              </w:rPr>
              <w:t>Have research projects available to PhD students with results being available</w:t>
            </w:r>
            <w:r w:rsidR="00955491">
              <w:rPr>
                <w:rFonts w:ascii="Arial" w:hAnsi="Arial" w:cs="Arial"/>
                <w:sz w:val="20"/>
                <w:szCs w:val="20"/>
              </w:rPr>
              <w:t>.</w:t>
            </w:r>
          </w:p>
        </w:tc>
      </w:tr>
      <w:tr w:rsidR="00F604C2" w:rsidRPr="00B17EDB" w:rsidTr="00C56EC8">
        <w:trPr>
          <w:cantSplit/>
          <w:trHeight w:val="939"/>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Environmental </w:t>
            </w:r>
            <w:r>
              <w:rPr>
                <w:rFonts w:ascii="Arial" w:hAnsi="Arial" w:cs="Arial"/>
                <w:sz w:val="20"/>
                <w:szCs w:val="20"/>
              </w:rPr>
              <w:t>H</w:t>
            </w:r>
            <w:r w:rsidRPr="00B17EDB">
              <w:rPr>
                <w:rFonts w:ascii="Arial" w:hAnsi="Arial" w:cs="Arial"/>
                <w:sz w:val="20"/>
                <w:szCs w:val="20"/>
              </w:rPr>
              <w:t>ealth Australia</w:t>
            </w:r>
            <w:r>
              <w:rPr>
                <w:rFonts w:ascii="Arial" w:hAnsi="Arial" w:cs="Arial"/>
                <w:sz w:val="20"/>
                <w:szCs w:val="20"/>
              </w:rPr>
              <w:t xml:space="preserve"> (Queensland) I</w:t>
            </w:r>
            <w:r w:rsidRPr="00B17EDB">
              <w:rPr>
                <w:rFonts w:ascii="Arial" w:hAnsi="Arial" w:cs="Arial"/>
                <w:sz w:val="20"/>
                <w:szCs w:val="20"/>
              </w:rPr>
              <w:t>nc.</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71CC9">
              <w:rPr>
                <w:rFonts w:ascii="Arial" w:hAnsi="Arial" w:cs="Arial"/>
                <w:i/>
                <w:sz w:val="20"/>
                <w:szCs w:val="20"/>
              </w:rPr>
              <w:t>Not-for-profit organisation</w:t>
            </w:r>
            <w:r>
              <w:rPr>
                <w:rFonts w:ascii="Arial" w:hAnsi="Arial" w:cs="Arial"/>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 activities with added focus </w:t>
            </w:r>
            <w:r>
              <w:rPr>
                <w:rFonts w:ascii="Arial" w:hAnsi="Arial" w:cs="Arial"/>
                <w:sz w:val="20"/>
                <w:szCs w:val="20"/>
              </w:rPr>
              <w:t xml:space="preserve">of </w:t>
            </w:r>
            <w:r w:rsidRPr="00B17EDB">
              <w:rPr>
                <w:rFonts w:ascii="Arial" w:hAnsi="Arial" w:cs="Arial"/>
                <w:sz w:val="20"/>
                <w:szCs w:val="20"/>
              </w:rPr>
              <w:t>developing national competencies, greater information</w:t>
            </w:r>
            <w:r>
              <w:rPr>
                <w:rFonts w:ascii="Arial" w:hAnsi="Arial" w:cs="Arial"/>
                <w:sz w:val="20"/>
                <w:szCs w:val="20"/>
              </w:rPr>
              <w:t xml:space="preserve"> sharing with local government. </w:t>
            </w:r>
          </w:p>
        </w:tc>
        <w:tc>
          <w:tcPr>
            <w:tcW w:w="1529" w:type="pct"/>
          </w:tcPr>
          <w:p w:rsidR="00F604C2" w:rsidRDefault="00F604C2" w:rsidP="00C56EC8">
            <w:pPr>
              <w:pStyle w:val="Default"/>
              <w:spacing w:before="60" w:after="60"/>
              <w:rPr>
                <w:rFonts w:ascii="Arial" w:hAnsi="Arial" w:cs="Arial"/>
                <w:sz w:val="20"/>
                <w:szCs w:val="20"/>
              </w:rPr>
            </w:pPr>
            <w:r>
              <w:rPr>
                <w:rFonts w:ascii="Arial" w:hAnsi="Arial" w:cs="Arial"/>
                <w:sz w:val="20"/>
                <w:szCs w:val="20"/>
              </w:rPr>
              <w:t>Provision of recall information to local government.</w:t>
            </w:r>
          </w:p>
          <w:p w:rsidR="00F604C2" w:rsidRPr="00D4676E" w:rsidRDefault="00F604C2" w:rsidP="00C56EC8">
            <w:pPr>
              <w:pStyle w:val="Default"/>
              <w:spacing w:before="60" w:after="60"/>
              <w:rPr>
                <w:rFonts w:ascii="Arial" w:hAnsi="Arial" w:cs="Arial"/>
                <w:sz w:val="20"/>
                <w:szCs w:val="20"/>
              </w:rPr>
            </w:pPr>
            <w:r w:rsidRPr="00D4676E">
              <w:rPr>
                <w:rFonts w:ascii="Arial" w:eastAsia="Times New Roman" w:hAnsi="Arial" w:cs="Arial"/>
                <w:sz w:val="20"/>
                <w:szCs w:val="20"/>
              </w:rPr>
              <w:t>Suggest m</w:t>
            </w:r>
            <w:r>
              <w:rPr>
                <w:rFonts w:ascii="Arial" w:eastAsia="Times New Roman" w:hAnsi="Arial" w:cs="Arial"/>
                <w:sz w:val="20"/>
                <w:szCs w:val="20"/>
              </w:rPr>
              <w:t>or</w:t>
            </w:r>
            <w:r w:rsidRPr="00D4676E">
              <w:rPr>
                <w:rFonts w:ascii="Arial" w:eastAsia="Times New Roman" w:hAnsi="Arial" w:cs="Arial"/>
                <w:sz w:val="20"/>
                <w:szCs w:val="20"/>
              </w:rPr>
              <w:t>e specific activities for horticulture; improve process of disseminating information to local governments</w:t>
            </w:r>
            <w:r>
              <w:rPr>
                <w:rFonts w:ascii="Arial" w:eastAsia="Times New Roman" w:hAnsi="Arial" w:cs="Arial"/>
                <w:sz w:val="20"/>
                <w:szCs w:val="20"/>
              </w:rPr>
              <w:t>.</w:t>
            </w: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hAnsi="Arial" w:cs="Arial"/>
                <w:sz w:val="20"/>
                <w:szCs w:val="20"/>
              </w:rPr>
              <w:t>Surveys of regulators on how they assess skills and knowledge, their provision of education, and resources required</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City of Launceston, Tas</w:t>
            </w:r>
            <w:r>
              <w:rPr>
                <w:rFonts w:ascii="Arial" w:hAnsi="Arial" w:cs="Arial"/>
                <w:sz w:val="20"/>
                <w:szCs w:val="20"/>
              </w:rPr>
              <w:t>mania</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71CC9">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Support the activities and welcome an overarching education based approach and resources to support food safety culture</w:t>
            </w:r>
            <w:r>
              <w:rPr>
                <w:rFonts w:ascii="Arial" w:hAnsi="Arial" w:cs="Arial"/>
                <w:sz w:val="20"/>
                <w:szCs w:val="20"/>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No additional comments, agree with outlined proposal</w:t>
            </w:r>
            <w:r>
              <w:rPr>
                <w:rFonts w:ascii="Arial" w:eastAsiaTheme="minorHAnsi" w:hAnsi="Arial" w:cs="Arial"/>
                <w:color w:val="000000"/>
                <w:sz w:val="20"/>
                <w:szCs w:val="20"/>
                <w:lang w:val="en-GB"/>
              </w:rPr>
              <w:t>.</w:t>
            </w: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eastAsiaTheme="minorHAnsi" w:hAnsi="Arial" w:cs="Arial"/>
                <w:color w:val="000000"/>
                <w:sz w:val="20"/>
                <w:szCs w:val="20"/>
                <w:lang w:val="en-GB"/>
              </w:rPr>
              <w:t>No additional comments, agree with outlined proposal</w:t>
            </w:r>
            <w:r>
              <w:rPr>
                <w:rFonts w:ascii="Arial" w:eastAsiaTheme="minorHAnsi" w:hAnsi="Arial" w:cs="Arial"/>
                <w:color w:val="000000"/>
                <w:sz w:val="20"/>
                <w:szCs w:val="20"/>
                <w:lang w:val="en-GB"/>
              </w:rPr>
              <w:t>.</w:t>
            </w:r>
          </w:p>
        </w:tc>
      </w:tr>
      <w:tr w:rsidR="00F604C2" w:rsidRPr="00B17EDB" w:rsidTr="00C56EC8">
        <w:trPr>
          <w:cantSplit/>
        </w:trPr>
        <w:tc>
          <w:tcPr>
            <w:tcW w:w="1223" w:type="pct"/>
          </w:tcPr>
          <w:p w:rsidR="00F604C2" w:rsidRDefault="00F604C2" w:rsidP="00C56EC8">
            <w:pPr>
              <w:pStyle w:val="Default"/>
              <w:spacing w:before="60" w:after="60"/>
              <w:rPr>
                <w:rFonts w:ascii="Arial" w:hAnsi="Arial" w:cs="Arial"/>
                <w:sz w:val="20"/>
                <w:szCs w:val="20"/>
              </w:rPr>
            </w:pPr>
            <w:r w:rsidRPr="00B17EDB">
              <w:rPr>
                <w:rFonts w:ascii="Arial" w:hAnsi="Arial" w:cs="Arial"/>
                <w:sz w:val="20"/>
                <w:szCs w:val="20"/>
              </w:rPr>
              <w:lastRenderedPageBreak/>
              <w:t>Australian Food Microbiology</w:t>
            </w:r>
          </w:p>
          <w:p w:rsidR="00F604C2" w:rsidRPr="004E70E7" w:rsidRDefault="00F604C2" w:rsidP="00C56EC8">
            <w:pPr>
              <w:pStyle w:val="Default"/>
              <w:spacing w:before="60" w:after="60"/>
              <w:rPr>
                <w:rFonts w:ascii="Arial" w:hAnsi="Arial" w:cs="Arial"/>
                <w:i/>
                <w:sz w:val="20"/>
                <w:szCs w:val="20"/>
              </w:rPr>
            </w:pPr>
            <w:r w:rsidRPr="004E70E7">
              <w:rPr>
                <w:rFonts w:ascii="Arial" w:hAnsi="Arial" w:cs="Arial"/>
                <w:i/>
                <w:sz w:val="20"/>
                <w:szCs w:val="20"/>
              </w:rPr>
              <w:t>(Other)</w:t>
            </w:r>
          </w:p>
        </w:tc>
        <w:tc>
          <w:tcPr>
            <w:tcW w:w="1093" w:type="pct"/>
          </w:tcPr>
          <w:p w:rsidR="00F604C2" w:rsidRPr="00B17EDB" w:rsidRDefault="00F604C2" w:rsidP="00C56EC8">
            <w:pPr>
              <w:pStyle w:val="Default"/>
              <w:spacing w:before="60" w:after="60"/>
              <w:rPr>
                <w:rFonts w:ascii="Arial" w:hAnsi="Arial" w:cs="Arial"/>
                <w:sz w:val="20"/>
                <w:szCs w:val="20"/>
              </w:rPr>
            </w:pPr>
          </w:p>
        </w:tc>
        <w:tc>
          <w:tcPr>
            <w:tcW w:w="1529"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hAnsi="Arial" w:cs="Arial"/>
                <w:sz w:val="20"/>
                <w:szCs w:val="20"/>
              </w:rPr>
              <w:t xml:space="preserve">Need </w:t>
            </w:r>
            <w:r>
              <w:rPr>
                <w:rFonts w:ascii="Arial" w:hAnsi="Arial" w:cs="Arial"/>
                <w:sz w:val="20"/>
                <w:szCs w:val="20"/>
              </w:rPr>
              <w:t>O</w:t>
            </w:r>
            <w:r w:rsidRPr="00F71CC9">
              <w:rPr>
                <w:rFonts w:ascii="Arial" w:hAnsi="Arial" w:cs="Arial"/>
                <w:sz w:val="20"/>
                <w:szCs w:val="20"/>
              </w:rPr>
              <w:t xml:space="preserve">ne Health approach to </w:t>
            </w:r>
            <w:r w:rsidRPr="00EE053F">
              <w:rPr>
                <w:rFonts w:ascii="Arial" w:hAnsi="Arial" w:cs="Arial"/>
                <w:i/>
                <w:sz w:val="20"/>
                <w:szCs w:val="20"/>
              </w:rPr>
              <w:t>Campylobacter</w:t>
            </w:r>
            <w:r w:rsidRPr="002062D6">
              <w:rPr>
                <w:rFonts w:ascii="Arial" w:hAnsi="Arial" w:cs="Arial"/>
                <w:i/>
                <w:sz w:val="20"/>
                <w:szCs w:val="20"/>
              </w:rPr>
              <w:t xml:space="preserve"> </w:t>
            </w:r>
            <w:r>
              <w:rPr>
                <w:rFonts w:ascii="Arial" w:hAnsi="Arial" w:cs="Arial"/>
                <w:sz w:val="20"/>
                <w:szCs w:val="20"/>
              </w:rPr>
              <w:t>(</w:t>
            </w:r>
            <w:r w:rsidRPr="00F71CC9">
              <w:rPr>
                <w:rFonts w:ascii="Arial" w:hAnsi="Arial" w:cs="Arial"/>
                <w:sz w:val="20"/>
                <w:szCs w:val="20"/>
              </w:rPr>
              <w:t>Campy</w:t>
            </w:r>
            <w:r>
              <w:rPr>
                <w:rFonts w:ascii="Arial" w:hAnsi="Arial" w:cs="Arial"/>
                <w:sz w:val="20"/>
                <w:szCs w:val="20"/>
              </w:rPr>
              <w:t>)</w:t>
            </w:r>
            <w:r w:rsidRPr="00F71CC9">
              <w:rPr>
                <w:rFonts w:ascii="Arial" w:hAnsi="Arial" w:cs="Arial"/>
                <w:sz w:val="20"/>
                <w:szCs w:val="20"/>
              </w:rPr>
              <w:t xml:space="preserve"> - no Australian epi data to identify if Campy cases are related to companion animals, food </w:t>
            </w:r>
            <w:proofErr w:type="gramStart"/>
            <w:r w:rsidRPr="00F71CC9">
              <w:rPr>
                <w:rFonts w:ascii="Arial" w:hAnsi="Arial" w:cs="Arial"/>
                <w:sz w:val="20"/>
                <w:szCs w:val="20"/>
              </w:rPr>
              <w:t>industry</w:t>
            </w:r>
            <w:r>
              <w:rPr>
                <w:rFonts w:ascii="Arial" w:hAnsi="Arial" w:cs="Arial"/>
                <w:sz w:val="20"/>
                <w:szCs w:val="20"/>
              </w:rPr>
              <w:t>.</w:t>
            </w:r>
            <w:proofErr w:type="gramEnd"/>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D</w:t>
            </w:r>
            <w:r>
              <w:rPr>
                <w:rFonts w:ascii="Arial" w:hAnsi="Arial" w:cs="Arial"/>
                <w:sz w:val="20"/>
                <w:szCs w:val="20"/>
              </w:rPr>
              <w:t>istrict Council of</w:t>
            </w:r>
            <w:r w:rsidRPr="00B17EDB">
              <w:rPr>
                <w:rFonts w:ascii="Arial" w:hAnsi="Arial" w:cs="Arial"/>
                <w:sz w:val="20"/>
                <w:szCs w:val="20"/>
              </w:rPr>
              <w:t xml:space="preserve"> Mount Remarkable, </w:t>
            </w:r>
            <w:r>
              <w:rPr>
                <w:rFonts w:ascii="Arial" w:hAnsi="Arial" w:cs="Arial"/>
                <w:sz w:val="20"/>
                <w:szCs w:val="20"/>
              </w:rPr>
              <w:t>SA</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71CC9">
              <w:rPr>
                <w:rFonts w:ascii="Arial" w:hAnsi="Arial" w:cs="Arial"/>
                <w:i/>
                <w:sz w:val="20"/>
                <w:szCs w:val="20"/>
              </w:rPr>
              <w:t>Government)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There is a need for better resourcing, recognition and standardised tra</w:t>
            </w:r>
            <w:r>
              <w:rPr>
                <w:rFonts w:ascii="Arial" w:hAnsi="Arial" w:cs="Arial"/>
                <w:sz w:val="20"/>
                <w:szCs w:val="20"/>
              </w:rPr>
              <w:t>in</w:t>
            </w:r>
            <w:r w:rsidRPr="00B17EDB">
              <w:rPr>
                <w:rFonts w:ascii="Arial" w:hAnsi="Arial" w:cs="Arial"/>
                <w:sz w:val="20"/>
                <w:szCs w:val="20"/>
              </w:rPr>
              <w:t>ing for</w:t>
            </w:r>
            <w:r>
              <w:rPr>
                <w:rFonts w:ascii="Arial" w:hAnsi="Arial" w:cs="Arial"/>
                <w:sz w:val="20"/>
                <w:szCs w:val="20"/>
              </w:rPr>
              <w:t xml:space="preserve"> EHOs.</w:t>
            </w:r>
          </w:p>
        </w:tc>
        <w:tc>
          <w:tcPr>
            <w:tcW w:w="1529"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A national registration system with annual renewal dependant on food safety compliance history</w:t>
            </w:r>
            <w:r>
              <w:rPr>
                <w:rFonts w:ascii="Arial" w:eastAsiaTheme="minorHAnsi" w:hAnsi="Arial" w:cs="Arial"/>
                <w:color w:val="000000"/>
                <w:sz w:val="20"/>
                <w:szCs w:val="20"/>
                <w:lang w:val="en-GB"/>
              </w:rPr>
              <w:t>.</w:t>
            </w: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hAnsi="Arial" w:cs="Arial"/>
                <w:sz w:val="20"/>
                <w:szCs w:val="20"/>
              </w:rPr>
              <w:t>Linking agencies performance based annual audit return for inspections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Produce </w:t>
            </w:r>
            <w:r>
              <w:rPr>
                <w:rFonts w:ascii="Arial" w:hAnsi="Arial" w:cs="Arial"/>
                <w:sz w:val="20"/>
                <w:szCs w:val="20"/>
              </w:rPr>
              <w:t>M</w:t>
            </w:r>
            <w:r w:rsidRPr="00B17EDB">
              <w:rPr>
                <w:rFonts w:ascii="Arial" w:hAnsi="Arial" w:cs="Arial"/>
                <w:sz w:val="20"/>
                <w:szCs w:val="20"/>
              </w:rPr>
              <w:t>arketing Association A</w:t>
            </w:r>
            <w:r>
              <w:rPr>
                <w:rFonts w:ascii="Arial" w:hAnsi="Arial" w:cs="Arial"/>
                <w:sz w:val="20"/>
                <w:szCs w:val="20"/>
              </w:rPr>
              <w:t>ustralia-</w:t>
            </w:r>
            <w:r w:rsidRPr="00B17EDB">
              <w:rPr>
                <w:rFonts w:ascii="Arial" w:hAnsi="Arial" w:cs="Arial"/>
                <w:sz w:val="20"/>
                <w:szCs w:val="20"/>
              </w:rPr>
              <w:t>N</w:t>
            </w:r>
            <w:r>
              <w:rPr>
                <w:rFonts w:ascii="Arial" w:hAnsi="Arial" w:cs="Arial"/>
                <w:sz w:val="20"/>
                <w:szCs w:val="20"/>
              </w:rPr>
              <w:t xml:space="preserve">ew </w:t>
            </w:r>
            <w:r w:rsidRPr="00B17EDB">
              <w:rPr>
                <w:rFonts w:ascii="Arial" w:hAnsi="Arial" w:cs="Arial"/>
                <w:sz w:val="20"/>
                <w:szCs w:val="20"/>
              </w:rPr>
              <w:t>Z</w:t>
            </w:r>
            <w:r>
              <w:rPr>
                <w:rFonts w:ascii="Arial" w:hAnsi="Arial" w:cs="Arial"/>
                <w:sz w:val="20"/>
                <w:szCs w:val="20"/>
              </w:rPr>
              <w:t>ealand</w:t>
            </w:r>
          </w:p>
          <w:p w:rsidR="00F604C2" w:rsidRPr="00B17EDB" w:rsidRDefault="00F604C2" w:rsidP="00C56EC8">
            <w:pPr>
              <w:pStyle w:val="Default"/>
              <w:spacing w:before="60" w:after="60"/>
              <w:rPr>
                <w:rFonts w:ascii="Arial" w:hAnsi="Arial" w:cs="Arial"/>
                <w:sz w:val="20"/>
                <w:szCs w:val="20"/>
              </w:rPr>
            </w:pPr>
            <w:r>
              <w:rPr>
                <w:rFonts w:ascii="Arial" w:hAnsi="Arial" w:cs="Arial"/>
                <w:sz w:val="20"/>
                <w:szCs w:val="20"/>
              </w:rPr>
              <w:t>(</w:t>
            </w:r>
            <w:r w:rsidRPr="00F71CC9">
              <w:rPr>
                <w:rFonts w:ascii="Arial" w:hAnsi="Arial" w:cs="Arial"/>
                <w:i/>
                <w:sz w:val="20"/>
                <w:szCs w:val="20"/>
              </w:rPr>
              <w:t>Not</w:t>
            </w:r>
            <w:r>
              <w:rPr>
                <w:rFonts w:ascii="Arial" w:hAnsi="Arial" w:cs="Arial"/>
                <w:i/>
                <w:sz w:val="20"/>
                <w:szCs w:val="20"/>
              </w:rPr>
              <w:t>-</w:t>
            </w:r>
            <w:r w:rsidRPr="00F71CC9">
              <w:rPr>
                <w:rFonts w:ascii="Arial" w:hAnsi="Arial" w:cs="Arial"/>
                <w:i/>
                <w:sz w:val="20"/>
                <w:szCs w:val="20"/>
              </w:rPr>
              <w:t>for</w:t>
            </w:r>
            <w:r>
              <w:rPr>
                <w:rFonts w:ascii="Arial" w:hAnsi="Arial" w:cs="Arial"/>
                <w:i/>
                <w:sz w:val="20"/>
                <w:szCs w:val="20"/>
              </w:rPr>
              <w:t>-</w:t>
            </w:r>
            <w:r w:rsidRPr="00F71CC9">
              <w:rPr>
                <w:rFonts w:ascii="Arial" w:hAnsi="Arial" w:cs="Arial"/>
                <w:i/>
                <w:sz w:val="20"/>
                <w:szCs w:val="20"/>
              </w:rPr>
              <w:t>profit organisation</w:t>
            </w:r>
            <w:r>
              <w:rPr>
                <w:rFonts w:ascii="Arial" w:hAnsi="Arial" w:cs="Arial"/>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 xml:space="preserve">Supports activities but cautions that more consultation will be needed at a national level on the idea of a national </w:t>
            </w:r>
            <w:r>
              <w:rPr>
                <w:rFonts w:ascii="Arial" w:hAnsi="Arial" w:cs="Arial"/>
                <w:sz w:val="20"/>
                <w:szCs w:val="20"/>
              </w:rPr>
              <w:t>S</w:t>
            </w:r>
            <w:r w:rsidRPr="002062D6">
              <w:rPr>
                <w:rFonts w:ascii="Arial" w:hAnsi="Arial" w:cs="Arial"/>
                <w:i/>
                <w:sz w:val="20"/>
                <w:szCs w:val="20"/>
              </w:rPr>
              <w:t xml:space="preserve">almonella </w:t>
            </w:r>
            <w:r w:rsidRPr="00B17EDB">
              <w:rPr>
                <w:rFonts w:ascii="Arial" w:hAnsi="Arial" w:cs="Arial"/>
                <w:sz w:val="20"/>
                <w:szCs w:val="20"/>
              </w:rPr>
              <w:t>plan for horticulture</w:t>
            </w:r>
            <w:r>
              <w:rPr>
                <w:rFonts w:ascii="Arial" w:hAnsi="Arial" w:cs="Arial"/>
                <w:sz w:val="20"/>
                <w:szCs w:val="20"/>
              </w:rPr>
              <w:t>.</w:t>
            </w:r>
          </w:p>
        </w:tc>
        <w:tc>
          <w:tcPr>
            <w:tcW w:w="1529"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Pr>
                <w:rFonts w:ascii="Arial" w:eastAsiaTheme="minorHAnsi" w:hAnsi="Arial" w:cs="Arial"/>
                <w:color w:val="000000"/>
                <w:sz w:val="20"/>
                <w:szCs w:val="20"/>
                <w:lang w:val="en-GB"/>
              </w:rPr>
              <w:t>Development of training resources and integrated communication between government and supply chain members.</w:t>
            </w:r>
          </w:p>
        </w:tc>
        <w:tc>
          <w:tcPr>
            <w:tcW w:w="1155" w:type="pct"/>
          </w:tcPr>
          <w:p w:rsidR="00F604C2" w:rsidRPr="00F71CC9" w:rsidRDefault="00F604C2" w:rsidP="00C56EC8">
            <w:pPr>
              <w:tabs>
                <w:tab w:val="left" w:pos="4283"/>
              </w:tabs>
              <w:spacing w:before="60" w:after="60"/>
              <w:ind w:left="0" w:right="0"/>
              <w:rPr>
                <w:rFonts w:ascii="Arial" w:hAnsi="Arial" w:cs="Arial"/>
                <w:sz w:val="20"/>
                <w:szCs w:val="20"/>
              </w:rPr>
            </w:pPr>
            <w:r w:rsidRPr="00F71CC9">
              <w:rPr>
                <w:rFonts w:ascii="Arial" w:hAnsi="Arial" w:cs="Arial"/>
                <w:sz w:val="20"/>
                <w:szCs w:val="20"/>
              </w:rPr>
              <w:t>Refer to additional activities</w:t>
            </w:r>
            <w:r>
              <w:rPr>
                <w:rFonts w:ascii="Arial" w:hAnsi="Arial" w:cs="Arial"/>
                <w:sz w:val="20"/>
                <w:szCs w:val="20"/>
              </w:rPr>
              <w:t>.</w:t>
            </w:r>
          </w:p>
        </w:tc>
      </w:tr>
      <w:tr w:rsidR="00F604C2" w:rsidRPr="00B17EDB" w:rsidTr="00C56EC8">
        <w:trPr>
          <w:cantSplit/>
        </w:trPr>
        <w:tc>
          <w:tcPr>
            <w:tcW w:w="1223" w:type="pct"/>
          </w:tcPr>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sidRPr="00B17EDB">
              <w:rPr>
                <w:rFonts w:ascii="Arial" w:eastAsiaTheme="minorHAnsi" w:hAnsi="Arial" w:cs="Arial"/>
                <w:color w:val="000000"/>
                <w:sz w:val="20"/>
                <w:szCs w:val="20"/>
                <w:lang w:val="en-GB"/>
              </w:rPr>
              <w:t>OzFoodNet and C</w:t>
            </w:r>
            <w:r>
              <w:rPr>
                <w:rFonts w:ascii="Arial" w:eastAsiaTheme="minorHAnsi" w:hAnsi="Arial" w:cs="Arial"/>
                <w:color w:val="000000"/>
                <w:sz w:val="20"/>
                <w:szCs w:val="20"/>
                <w:lang w:val="en-GB"/>
              </w:rPr>
              <w:t xml:space="preserve">ommunicable </w:t>
            </w:r>
            <w:r w:rsidRPr="00B17EDB">
              <w:rPr>
                <w:rFonts w:ascii="Arial" w:eastAsiaTheme="minorHAnsi" w:hAnsi="Arial" w:cs="Arial"/>
                <w:color w:val="000000"/>
                <w:sz w:val="20"/>
                <w:szCs w:val="20"/>
                <w:lang w:val="en-GB"/>
              </w:rPr>
              <w:t>D</w:t>
            </w:r>
            <w:r>
              <w:rPr>
                <w:rFonts w:ascii="Arial" w:eastAsiaTheme="minorHAnsi" w:hAnsi="Arial" w:cs="Arial"/>
                <w:color w:val="000000"/>
                <w:sz w:val="20"/>
                <w:szCs w:val="20"/>
                <w:lang w:val="en-GB"/>
              </w:rPr>
              <w:t xml:space="preserve">iseases </w:t>
            </w:r>
            <w:r w:rsidRPr="00B17EDB">
              <w:rPr>
                <w:rFonts w:ascii="Arial" w:eastAsiaTheme="minorHAnsi" w:hAnsi="Arial" w:cs="Arial"/>
                <w:color w:val="000000"/>
                <w:sz w:val="20"/>
                <w:szCs w:val="20"/>
                <w:lang w:val="en-GB"/>
              </w:rPr>
              <w:t>N</w:t>
            </w:r>
            <w:r>
              <w:rPr>
                <w:rFonts w:ascii="Arial" w:eastAsiaTheme="minorHAnsi" w:hAnsi="Arial" w:cs="Arial"/>
                <w:color w:val="000000"/>
                <w:sz w:val="20"/>
                <w:szCs w:val="20"/>
                <w:lang w:val="en-GB"/>
              </w:rPr>
              <w:t>etwork Australia</w:t>
            </w:r>
          </w:p>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Pr>
                <w:rFonts w:ascii="Arial" w:eastAsiaTheme="minorHAnsi" w:hAnsi="Arial" w:cs="Arial"/>
                <w:color w:val="000000"/>
                <w:sz w:val="20"/>
                <w:szCs w:val="20"/>
                <w:lang w:val="en-GB"/>
              </w:rPr>
              <w:t>(</w:t>
            </w:r>
            <w:r w:rsidRPr="00F71CC9">
              <w:rPr>
                <w:rFonts w:ascii="Arial" w:eastAsiaTheme="minorHAnsi" w:hAnsi="Arial" w:cs="Arial"/>
                <w:i/>
                <w:color w:val="000000"/>
                <w:sz w:val="20"/>
                <w:szCs w:val="20"/>
                <w:lang w:val="en-GB"/>
              </w:rPr>
              <w:t>Governmen</w:t>
            </w:r>
            <w:r w:rsidRPr="00B17EDB">
              <w:rPr>
                <w:rFonts w:ascii="Arial" w:eastAsiaTheme="minorHAnsi" w:hAnsi="Arial" w:cs="Arial"/>
                <w:color w:val="000000"/>
                <w:sz w:val="20"/>
                <w:szCs w:val="20"/>
                <w:lang w:val="en-GB"/>
              </w:rPr>
              <w:t>t</w:t>
            </w:r>
            <w:r>
              <w:rPr>
                <w:rFonts w:ascii="Arial" w:eastAsiaTheme="minorHAnsi" w:hAnsi="Arial" w:cs="Arial"/>
                <w:color w:val="000000"/>
                <w:sz w:val="20"/>
                <w:szCs w:val="20"/>
                <w:lang w:val="en-GB"/>
              </w:rPr>
              <w:t>)</w:t>
            </w:r>
          </w:p>
        </w:tc>
        <w:tc>
          <w:tcPr>
            <w:tcW w:w="1093" w:type="pct"/>
          </w:tcPr>
          <w:p w:rsidR="00F604C2" w:rsidRPr="00B17EDB" w:rsidRDefault="00F604C2" w:rsidP="00C56EC8">
            <w:pPr>
              <w:spacing w:before="60" w:after="60"/>
              <w:ind w:left="0" w:right="0"/>
              <w:rPr>
                <w:rFonts w:ascii="Arial" w:hAnsi="Arial" w:cs="Arial"/>
                <w:sz w:val="20"/>
                <w:szCs w:val="20"/>
              </w:rPr>
            </w:pPr>
            <w:r w:rsidRPr="00B17EDB">
              <w:rPr>
                <w:rFonts w:ascii="Arial" w:hAnsi="Arial" w:cs="Arial"/>
                <w:sz w:val="20"/>
                <w:szCs w:val="20"/>
              </w:rPr>
              <w:t xml:space="preserve">Suggested </w:t>
            </w:r>
            <w:proofErr w:type="spellStart"/>
            <w:r w:rsidRPr="00B17EDB">
              <w:rPr>
                <w:rFonts w:ascii="Arial" w:hAnsi="Arial" w:cs="Arial"/>
                <w:sz w:val="20"/>
                <w:szCs w:val="20"/>
              </w:rPr>
              <w:t>prioritising</w:t>
            </w:r>
            <w:proofErr w:type="spellEnd"/>
            <w:r w:rsidRPr="00B17EDB">
              <w:rPr>
                <w:rFonts w:ascii="Arial" w:hAnsi="Arial" w:cs="Arial"/>
                <w:sz w:val="20"/>
                <w:szCs w:val="20"/>
              </w:rPr>
              <w:t xml:space="preserve"> items in a matrix by</w:t>
            </w:r>
            <w:r>
              <w:rPr>
                <w:rFonts w:ascii="Arial" w:hAnsi="Arial" w:cs="Arial"/>
                <w:sz w:val="20"/>
                <w:szCs w:val="20"/>
              </w:rPr>
              <w:t xml:space="preserve"> i</w:t>
            </w:r>
            <w:r w:rsidRPr="00B17EDB">
              <w:rPr>
                <w:rFonts w:ascii="Arial" w:hAnsi="Arial" w:cs="Arial"/>
                <w:sz w:val="20"/>
                <w:szCs w:val="20"/>
              </w:rPr>
              <w:t>mpact and ease of implementation (resourcing $ and people).</w:t>
            </w:r>
          </w:p>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Support the activities noting that risks in the horticultural supply chain should cover many potential pathogens</w:t>
            </w:r>
            <w:r>
              <w:rPr>
                <w:rFonts w:ascii="Arial" w:hAnsi="Arial" w:cs="Arial"/>
                <w:sz w:val="20"/>
                <w:szCs w:val="20"/>
              </w:rPr>
              <w:t>.</w:t>
            </w:r>
          </w:p>
          <w:p w:rsidR="00F604C2" w:rsidRPr="00B17EDB" w:rsidRDefault="00F604C2" w:rsidP="00C56EC8">
            <w:pPr>
              <w:pStyle w:val="Default"/>
              <w:spacing w:before="60" w:after="60"/>
              <w:rPr>
                <w:rFonts w:ascii="Arial" w:hAnsi="Arial" w:cs="Arial"/>
                <w:sz w:val="20"/>
                <w:szCs w:val="20"/>
              </w:rPr>
            </w:pPr>
          </w:p>
        </w:tc>
        <w:tc>
          <w:tcPr>
            <w:tcW w:w="1529" w:type="pct"/>
          </w:tcPr>
          <w:p w:rsidR="00F604C2"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r>
              <w:rPr>
                <w:rFonts w:ascii="Arial" w:eastAsiaTheme="minorHAnsi" w:hAnsi="Arial" w:cs="Arial"/>
                <w:sz w:val="20"/>
                <w:szCs w:val="20"/>
                <w:lang w:val="en-GB"/>
              </w:rPr>
              <w:t xml:space="preserve">To avoid duplication by jurisdictions national guidelines should be developed (a number were suggested). </w:t>
            </w:r>
          </w:p>
          <w:p w:rsidR="00F604C2" w:rsidRPr="00B17EDB"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r w:rsidRPr="00B17EDB">
              <w:rPr>
                <w:rFonts w:ascii="Arial" w:hAnsi="Arial" w:cs="Arial"/>
                <w:sz w:val="20"/>
                <w:szCs w:val="20"/>
              </w:rPr>
              <w:t>The importance of introducing national consistent strategies for</w:t>
            </w:r>
            <w:r w:rsidRPr="002062D6">
              <w:rPr>
                <w:rFonts w:ascii="Arial" w:hAnsi="Arial" w:cs="Arial"/>
                <w:i/>
                <w:sz w:val="20"/>
                <w:szCs w:val="20"/>
              </w:rPr>
              <w:t xml:space="preserve"> Salmonella </w:t>
            </w:r>
            <w:r w:rsidRPr="00B17EDB">
              <w:rPr>
                <w:rFonts w:ascii="Arial" w:hAnsi="Arial" w:cs="Arial"/>
                <w:sz w:val="20"/>
                <w:szCs w:val="20"/>
              </w:rPr>
              <w:t>was noted as well as</w:t>
            </w:r>
            <w:r>
              <w:rPr>
                <w:rFonts w:ascii="Arial" w:hAnsi="Arial" w:cs="Arial"/>
                <w:sz w:val="20"/>
                <w:szCs w:val="20"/>
              </w:rPr>
              <w:t xml:space="preserve"> the need for</w:t>
            </w:r>
            <w:r w:rsidRPr="00B17EDB">
              <w:rPr>
                <w:rFonts w:ascii="Arial" w:hAnsi="Arial" w:cs="Arial"/>
                <w:sz w:val="20"/>
                <w:szCs w:val="20"/>
              </w:rPr>
              <w:t xml:space="preserve"> considerable resources </w:t>
            </w:r>
            <w:r>
              <w:rPr>
                <w:rFonts w:ascii="Arial" w:hAnsi="Arial" w:cs="Arial"/>
                <w:sz w:val="20"/>
                <w:szCs w:val="20"/>
              </w:rPr>
              <w:t xml:space="preserve">to </w:t>
            </w:r>
            <w:r w:rsidRPr="00B17EDB">
              <w:rPr>
                <w:rFonts w:ascii="Arial" w:hAnsi="Arial" w:cs="Arial"/>
                <w:sz w:val="20"/>
                <w:szCs w:val="20"/>
              </w:rPr>
              <w:t>be used to educate the public on safe food handling.</w:t>
            </w:r>
          </w:p>
        </w:tc>
        <w:tc>
          <w:tcPr>
            <w:tcW w:w="1155" w:type="pct"/>
          </w:tcPr>
          <w:p w:rsidR="00F604C2" w:rsidRPr="001D7CFE" w:rsidRDefault="00F604C2" w:rsidP="00C56EC8">
            <w:pPr>
              <w:tabs>
                <w:tab w:val="left" w:pos="4283"/>
              </w:tabs>
              <w:spacing w:before="60" w:after="60"/>
              <w:ind w:left="0" w:right="0"/>
              <w:rPr>
                <w:rFonts w:ascii="Arial" w:hAnsi="Arial" w:cs="Arial"/>
                <w:sz w:val="20"/>
                <w:szCs w:val="20"/>
              </w:rPr>
            </w:pPr>
            <w:r w:rsidRPr="001D7CFE">
              <w:rPr>
                <w:rFonts w:ascii="Arial" w:hAnsi="Arial" w:cs="Arial"/>
                <w:sz w:val="20"/>
                <w:szCs w:val="20"/>
              </w:rPr>
              <w:t>Produce a current and timely report on current state of play and seek input/advice from key stakeholders.</w:t>
            </w:r>
          </w:p>
          <w:p w:rsidR="00F604C2" w:rsidRPr="001D7CFE" w:rsidRDefault="00F604C2" w:rsidP="00C56EC8">
            <w:pPr>
              <w:tabs>
                <w:tab w:val="left" w:pos="4283"/>
              </w:tabs>
              <w:spacing w:before="60" w:after="60"/>
              <w:ind w:left="0" w:right="0"/>
              <w:rPr>
                <w:rFonts w:ascii="Arial" w:hAnsi="Arial" w:cs="Arial"/>
                <w:sz w:val="20"/>
                <w:szCs w:val="20"/>
              </w:rPr>
            </w:pPr>
            <w:r w:rsidRPr="001D7CFE">
              <w:rPr>
                <w:rFonts w:ascii="Arial" w:hAnsi="Arial" w:cs="Arial"/>
                <w:sz w:val="20"/>
                <w:szCs w:val="20"/>
              </w:rPr>
              <w:t>Conduct investigations to collect any missing information</w:t>
            </w:r>
            <w:r>
              <w:rPr>
                <w:rFonts w:ascii="Arial" w:hAnsi="Arial" w:cs="Arial"/>
                <w:sz w:val="20"/>
                <w:szCs w:val="20"/>
              </w:rPr>
              <w:t>.</w:t>
            </w:r>
          </w:p>
          <w:p w:rsidR="00F604C2" w:rsidRPr="001D7CFE" w:rsidRDefault="00F604C2" w:rsidP="00C56EC8">
            <w:pPr>
              <w:tabs>
                <w:tab w:val="left" w:pos="4283"/>
              </w:tabs>
              <w:spacing w:before="60" w:after="60"/>
              <w:ind w:left="0" w:right="0"/>
              <w:rPr>
                <w:rFonts w:ascii="Arial" w:hAnsi="Arial" w:cs="Arial"/>
                <w:sz w:val="20"/>
                <w:szCs w:val="20"/>
              </w:rPr>
            </w:pPr>
            <w:r w:rsidRPr="001D7CFE">
              <w:rPr>
                <w:rFonts w:ascii="Arial" w:hAnsi="Arial" w:cs="Arial"/>
                <w:sz w:val="20"/>
                <w:szCs w:val="20"/>
              </w:rPr>
              <w:t xml:space="preserve">Evaluate </w:t>
            </w:r>
            <w:r>
              <w:rPr>
                <w:rFonts w:ascii="Arial" w:hAnsi="Arial" w:cs="Arial"/>
                <w:sz w:val="20"/>
                <w:szCs w:val="20"/>
              </w:rPr>
              <w:t>Foodborne Illness (FBI)</w:t>
            </w:r>
            <w:r w:rsidRPr="001D7CFE">
              <w:rPr>
                <w:rFonts w:ascii="Arial" w:hAnsi="Arial" w:cs="Arial"/>
                <w:sz w:val="20"/>
                <w:szCs w:val="20"/>
              </w:rPr>
              <w:t xml:space="preserve"> reduction strategies in NSW and </w:t>
            </w:r>
            <w:proofErr w:type="spellStart"/>
            <w:r w:rsidRPr="001D7CFE">
              <w:rPr>
                <w:rFonts w:ascii="Arial" w:hAnsi="Arial" w:cs="Arial"/>
                <w:sz w:val="20"/>
                <w:szCs w:val="20"/>
              </w:rPr>
              <w:t>Qld</w:t>
            </w:r>
            <w:proofErr w:type="spellEnd"/>
            <w:r w:rsidRPr="001D7CFE">
              <w:rPr>
                <w:rFonts w:ascii="Arial" w:hAnsi="Arial" w:cs="Arial"/>
                <w:sz w:val="20"/>
                <w:szCs w:val="20"/>
              </w:rPr>
              <w:t xml:space="preserve"> with recommendations for best practice in other jurisdictions</w:t>
            </w:r>
            <w:r>
              <w:rPr>
                <w:rFonts w:ascii="Arial" w:hAnsi="Arial" w:cs="Arial"/>
                <w:sz w:val="20"/>
                <w:szCs w:val="20"/>
              </w:rPr>
              <w:t>.</w:t>
            </w:r>
          </w:p>
        </w:tc>
      </w:tr>
      <w:tr w:rsidR="00F604C2" w:rsidRPr="00B17EDB" w:rsidTr="00C56EC8">
        <w:trPr>
          <w:cantSplit/>
        </w:trPr>
        <w:tc>
          <w:tcPr>
            <w:tcW w:w="1223" w:type="pct"/>
          </w:tcPr>
          <w:p w:rsidR="00F604C2" w:rsidRDefault="00F604C2" w:rsidP="00C56EC8">
            <w:pPr>
              <w:widowControl/>
              <w:autoSpaceDE w:val="0"/>
              <w:autoSpaceDN w:val="0"/>
              <w:adjustRightInd w:val="0"/>
              <w:spacing w:before="60" w:after="60"/>
              <w:ind w:left="0" w:right="0"/>
              <w:rPr>
                <w:rFonts w:ascii="Arial" w:hAnsi="Arial" w:cs="Arial"/>
                <w:sz w:val="20"/>
                <w:szCs w:val="20"/>
              </w:rPr>
            </w:pPr>
            <w:r w:rsidRPr="00B17EDB">
              <w:rPr>
                <w:rFonts w:ascii="Arial" w:hAnsi="Arial" w:cs="Arial"/>
                <w:sz w:val="20"/>
                <w:szCs w:val="20"/>
              </w:rPr>
              <w:t>National Centre for Epidemiology and Population Health, The Australian National University</w:t>
            </w:r>
          </w:p>
          <w:p w:rsidR="00F604C2" w:rsidRPr="00B17EDB" w:rsidRDefault="00F604C2" w:rsidP="00C56EC8">
            <w:pPr>
              <w:widowControl/>
              <w:autoSpaceDE w:val="0"/>
              <w:autoSpaceDN w:val="0"/>
              <w:adjustRightInd w:val="0"/>
              <w:spacing w:before="60" w:after="60"/>
              <w:ind w:left="0" w:right="0"/>
              <w:rPr>
                <w:rFonts w:ascii="Arial" w:eastAsiaTheme="minorHAnsi" w:hAnsi="Arial" w:cs="Arial"/>
                <w:color w:val="000000"/>
                <w:sz w:val="20"/>
                <w:szCs w:val="20"/>
                <w:lang w:val="en-GB"/>
              </w:rPr>
            </w:pPr>
            <w:r>
              <w:rPr>
                <w:rFonts w:ascii="Arial" w:hAnsi="Arial" w:cs="Arial"/>
                <w:sz w:val="20"/>
                <w:szCs w:val="20"/>
              </w:rPr>
              <w:t>(</w:t>
            </w:r>
            <w:r w:rsidRPr="005F4417">
              <w:rPr>
                <w:rFonts w:ascii="Arial" w:hAnsi="Arial" w:cs="Arial"/>
                <w:i/>
                <w:sz w:val="20"/>
                <w:szCs w:val="20"/>
              </w:rPr>
              <w:t xml:space="preserve">Research </w:t>
            </w:r>
            <w:proofErr w:type="spellStart"/>
            <w:r w:rsidRPr="005F4417">
              <w:rPr>
                <w:rFonts w:ascii="Arial" w:hAnsi="Arial" w:cs="Arial"/>
                <w:i/>
                <w:sz w:val="20"/>
                <w:szCs w:val="20"/>
              </w:rPr>
              <w:t>organisation</w:t>
            </w:r>
            <w:proofErr w:type="spellEnd"/>
            <w:r w:rsidRPr="005F4417">
              <w:rPr>
                <w:rFonts w:ascii="Arial" w:hAnsi="Arial" w:cs="Arial"/>
                <w:i/>
                <w:sz w:val="20"/>
                <w:szCs w:val="20"/>
              </w:rPr>
              <w:t>)</w:t>
            </w:r>
          </w:p>
        </w:tc>
        <w:tc>
          <w:tcPr>
            <w:tcW w:w="1093" w:type="pct"/>
          </w:tcPr>
          <w:p w:rsidR="00F604C2" w:rsidRPr="00B17EDB" w:rsidRDefault="00F604C2" w:rsidP="00C56EC8">
            <w:pPr>
              <w:pStyle w:val="Default"/>
              <w:spacing w:before="60" w:after="60"/>
              <w:rPr>
                <w:rFonts w:ascii="Arial" w:hAnsi="Arial" w:cs="Arial"/>
                <w:sz w:val="20"/>
                <w:szCs w:val="20"/>
              </w:rPr>
            </w:pPr>
            <w:r w:rsidRPr="00B17EDB">
              <w:rPr>
                <w:rFonts w:ascii="Arial" w:hAnsi="Arial" w:cs="Arial"/>
                <w:sz w:val="20"/>
                <w:szCs w:val="20"/>
              </w:rPr>
              <w:t>The emphasis on jurisdictional initiatives becoming national initiatives is great, as it reduces overlap and makes use of jurisdictions extensive experience with food safety.</w:t>
            </w:r>
          </w:p>
          <w:p w:rsidR="00F604C2" w:rsidRPr="00B17EDB" w:rsidRDefault="00F604C2" w:rsidP="00C56EC8">
            <w:pPr>
              <w:pStyle w:val="Default"/>
              <w:spacing w:before="60" w:after="60"/>
              <w:rPr>
                <w:rFonts w:ascii="Arial" w:hAnsi="Arial" w:cs="Arial"/>
                <w:sz w:val="20"/>
                <w:szCs w:val="20"/>
              </w:rPr>
            </w:pPr>
          </w:p>
        </w:tc>
        <w:tc>
          <w:tcPr>
            <w:tcW w:w="1529" w:type="pct"/>
          </w:tcPr>
          <w:p w:rsidR="00F604C2" w:rsidRDefault="00F604C2" w:rsidP="00C56EC8">
            <w:pPr>
              <w:widowControl/>
              <w:autoSpaceDE w:val="0"/>
              <w:autoSpaceDN w:val="0"/>
              <w:adjustRightInd w:val="0"/>
              <w:spacing w:before="60" w:after="60"/>
              <w:ind w:left="0" w:right="0"/>
              <w:rPr>
                <w:rFonts w:ascii="Arial" w:hAnsi="Arial" w:cs="Arial"/>
                <w:sz w:val="20"/>
                <w:szCs w:val="20"/>
                <w:lang w:eastAsia="en-GB"/>
              </w:rPr>
            </w:pPr>
            <w:r w:rsidRPr="00B17EDB">
              <w:rPr>
                <w:rFonts w:ascii="Arial" w:hAnsi="Arial" w:cs="Arial"/>
                <w:sz w:val="20"/>
                <w:szCs w:val="20"/>
                <w:lang w:eastAsia="en-GB"/>
              </w:rPr>
              <w:t>A greater emphasis on the importance and central role of Whole Genome Sequencing (WGS) in generating actionable intelligence.</w:t>
            </w:r>
          </w:p>
          <w:p w:rsidR="00F604C2" w:rsidRPr="00B17EDB" w:rsidRDefault="00F604C2" w:rsidP="00C56EC8">
            <w:pPr>
              <w:widowControl/>
              <w:autoSpaceDE w:val="0"/>
              <w:autoSpaceDN w:val="0"/>
              <w:adjustRightInd w:val="0"/>
              <w:spacing w:before="60" w:after="60"/>
              <w:ind w:left="0" w:right="0"/>
              <w:rPr>
                <w:rFonts w:ascii="Arial" w:eastAsiaTheme="minorHAnsi" w:hAnsi="Arial" w:cs="Arial"/>
                <w:sz w:val="20"/>
                <w:szCs w:val="20"/>
                <w:lang w:val="en-GB"/>
              </w:rPr>
            </w:pPr>
          </w:p>
        </w:tc>
        <w:tc>
          <w:tcPr>
            <w:tcW w:w="1155" w:type="pct"/>
          </w:tcPr>
          <w:p w:rsidR="00F604C2" w:rsidRPr="001D7CFE"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lang w:val="en-GB" w:eastAsia="en-GB"/>
              </w:rPr>
              <w:t>D</w:t>
            </w:r>
            <w:r w:rsidRPr="001D7CFE">
              <w:rPr>
                <w:rFonts w:ascii="Arial" w:hAnsi="Arial" w:cs="Arial"/>
                <w:sz w:val="20"/>
                <w:szCs w:val="20"/>
                <w:lang w:val="en-GB" w:eastAsia="en-GB"/>
              </w:rPr>
              <w:t>eveloping better models of source attribution and finalising costing of foodborne illness</w:t>
            </w:r>
            <w:r>
              <w:rPr>
                <w:rFonts w:ascii="Arial" w:hAnsi="Arial" w:cs="Arial"/>
                <w:sz w:val="20"/>
                <w:szCs w:val="20"/>
                <w:lang w:val="en-GB" w:eastAsia="en-GB"/>
              </w:rPr>
              <w:t>.</w:t>
            </w:r>
          </w:p>
          <w:p w:rsidR="00F604C2" w:rsidRPr="001D7CFE"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lang w:val="en-GB" w:eastAsia="en-GB"/>
              </w:rPr>
              <w:t>B</w:t>
            </w:r>
            <w:r w:rsidRPr="001D7CFE">
              <w:rPr>
                <w:rFonts w:ascii="Arial" w:hAnsi="Arial" w:cs="Arial"/>
                <w:sz w:val="20"/>
                <w:szCs w:val="20"/>
                <w:lang w:val="en-GB" w:eastAsia="en-GB"/>
              </w:rPr>
              <w:t>etter analysis of outbreak data</w:t>
            </w:r>
            <w:r>
              <w:rPr>
                <w:rFonts w:ascii="Arial" w:hAnsi="Arial" w:cs="Arial"/>
                <w:sz w:val="20"/>
                <w:szCs w:val="20"/>
                <w:lang w:val="en-GB" w:eastAsia="en-GB"/>
              </w:rPr>
              <w:t>.</w:t>
            </w:r>
          </w:p>
          <w:p w:rsidR="00F604C2" w:rsidRPr="001D7CFE" w:rsidRDefault="00F604C2" w:rsidP="00C56EC8">
            <w:pPr>
              <w:tabs>
                <w:tab w:val="left" w:pos="4283"/>
              </w:tabs>
              <w:spacing w:before="60" w:after="60"/>
              <w:ind w:left="0" w:right="0"/>
              <w:rPr>
                <w:rFonts w:ascii="Arial" w:hAnsi="Arial" w:cs="Arial"/>
                <w:sz w:val="20"/>
                <w:szCs w:val="20"/>
              </w:rPr>
            </w:pPr>
            <w:r>
              <w:rPr>
                <w:rFonts w:ascii="Arial" w:hAnsi="Arial" w:cs="Arial"/>
                <w:sz w:val="20"/>
                <w:szCs w:val="20"/>
                <w:lang w:val="en-GB" w:eastAsia="en-GB"/>
              </w:rPr>
              <w:t>N</w:t>
            </w:r>
            <w:r w:rsidRPr="001D7CFE">
              <w:rPr>
                <w:rFonts w:ascii="Arial" w:hAnsi="Arial" w:cs="Arial"/>
                <w:sz w:val="20"/>
                <w:szCs w:val="20"/>
                <w:lang w:val="en-GB" w:eastAsia="en-GB"/>
              </w:rPr>
              <w:t>ationally connected integrated surveillance of human foodborne infections and food-based pathogens using WGS</w:t>
            </w:r>
            <w:r w:rsidR="00955491">
              <w:rPr>
                <w:rFonts w:ascii="Arial" w:hAnsi="Arial" w:cs="Arial"/>
                <w:sz w:val="20"/>
                <w:szCs w:val="20"/>
                <w:lang w:val="en-GB" w:eastAsia="en-GB"/>
              </w:rPr>
              <w:t>.</w:t>
            </w:r>
          </w:p>
        </w:tc>
      </w:tr>
    </w:tbl>
    <w:p w:rsidR="00F604C2" w:rsidRDefault="00F604C2" w:rsidP="00F604C2"/>
    <w:tbl>
      <w:tblPr>
        <w:tblW w:w="14532"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64"/>
        <w:gridCol w:w="2268"/>
      </w:tblGrid>
      <w:tr w:rsidR="00F604C2" w:rsidRPr="00B17EDB" w:rsidTr="00C56EC8">
        <w:trPr>
          <w:trHeight w:val="233"/>
        </w:trPr>
        <w:tc>
          <w:tcPr>
            <w:tcW w:w="12264" w:type="dxa"/>
            <w:tcBorders>
              <w:top w:val="single" w:sz="8" w:space="0" w:color="9BBB59"/>
              <w:left w:val="single" w:sz="8" w:space="0" w:color="9BBB59"/>
              <w:bottom w:val="single" w:sz="8" w:space="0" w:color="9BBB59"/>
              <w:right w:val="nil"/>
            </w:tcBorders>
            <w:shd w:val="clear" w:color="auto" w:fill="9BBB59"/>
            <w:tcMar>
              <w:top w:w="80" w:type="dxa"/>
              <w:left w:w="80" w:type="dxa"/>
              <w:bottom w:w="80" w:type="dxa"/>
              <w:right w:w="80" w:type="dxa"/>
            </w:tcMar>
          </w:tcPr>
          <w:p w:rsidR="00F604C2" w:rsidRPr="00B17EDB" w:rsidRDefault="00F604C2" w:rsidP="00C56EC8">
            <w:pPr>
              <w:pStyle w:val="Body"/>
              <w:rPr>
                <w:rFonts w:cs="Arial"/>
                <w:sz w:val="20"/>
                <w:szCs w:val="20"/>
              </w:rPr>
            </w:pPr>
            <w:r w:rsidRPr="00B17EDB">
              <w:rPr>
                <w:rFonts w:cs="Arial"/>
                <w:b/>
                <w:bCs/>
                <w:color w:val="FFFFFF"/>
                <w:sz w:val="20"/>
                <w:szCs w:val="20"/>
                <w:u w:color="FFFFFF"/>
                <w:lang w:val="en-US"/>
              </w:rPr>
              <w:lastRenderedPageBreak/>
              <w:t>Summary from round table discussion</w:t>
            </w:r>
          </w:p>
        </w:tc>
        <w:tc>
          <w:tcPr>
            <w:tcW w:w="2268" w:type="dxa"/>
            <w:tcBorders>
              <w:top w:val="single" w:sz="8" w:space="0" w:color="9BBB59"/>
              <w:left w:val="nil"/>
              <w:bottom w:val="single" w:sz="8" w:space="0" w:color="9BBB59"/>
              <w:right w:val="nil"/>
            </w:tcBorders>
            <w:shd w:val="clear" w:color="auto" w:fill="9BBB59"/>
            <w:tcMar>
              <w:top w:w="80" w:type="dxa"/>
              <w:left w:w="80" w:type="dxa"/>
              <w:bottom w:w="80" w:type="dxa"/>
              <w:right w:w="80" w:type="dxa"/>
            </w:tcMar>
          </w:tcPr>
          <w:p w:rsidR="00F604C2" w:rsidRPr="00B17EDB" w:rsidRDefault="00F604C2" w:rsidP="00C56EC8">
            <w:pPr>
              <w:pStyle w:val="Body"/>
              <w:rPr>
                <w:rFonts w:cs="Arial"/>
                <w:sz w:val="20"/>
                <w:szCs w:val="20"/>
              </w:rPr>
            </w:pPr>
            <w:r w:rsidRPr="00B17EDB">
              <w:rPr>
                <w:rFonts w:cs="Arial"/>
                <w:b/>
                <w:bCs/>
                <w:color w:val="FFFFFF"/>
                <w:sz w:val="20"/>
                <w:szCs w:val="20"/>
                <w:u w:color="FFFFFF"/>
                <w:lang w:val="en-US"/>
              </w:rPr>
              <w:t>Industry</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Agreed with the vision and objectives and supported the implementa</w:t>
            </w:r>
            <w:r>
              <w:rPr>
                <w:rFonts w:cs="Arial"/>
                <w:bCs/>
                <w:iCs/>
                <w:sz w:val="20"/>
                <w:szCs w:val="20"/>
              </w:rPr>
              <w:t>tion of the proposed activities.</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Strongly supported research, industry and regulators coming together and discussing research outcomes and industry initiatives with follow-up discussions amongst regulators to determine what could be implemented national</w:t>
            </w:r>
            <w:r>
              <w:rPr>
                <w:rFonts w:cs="Arial"/>
                <w:bCs/>
                <w:iCs/>
                <w:sz w:val="20"/>
                <w:szCs w:val="20"/>
              </w:rPr>
              <w:t>ly and consistently.</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Stressed importance of skills and knowledge</w:t>
            </w:r>
            <w:r>
              <w:rPr>
                <w:rFonts w:cs="Arial"/>
                <w:bCs/>
                <w:iCs/>
                <w:sz w:val="20"/>
                <w:szCs w:val="20"/>
              </w:rPr>
              <w:t>,</w:t>
            </w:r>
            <w:r w:rsidRPr="00B17EDB">
              <w:rPr>
                <w:rFonts w:cs="Arial"/>
                <w:bCs/>
                <w:iCs/>
                <w:sz w:val="20"/>
                <w:szCs w:val="20"/>
              </w:rPr>
              <w:t xml:space="preserve"> specifically re-educating farmers and</w:t>
            </w:r>
            <w:r>
              <w:rPr>
                <w:rFonts w:cs="Arial"/>
                <w:bCs/>
                <w:iCs/>
                <w:sz w:val="20"/>
                <w:szCs w:val="20"/>
              </w:rPr>
              <w:t xml:space="preserve"> processors and upskilling EHOs.</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 xml:space="preserve">Agreed that the </w:t>
            </w:r>
            <w:r w:rsidRPr="00FD76E8">
              <w:rPr>
                <w:rFonts w:cs="Arial"/>
                <w:bCs/>
                <w:iCs/>
                <w:sz w:val="20"/>
                <w:szCs w:val="20"/>
              </w:rPr>
              <w:t>primary production and processing standard for egg products</w:t>
            </w:r>
            <w:r w:rsidRPr="00B17EDB">
              <w:rPr>
                <w:rFonts w:cs="Arial"/>
                <w:bCs/>
                <w:iCs/>
                <w:sz w:val="20"/>
                <w:szCs w:val="20"/>
              </w:rPr>
              <w:t xml:space="preserve"> did not need to be changed however its implementation should be reviewed</w:t>
            </w:r>
            <w:r>
              <w:rPr>
                <w:rFonts w:cs="Arial"/>
                <w:bCs/>
                <w:iCs/>
                <w:sz w:val="20"/>
                <w:szCs w:val="20"/>
              </w:rPr>
              <w:t>.</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Identified the need for improved messaging around particular risks e.g. use of cracked eggs</w:t>
            </w:r>
            <w:r>
              <w:rPr>
                <w:rFonts w:cs="Arial"/>
                <w:bCs/>
                <w:iCs/>
                <w:sz w:val="20"/>
                <w:szCs w:val="20"/>
              </w:rPr>
              <w:t>.</w:t>
            </w:r>
          </w:p>
          <w:p w:rsidR="00F604C2" w:rsidRPr="001D7CFE"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sz w:val="20"/>
                <w:szCs w:val="20"/>
              </w:rPr>
            </w:pPr>
            <w:r>
              <w:rPr>
                <w:rFonts w:cs="Arial"/>
                <w:bCs/>
                <w:iCs/>
                <w:sz w:val="20"/>
                <w:szCs w:val="20"/>
              </w:rPr>
              <w:t>S</w:t>
            </w:r>
            <w:r w:rsidRPr="001D7CFE">
              <w:rPr>
                <w:rFonts w:cs="Arial"/>
                <w:bCs/>
                <w:iCs/>
                <w:sz w:val="20"/>
                <w:szCs w:val="20"/>
              </w:rPr>
              <w:t>upported ongoing consultation with New Zealand on their approach</w:t>
            </w:r>
            <w:r>
              <w:rPr>
                <w:rFonts w:cs="Arial"/>
                <w:bCs/>
                <w:iCs/>
                <w:sz w:val="20"/>
                <w:szCs w:val="20"/>
              </w:rPr>
              <w:t>.</w:t>
            </w:r>
            <w:r w:rsidRPr="001D7CFE">
              <w:rPr>
                <w:rFonts w:cs="Arial"/>
                <w:bCs/>
                <w:iCs/>
                <w:sz w:val="20"/>
                <w:szCs w:val="20"/>
              </w:rPr>
              <w:t xml:space="preserve"> </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eastAsia="Calibri" w:hAnsi="Arial" w:cs="Arial"/>
                <w:color w:val="000000"/>
                <w:sz w:val="20"/>
                <w:szCs w:val="20"/>
                <w:u w:color="000000"/>
              </w:rPr>
              <w:t xml:space="preserve">National Egg </w:t>
            </w:r>
            <w:r>
              <w:rPr>
                <w:rFonts w:ascii="Arial" w:eastAsia="Calibri" w:hAnsi="Arial" w:cs="Arial"/>
                <w:color w:val="000000"/>
                <w:sz w:val="20"/>
                <w:szCs w:val="20"/>
                <w:u w:color="000000"/>
              </w:rPr>
              <w:t>I</w:t>
            </w:r>
            <w:r w:rsidRPr="00B17EDB">
              <w:rPr>
                <w:rFonts w:ascii="Arial" w:eastAsia="Calibri" w:hAnsi="Arial" w:cs="Arial"/>
                <w:color w:val="000000"/>
                <w:sz w:val="20"/>
                <w:szCs w:val="20"/>
                <w:u w:color="000000"/>
              </w:rPr>
              <w:t xml:space="preserve">ndustry </w:t>
            </w:r>
            <w:r>
              <w:rPr>
                <w:rFonts w:ascii="Arial" w:eastAsia="Calibri" w:hAnsi="Arial" w:cs="Arial"/>
                <w:color w:val="000000"/>
                <w:sz w:val="20"/>
                <w:szCs w:val="20"/>
                <w:u w:color="000000"/>
              </w:rPr>
              <w:t>C</w:t>
            </w:r>
            <w:r w:rsidRPr="00B17EDB">
              <w:rPr>
                <w:rFonts w:ascii="Arial" w:eastAsia="Calibri" w:hAnsi="Arial" w:cs="Arial"/>
                <w:color w:val="000000"/>
                <w:sz w:val="20"/>
                <w:szCs w:val="20"/>
                <w:u w:color="000000"/>
              </w:rPr>
              <w:t>onsultation</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Agreed with the vision and objectives of Australia’s strategy and generally supported the implementation of the proposed activities</w:t>
            </w:r>
            <w:r>
              <w:rPr>
                <w:rFonts w:cs="Arial"/>
                <w:bCs/>
                <w:iCs/>
                <w:sz w:val="20"/>
                <w:szCs w:val="20"/>
              </w:rPr>
              <w:t>.</w:t>
            </w:r>
            <w:r w:rsidRPr="00B17EDB">
              <w:rPr>
                <w:rFonts w:cs="Arial"/>
                <w:bCs/>
                <w:iCs/>
                <w:sz w:val="20"/>
                <w:szCs w:val="20"/>
              </w:rPr>
              <w:t xml:space="preserve"> </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Implementation (particularly driving consistency) and evaluation important</w:t>
            </w:r>
            <w:r>
              <w:rPr>
                <w:rFonts w:cs="Arial"/>
                <w:bCs/>
                <w:iCs/>
                <w:sz w:val="20"/>
                <w:szCs w:val="20"/>
              </w:rPr>
              <w:t>.</w:t>
            </w:r>
          </w:p>
          <w:p w:rsidR="00F604C2" w:rsidRPr="00B17EDB"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There should be a lead agency in each state feeding into the national strategy</w:t>
            </w:r>
            <w:r>
              <w:rPr>
                <w:rFonts w:cs="Arial"/>
                <w:bCs/>
                <w:iCs/>
                <w:sz w:val="20"/>
                <w:szCs w:val="20"/>
              </w:rPr>
              <w:t>.</w:t>
            </w:r>
          </w:p>
          <w:p w:rsidR="00F604C2" w:rsidRPr="00B17EDB" w:rsidRDefault="00F604C2" w:rsidP="00F604C2">
            <w:pPr>
              <w:pStyle w:val="Body"/>
              <w:numPr>
                <w:ilvl w:val="0"/>
                <w:numId w:val="1"/>
              </w:numPr>
              <w:spacing w:before="40"/>
              <w:ind w:left="555" w:hanging="425"/>
              <w:rPr>
                <w:rFonts w:cs="Arial"/>
                <w:bCs/>
                <w:iCs/>
                <w:sz w:val="20"/>
                <w:szCs w:val="20"/>
              </w:rPr>
            </w:pPr>
            <w:r>
              <w:rPr>
                <w:rFonts w:cs="Arial"/>
                <w:bCs/>
                <w:iCs/>
                <w:sz w:val="20"/>
                <w:szCs w:val="20"/>
              </w:rPr>
              <w:t>I</w:t>
            </w:r>
            <w:r w:rsidRPr="00B17EDB">
              <w:rPr>
                <w:rFonts w:cs="Arial"/>
                <w:bCs/>
                <w:iCs/>
                <w:sz w:val="20"/>
                <w:szCs w:val="20"/>
              </w:rPr>
              <w:t>nconsistent implementation needs to be addressed to show improvements</w:t>
            </w:r>
            <w:r>
              <w:rPr>
                <w:rFonts w:cs="Arial"/>
                <w:bCs/>
                <w:iCs/>
                <w:sz w:val="20"/>
                <w:szCs w:val="20"/>
              </w:rPr>
              <w:t>.</w:t>
            </w:r>
          </w:p>
          <w:p w:rsidR="00F604C2" w:rsidRPr="00FD76E8" w:rsidRDefault="00F604C2" w:rsidP="00F604C2">
            <w:pPr>
              <w:pStyle w:val="Body"/>
              <w:numPr>
                <w:ilvl w:val="0"/>
                <w:numId w:val="1"/>
              </w:numPr>
              <w:spacing w:before="40"/>
              <w:ind w:left="555" w:hanging="425"/>
              <w:rPr>
                <w:rFonts w:cs="Arial"/>
                <w:bCs/>
                <w:iCs/>
                <w:sz w:val="20"/>
                <w:szCs w:val="20"/>
              </w:rPr>
            </w:pPr>
            <w:r w:rsidRPr="00B17EDB">
              <w:rPr>
                <w:rFonts w:cs="Arial"/>
                <w:bCs/>
                <w:iCs/>
                <w:sz w:val="20"/>
                <w:szCs w:val="20"/>
              </w:rPr>
              <w:t>Education should have a stronger focus in the strategy</w:t>
            </w:r>
            <w:r>
              <w:rPr>
                <w:rFonts w:cs="Arial"/>
                <w:bCs/>
                <w:iCs/>
                <w:sz w:val="20"/>
                <w:szCs w:val="20"/>
              </w:rPr>
              <w:t>.</w:t>
            </w:r>
          </w:p>
          <w:p w:rsidR="00F604C2" w:rsidRPr="001D7CFE" w:rsidRDefault="00F604C2" w:rsidP="00F604C2">
            <w:pPr>
              <w:pStyle w:val="Body"/>
              <w:numPr>
                <w:ilvl w:val="0"/>
                <w:numId w:val="1"/>
              </w:numPr>
              <w:spacing w:before="40"/>
              <w:ind w:left="555" w:hanging="425"/>
              <w:rPr>
                <w:rFonts w:cs="Arial"/>
                <w:sz w:val="20"/>
                <w:szCs w:val="20"/>
              </w:rPr>
            </w:pPr>
            <w:r w:rsidRPr="001D7CFE">
              <w:rPr>
                <w:rFonts w:cs="Arial"/>
                <w:bCs/>
                <w:iCs/>
                <w:sz w:val="20"/>
                <w:szCs w:val="20"/>
              </w:rPr>
              <w:t>Strongly supported research, industry and regulators coming together and discussing research outcomes and industry initiatives with follow-up discussions amongst regulators to determine what could be implemented nationally and consistently</w:t>
            </w:r>
            <w:r>
              <w:rPr>
                <w:rFonts w:cs="Arial"/>
                <w:bCs/>
                <w:iCs/>
                <w:sz w:val="20"/>
                <w:szCs w:val="20"/>
              </w:rPr>
              <w:t>.</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eastAsia="Calibri" w:hAnsi="Arial" w:cs="Arial"/>
                <w:color w:val="000000"/>
                <w:sz w:val="20"/>
                <w:szCs w:val="20"/>
                <w:u w:color="000000"/>
              </w:rPr>
              <w:t xml:space="preserve">National Poultry </w:t>
            </w:r>
            <w:r>
              <w:rPr>
                <w:rFonts w:ascii="Arial" w:eastAsia="Calibri" w:hAnsi="Arial" w:cs="Arial"/>
                <w:color w:val="000000"/>
                <w:sz w:val="20"/>
                <w:szCs w:val="20"/>
                <w:u w:color="000000"/>
              </w:rPr>
              <w:t>M</w:t>
            </w:r>
            <w:r w:rsidRPr="00B17EDB">
              <w:rPr>
                <w:rFonts w:ascii="Arial" w:eastAsia="Calibri" w:hAnsi="Arial" w:cs="Arial"/>
                <w:color w:val="000000"/>
                <w:sz w:val="20"/>
                <w:szCs w:val="20"/>
                <w:u w:color="000000"/>
              </w:rPr>
              <w:t xml:space="preserve">eat </w:t>
            </w:r>
            <w:r>
              <w:rPr>
                <w:rFonts w:ascii="Arial" w:eastAsia="Calibri" w:hAnsi="Arial" w:cs="Arial"/>
                <w:color w:val="000000"/>
                <w:sz w:val="20"/>
                <w:szCs w:val="20"/>
                <w:u w:color="000000"/>
              </w:rPr>
              <w:t>I</w:t>
            </w:r>
            <w:r w:rsidRPr="00B17EDB">
              <w:rPr>
                <w:rFonts w:ascii="Arial" w:eastAsia="Calibri" w:hAnsi="Arial" w:cs="Arial"/>
                <w:color w:val="000000"/>
                <w:sz w:val="20"/>
                <w:szCs w:val="20"/>
                <w:u w:color="000000"/>
              </w:rPr>
              <w:t xml:space="preserve">ndustry </w:t>
            </w:r>
            <w:r>
              <w:rPr>
                <w:rFonts w:ascii="Arial" w:eastAsia="Calibri" w:hAnsi="Arial" w:cs="Arial"/>
                <w:color w:val="000000"/>
                <w:sz w:val="20"/>
                <w:szCs w:val="20"/>
                <w:u w:color="000000"/>
              </w:rPr>
              <w:t>C</w:t>
            </w:r>
            <w:r w:rsidRPr="00B17EDB">
              <w:rPr>
                <w:rFonts w:ascii="Arial" w:eastAsia="Calibri" w:hAnsi="Arial" w:cs="Arial"/>
                <w:color w:val="000000"/>
                <w:sz w:val="20"/>
                <w:szCs w:val="20"/>
                <w:u w:color="000000"/>
              </w:rPr>
              <w:t>onsultation</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2062D6">
              <w:rPr>
                <w:rFonts w:cs="Arial"/>
                <w:bCs/>
                <w:iCs/>
                <w:sz w:val="20"/>
                <w:szCs w:val="20"/>
              </w:rPr>
              <w:t xml:space="preserve">The retail food service sector is a key focus - no entry level of skills and knowledge required. </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Role of local government is not clearly recognized in the strategy.</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Strategy should address better ways of getting information to the food sector (not just reliant on the EHO).</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Regulatory control of raw eggs has delivered success in NSW.</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Better education tools are required.</w:t>
            </w:r>
          </w:p>
          <w:p w:rsidR="00F604C2" w:rsidRPr="001D7CFE"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sz w:val="20"/>
                <w:szCs w:val="20"/>
              </w:rPr>
            </w:pPr>
            <w:r w:rsidRPr="00FD76E8">
              <w:rPr>
                <w:rFonts w:cs="Arial"/>
                <w:bCs/>
                <w:iCs/>
                <w:sz w:val="20"/>
                <w:szCs w:val="20"/>
              </w:rPr>
              <w:t>Would welcome an outcome rather than output focus reporting.</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hAnsi="Arial" w:cs="Arial"/>
                <w:sz w:val="20"/>
                <w:szCs w:val="20"/>
              </w:rPr>
              <w:t>NSW State Liaison Group – Local Government (EHOs)</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spacing w:before="40"/>
              <w:ind w:left="555" w:hanging="425"/>
              <w:rPr>
                <w:rFonts w:cs="Arial"/>
                <w:bCs/>
                <w:iCs/>
                <w:sz w:val="20"/>
                <w:szCs w:val="20"/>
              </w:rPr>
            </w:pPr>
            <w:r w:rsidRPr="00496BCF">
              <w:rPr>
                <w:rFonts w:cs="Arial"/>
                <w:bCs/>
                <w:iCs/>
                <w:sz w:val="20"/>
                <w:szCs w:val="20"/>
              </w:rPr>
              <w:t>Agreed with the development of the strategy and recognition of their efforts in promoting the importance of the regulatory system focusing on reducing foodborne illness</w:t>
            </w:r>
            <w:r>
              <w:rPr>
                <w:rFonts w:cs="Arial"/>
                <w:bCs/>
                <w:iCs/>
                <w:sz w:val="20"/>
                <w:szCs w:val="20"/>
              </w:rPr>
              <w:t>.</w:t>
            </w:r>
          </w:p>
          <w:p w:rsidR="00F604C2" w:rsidRPr="00FD76E8" w:rsidRDefault="00F604C2" w:rsidP="00F604C2">
            <w:pPr>
              <w:pStyle w:val="Body"/>
              <w:numPr>
                <w:ilvl w:val="0"/>
                <w:numId w:val="1"/>
              </w:numPr>
              <w:spacing w:before="40"/>
              <w:ind w:left="555" w:hanging="425"/>
              <w:rPr>
                <w:rFonts w:cs="Arial"/>
                <w:bCs/>
                <w:iCs/>
                <w:sz w:val="20"/>
                <w:szCs w:val="20"/>
              </w:rPr>
            </w:pPr>
            <w:r w:rsidRPr="00FD76E8">
              <w:rPr>
                <w:rFonts w:cs="Arial"/>
                <w:bCs/>
                <w:iCs/>
                <w:sz w:val="20"/>
                <w:szCs w:val="20"/>
              </w:rPr>
              <w:t>Noting the One Health strategy, interventions need to be assessed for unintended consequences, e.g. if vaccine of flocks is adopted across the board, would that impact on human resistance.</w:t>
            </w:r>
          </w:p>
          <w:p w:rsidR="00F604C2" w:rsidRPr="00FD76E8" w:rsidRDefault="00F604C2" w:rsidP="00F604C2">
            <w:pPr>
              <w:pStyle w:val="Body"/>
              <w:numPr>
                <w:ilvl w:val="0"/>
                <w:numId w:val="1"/>
              </w:numPr>
              <w:spacing w:before="40"/>
              <w:ind w:left="555" w:hanging="425"/>
              <w:rPr>
                <w:rFonts w:cs="Arial"/>
                <w:bCs/>
                <w:iCs/>
                <w:sz w:val="20"/>
                <w:szCs w:val="20"/>
              </w:rPr>
            </w:pPr>
            <w:r w:rsidRPr="00FD76E8">
              <w:rPr>
                <w:rFonts w:cs="Arial"/>
                <w:bCs/>
                <w:iCs/>
                <w:sz w:val="20"/>
                <w:szCs w:val="20"/>
              </w:rPr>
              <w:t>Supported the aim of integrating food safety and human illness data however stressed that genomic data needs to be included.</w:t>
            </w:r>
          </w:p>
          <w:p w:rsidR="00F604C2" w:rsidRPr="00FD76E8" w:rsidRDefault="00F604C2" w:rsidP="00F604C2">
            <w:pPr>
              <w:pStyle w:val="Body"/>
              <w:numPr>
                <w:ilvl w:val="0"/>
                <w:numId w:val="1"/>
              </w:numPr>
              <w:spacing w:before="40"/>
              <w:ind w:left="555" w:hanging="425"/>
              <w:rPr>
                <w:rFonts w:cs="Arial"/>
                <w:bCs/>
                <w:iCs/>
                <w:sz w:val="20"/>
                <w:szCs w:val="20"/>
              </w:rPr>
            </w:pPr>
            <w:r w:rsidRPr="00FD76E8">
              <w:rPr>
                <w:rFonts w:cs="Arial"/>
                <w:bCs/>
                <w:iCs/>
                <w:sz w:val="20"/>
                <w:szCs w:val="20"/>
              </w:rPr>
              <w:t>Development of investigation guidelines throughout the supply chain for regulators.</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keepNext/>
              <w:keepLines/>
              <w:spacing w:before="0"/>
              <w:ind w:left="0"/>
              <w:rPr>
                <w:rFonts w:ascii="Arial" w:hAnsi="Arial" w:cs="Arial"/>
                <w:sz w:val="20"/>
                <w:szCs w:val="20"/>
              </w:rPr>
            </w:pPr>
            <w:r w:rsidRPr="00B17EDB">
              <w:rPr>
                <w:rFonts w:ascii="Arial" w:hAnsi="Arial" w:cs="Arial"/>
                <w:sz w:val="20"/>
                <w:szCs w:val="20"/>
              </w:rPr>
              <w:t>CDNA</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Viruses and </w:t>
            </w:r>
            <w:proofErr w:type="spellStart"/>
            <w:r w:rsidRPr="00FD76E8">
              <w:rPr>
                <w:rFonts w:cs="Arial"/>
                <w:bCs/>
                <w:iCs/>
                <w:sz w:val="20"/>
                <w:szCs w:val="20"/>
              </w:rPr>
              <w:t>biotoxins</w:t>
            </w:r>
            <w:proofErr w:type="spellEnd"/>
            <w:r w:rsidRPr="00FD76E8">
              <w:rPr>
                <w:rFonts w:cs="Arial"/>
                <w:bCs/>
                <w:iCs/>
                <w:sz w:val="20"/>
                <w:szCs w:val="20"/>
              </w:rPr>
              <w:t xml:space="preserve"> are the key concerns.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Approach of national, local and evidence-based intervention is appropriate.</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hAnsi="Arial" w:cs="Arial"/>
                <w:sz w:val="20"/>
                <w:szCs w:val="20"/>
              </w:rPr>
              <w:t>NSW Shellfish Committee</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lastRenderedPageBreak/>
              <w:t>Workforce issues were the major concern, mainly the changes to the TAFE chef courses causing the chefs’ skill sets to become eroded.</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Lack of confidence in some industries/commodities - leafy greens, berries sliced and packaged deli meats.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Food handler training now online - not adequate compared to classroom training.</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FSANZ should centralise information, such as the NSW translated information, Victoria’s food handler training </w:t>
            </w:r>
            <w:proofErr w:type="spellStart"/>
            <w:r w:rsidRPr="00FD76E8">
              <w:rPr>
                <w:rFonts w:cs="Arial"/>
                <w:bCs/>
                <w:iCs/>
                <w:sz w:val="20"/>
                <w:szCs w:val="20"/>
              </w:rPr>
              <w:t>DoFoodSafely</w:t>
            </w:r>
            <w:proofErr w:type="spellEnd"/>
            <w:r w:rsidRPr="00FD76E8">
              <w:rPr>
                <w:rFonts w:cs="Arial"/>
                <w:bCs/>
                <w:iCs/>
                <w:sz w:val="20"/>
                <w:szCs w:val="20"/>
              </w:rPr>
              <w:t>, and/or the NT disaster management.</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Provide food safety culture support like the NZ MPI, good short videos on key processes such as cooling followed by a very short quiz.</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Consistency with interpretation and application of the regulations. </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Consistency in food safety/process validation across all states.</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hAnsi="Arial" w:cs="Arial"/>
                <w:sz w:val="20"/>
                <w:szCs w:val="20"/>
              </w:rPr>
              <w:t xml:space="preserve">Food service industry – </w:t>
            </w:r>
            <w:r w:rsidRPr="00B17EDB">
              <w:rPr>
                <w:rFonts w:ascii="Arial" w:eastAsia="Calibri" w:hAnsi="Arial" w:cs="Arial"/>
                <w:noProof/>
                <w:sz w:val="20"/>
                <w:szCs w:val="20"/>
                <w:lang w:val="en-AU" w:eastAsia="en-AU"/>
              </w:rPr>
              <w:t>Spotless catering</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Skills and knowledge in small business (e.g. roadside stalls) an emerging risk.</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Increasing consumer preference for free range production systems heightening food safety/biosecurity risks in the supply chain.</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Value in a national egg farm and supply chain investigation protocol.</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Standard 4.2.5 – application of cracked and dirty eggs in retail needs some national consistency.</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Noted the importance of EHO training. </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Australian Eggs happy to support a national EHO training program to allow for risk-based approach to handling, storage and processing of eggs in retail/food service sector.</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keepNext/>
              <w:keepLines/>
              <w:spacing w:before="0"/>
              <w:ind w:left="0"/>
              <w:rPr>
                <w:rFonts w:ascii="Arial" w:hAnsi="Arial" w:cs="Arial"/>
                <w:sz w:val="20"/>
                <w:szCs w:val="20"/>
              </w:rPr>
            </w:pPr>
            <w:r w:rsidRPr="00B17EDB">
              <w:rPr>
                <w:rFonts w:ascii="Arial" w:hAnsi="Arial" w:cs="Arial"/>
                <w:sz w:val="20"/>
                <w:szCs w:val="20"/>
              </w:rPr>
              <w:t>NSW Egg Industry Consultative Committee (EICC)</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Consistency in food safety standards.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proofErr w:type="gramStart"/>
            <w:r w:rsidRPr="00FD76E8">
              <w:rPr>
                <w:rFonts w:cs="Arial"/>
                <w:bCs/>
                <w:iCs/>
                <w:sz w:val="20"/>
                <w:szCs w:val="20"/>
              </w:rPr>
              <w:t>Access to knowledge – too dispersed, need</w:t>
            </w:r>
            <w:proofErr w:type="gramEnd"/>
            <w:r w:rsidRPr="00FD76E8">
              <w:rPr>
                <w:rFonts w:cs="Arial"/>
                <w:bCs/>
                <w:iCs/>
                <w:sz w:val="20"/>
                <w:szCs w:val="20"/>
              </w:rPr>
              <w:t xml:space="preserve"> national location.</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There is a shortage of food safety skills and expertise in producers, particularly small producers.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Food safety culture is not embedded in all businesses.</w:t>
            </w:r>
          </w:p>
          <w:p w:rsidR="00F604C2" w:rsidRPr="00B17EDB"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sz w:val="20"/>
                <w:szCs w:val="20"/>
              </w:rPr>
            </w:pPr>
            <w:r w:rsidRPr="00FD76E8">
              <w:rPr>
                <w:rFonts w:cs="Arial"/>
                <w:bCs/>
                <w:iCs/>
                <w:sz w:val="20"/>
                <w:szCs w:val="20"/>
              </w:rPr>
              <w:t>Targets for the strategy, and what they are, should be included in the strategy.</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keepNext/>
              <w:keepLines/>
              <w:spacing w:before="0"/>
              <w:ind w:left="0" w:right="562"/>
              <w:rPr>
                <w:rFonts w:ascii="Arial" w:hAnsi="Arial" w:cs="Arial"/>
                <w:sz w:val="20"/>
                <w:szCs w:val="20"/>
              </w:rPr>
            </w:pPr>
            <w:r w:rsidRPr="00B17EDB">
              <w:rPr>
                <w:rFonts w:ascii="Arial" w:hAnsi="Arial" w:cs="Arial"/>
                <w:sz w:val="20"/>
                <w:szCs w:val="20"/>
              </w:rPr>
              <w:t xml:space="preserve">Victoria </w:t>
            </w:r>
            <w:r>
              <w:rPr>
                <w:rFonts w:ascii="Arial" w:hAnsi="Arial" w:cs="Arial"/>
                <w:sz w:val="20"/>
                <w:szCs w:val="20"/>
              </w:rPr>
              <w:t>H</w:t>
            </w:r>
            <w:r w:rsidRPr="00B17EDB">
              <w:rPr>
                <w:rFonts w:ascii="Arial" w:hAnsi="Arial" w:cs="Arial"/>
                <w:sz w:val="20"/>
                <w:szCs w:val="20"/>
              </w:rPr>
              <w:t xml:space="preserve">orticulture </w:t>
            </w:r>
            <w:r>
              <w:rPr>
                <w:rFonts w:ascii="Arial" w:hAnsi="Arial" w:cs="Arial"/>
                <w:sz w:val="20"/>
                <w:szCs w:val="20"/>
              </w:rPr>
              <w:t>I</w:t>
            </w:r>
            <w:r w:rsidRPr="00B17EDB">
              <w:rPr>
                <w:rFonts w:ascii="Arial" w:hAnsi="Arial" w:cs="Arial"/>
                <w:sz w:val="20"/>
                <w:szCs w:val="20"/>
              </w:rPr>
              <w:t>ndustry</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Focus on consumer education around food safety.</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Strategy should include clarity around who is responsible for outbreaks, where the business needs to go for an outbreak.</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hAnsi="Arial" w:cs="Arial"/>
                <w:sz w:val="20"/>
                <w:szCs w:val="20"/>
              </w:rPr>
              <w:t>Victoria Nut processor - Select Harvest</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Lack of expertise within regulation in the very high risk areas such as chilled ready to eat food, is putting too much expectation on EHOs who are not the experts.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Lack of consumer knowledge regarding food safety.</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Allergens should be included in the strategy.</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Consumer education - opportunity to get the focus on consumers and safe food preparation in the home. Focus on high risk foods and how to manage these.</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B17EDB">
              <w:rPr>
                <w:rFonts w:ascii="Arial" w:hAnsi="Arial" w:cs="Arial"/>
                <w:sz w:val="20"/>
                <w:szCs w:val="20"/>
              </w:rPr>
              <w:t>Retail sector – Coles (Victoria)</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lastRenderedPageBreak/>
              <w:t xml:space="preserve">Generally supportive of the strategy and aspects. </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Specific mention was made of food safety in the home and its contribution to foodborne illness rates.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Was not clear how jurisdictions currently share mitigation approaches or the barriers for jurisdictions to uptake apparently successful measures.</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496BCF" w:rsidRDefault="00F604C2" w:rsidP="00C56EC8">
            <w:pPr>
              <w:spacing w:before="0"/>
              <w:ind w:left="0" w:right="562"/>
              <w:rPr>
                <w:rFonts w:ascii="Arial" w:hAnsi="Arial" w:cs="Arial"/>
                <w:sz w:val="20"/>
                <w:szCs w:val="20"/>
              </w:rPr>
            </w:pPr>
            <w:r w:rsidRPr="00496BCF">
              <w:rPr>
                <w:rFonts w:ascii="Arial" w:hAnsi="Arial" w:cs="Arial"/>
                <w:sz w:val="20"/>
                <w:szCs w:val="20"/>
              </w:rPr>
              <w:t>OzFoodNet</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There should be a focus on the smaller growers and retailers and on farm food safety education.</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Consumer education on washing produce at home.</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Support for retailers/supply chain to implement supplier assurance programs, as pressure from customers, rather than regulators, is more likely to motivate the growers around food safety.</w:t>
            </w:r>
          </w:p>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Food safety skills and knowledge survey of entry level food handlers at the growers and processors.</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496BCF" w:rsidRDefault="00F604C2" w:rsidP="00C56EC8">
            <w:pPr>
              <w:keepNext/>
              <w:keepLines/>
              <w:spacing w:before="0"/>
              <w:ind w:left="0"/>
              <w:rPr>
                <w:rFonts w:ascii="Arial" w:hAnsi="Arial" w:cs="Arial"/>
                <w:sz w:val="20"/>
                <w:szCs w:val="20"/>
              </w:rPr>
            </w:pPr>
            <w:r w:rsidRPr="00496BCF">
              <w:rPr>
                <w:rFonts w:ascii="Arial" w:eastAsia="Calibri" w:hAnsi="Arial" w:cs="Arial"/>
                <w:color w:val="000000"/>
                <w:sz w:val="20"/>
                <w:szCs w:val="20"/>
                <w:u w:color="000000"/>
              </w:rPr>
              <w:t>Victorian</w:t>
            </w:r>
            <w:r w:rsidRPr="00496BCF">
              <w:rPr>
                <w:rFonts w:ascii="Arial" w:hAnsi="Arial" w:cs="Arial"/>
                <w:sz w:val="20"/>
                <w:szCs w:val="20"/>
              </w:rPr>
              <w:t xml:space="preserve"> Vegetable processing - Harvest Moon</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keepNext/>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98% of food businesses are small to medium enterprises (SMEs) with large knowledge and skills gaps particularly with respect to food science and technology skills.</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496BCF" w:rsidRDefault="00F604C2" w:rsidP="00C56EC8">
            <w:pPr>
              <w:keepNext/>
              <w:keepLines/>
              <w:spacing w:before="0"/>
              <w:ind w:left="0"/>
              <w:rPr>
                <w:rFonts w:ascii="Arial" w:hAnsi="Arial" w:cs="Arial"/>
                <w:sz w:val="20"/>
                <w:szCs w:val="20"/>
              </w:rPr>
            </w:pPr>
            <w:r w:rsidRPr="00496BCF">
              <w:rPr>
                <w:rFonts w:ascii="Arial" w:hAnsi="Arial" w:cs="Arial"/>
                <w:sz w:val="20"/>
                <w:szCs w:val="20"/>
              </w:rPr>
              <w:t xml:space="preserve">NSW Food and Agribusiness Research </w:t>
            </w:r>
            <w:proofErr w:type="spellStart"/>
            <w:r w:rsidRPr="00496BCF">
              <w:rPr>
                <w:rFonts w:ascii="Arial" w:hAnsi="Arial" w:cs="Arial"/>
                <w:sz w:val="20"/>
                <w:szCs w:val="20"/>
              </w:rPr>
              <w:t>Organisations</w:t>
            </w:r>
            <w:proofErr w:type="spellEnd"/>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Professional development of EHOs particularly in FBI investigations, develop system to ensure consistency in application of legislation. </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Provide better support for EHOs.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Better communication/engagement between Commonwealth, State and Local governments.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Communication education campaign to increase public awareness of FBI to reduce contamination at home.</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 xml:space="preserve">Strategies to manage the industry qualification standards, possibly mandatory food handlers training (skills and knowledge qualifications). </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Coordinated risk-based monitoring (food sampling).</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Documented systems (e.g. FSP) in the food industry.</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Reviews of legislation from primary industry through to food outlets/services (accountability at all levels).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Strategy should include education (risk training) programs for Local Government Associations (LGAs), food businesses and consumers.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Review existing guidelines, and develop new egg guidelines for handling and storage.</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Consistent reporting of FBIs/notifiable diseases (LGAs, GPs/hospitals, labs and public).</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496BCF" w:rsidRDefault="00F604C2" w:rsidP="00C56EC8">
            <w:pPr>
              <w:keepNext/>
              <w:keepLines/>
              <w:spacing w:before="0"/>
              <w:ind w:left="0" w:right="562"/>
              <w:rPr>
                <w:rFonts w:ascii="Arial" w:hAnsi="Arial" w:cs="Arial"/>
                <w:sz w:val="20"/>
                <w:szCs w:val="20"/>
              </w:rPr>
            </w:pPr>
            <w:r w:rsidRPr="00496BCF">
              <w:rPr>
                <w:rFonts w:ascii="Arial" w:hAnsi="Arial" w:cs="Arial"/>
                <w:sz w:val="20"/>
                <w:szCs w:val="20"/>
              </w:rPr>
              <w:t>Local Government (Western Australia)</w:t>
            </w:r>
          </w:p>
        </w:tc>
      </w:tr>
      <w:tr w:rsidR="00F604C2" w:rsidRPr="00B17EDB" w:rsidTr="00C56EC8">
        <w:trPr>
          <w:trHeight w:val="233"/>
        </w:trPr>
        <w:tc>
          <w:tcPr>
            <w:tcW w:w="12264"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Strategy should include QA systems to be applied across the industry and consideration of new/emerging technologies.</w:t>
            </w:r>
          </w:p>
          <w:p w:rsidR="00F604C2" w:rsidRPr="00FD76E8" w:rsidRDefault="00F604C2" w:rsidP="00F604C2">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555" w:hanging="425"/>
              <w:rPr>
                <w:rFonts w:cs="Arial"/>
                <w:bCs/>
                <w:iCs/>
                <w:sz w:val="20"/>
                <w:szCs w:val="20"/>
              </w:rPr>
            </w:pPr>
            <w:r w:rsidRPr="00FD76E8">
              <w:rPr>
                <w:rFonts w:cs="Arial"/>
                <w:bCs/>
                <w:iCs/>
                <w:sz w:val="20"/>
                <w:szCs w:val="20"/>
              </w:rPr>
              <w:t>Challenges where regulators don’t consider new technologies and would prefer to enforce “traditional methods” as the best way to demonstrate compliance.</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F604C2" w:rsidRPr="00B17EDB" w:rsidRDefault="00F604C2" w:rsidP="00C56EC8">
            <w:pPr>
              <w:spacing w:before="0"/>
              <w:ind w:left="0"/>
              <w:rPr>
                <w:rFonts w:ascii="Arial" w:hAnsi="Arial" w:cs="Arial"/>
                <w:sz w:val="20"/>
                <w:szCs w:val="20"/>
              </w:rPr>
            </w:pPr>
            <w:r w:rsidRPr="00496BCF">
              <w:rPr>
                <w:rFonts w:ascii="Arial" w:hAnsi="Arial" w:cs="Arial"/>
                <w:sz w:val="20"/>
                <w:szCs w:val="20"/>
              </w:rPr>
              <w:t xml:space="preserve">Egg, Poultry, Horticultural, </w:t>
            </w:r>
            <w:r>
              <w:rPr>
                <w:rFonts w:ascii="Arial" w:hAnsi="Arial" w:cs="Arial"/>
                <w:sz w:val="20"/>
                <w:szCs w:val="20"/>
              </w:rPr>
              <w:t>I</w:t>
            </w:r>
            <w:r w:rsidRPr="00496BCF">
              <w:rPr>
                <w:rFonts w:ascii="Arial" w:hAnsi="Arial" w:cs="Arial"/>
                <w:sz w:val="20"/>
                <w:szCs w:val="20"/>
              </w:rPr>
              <w:t>ndustry consultants and QA officers (WA)</w:t>
            </w:r>
          </w:p>
        </w:tc>
      </w:tr>
    </w:tbl>
    <w:p w:rsidR="00E421D6" w:rsidRPr="00DB4DAF" w:rsidRDefault="00E421D6" w:rsidP="00955491">
      <w:pPr>
        <w:ind w:left="0"/>
        <w:rPr>
          <w:sz w:val="4"/>
          <w:szCs w:val="4"/>
        </w:rPr>
      </w:pPr>
      <w:bookmarkStart w:id="0" w:name="_GoBack"/>
      <w:bookmarkEnd w:id="0"/>
    </w:p>
    <w:sectPr w:rsidR="00E421D6" w:rsidRPr="00DB4DAF" w:rsidSect="002062D6">
      <w:pgSz w:w="16840" w:h="11920" w:orient="landscape"/>
      <w:pgMar w:top="1040" w:right="920" w:bottom="760" w:left="920" w:header="567" w:footer="5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91" w:rsidRDefault="00955491" w:rsidP="00955491">
      <w:pPr>
        <w:spacing w:before="0"/>
      </w:pPr>
      <w:r>
        <w:separator/>
      </w:r>
    </w:p>
  </w:endnote>
  <w:endnote w:type="continuationSeparator" w:id="0">
    <w:p w:rsidR="00955491" w:rsidRDefault="00955491" w:rsidP="009554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EA" w:rsidRDefault="00955491" w:rsidP="00563665">
    <w:pPr>
      <w:pStyle w:val="Footer"/>
      <w:tabs>
        <w:tab w:val="clear" w:pos="9026"/>
        <w:tab w:val="right" w:pos="9000"/>
      </w:tabs>
      <w:jc w:val="right"/>
      <w:rPr>
        <w:sz w:val="20"/>
        <w:szCs w:val="20"/>
      </w:rPr>
    </w:pPr>
    <w:r w:rsidRPr="009F2272">
      <w:rPr>
        <w:sz w:val="20"/>
        <w:szCs w:val="20"/>
      </w:rPr>
      <w:fldChar w:fldCharType="begin"/>
    </w:r>
    <w:r w:rsidRPr="009F2272">
      <w:rPr>
        <w:sz w:val="20"/>
        <w:szCs w:val="20"/>
      </w:rPr>
      <w:instrText xml:space="preserve"> PAGE </w:instrText>
    </w:r>
    <w:r w:rsidRPr="009F2272">
      <w:rPr>
        <w:sz w:val="20"/>
        <w:szCs w:val="20"/>
      </w:rPr>
      <w:fldChar w:fldCharType="separate"/>
    </w:r>
    <w:r w:rsidR="00DB4DAF">
      <w:rPr>
        <w:noProof/>
        <w:sz w:val="20"/>
        <w:szCs w:val="20"/>
      </w:rPr>
      <w:t>11</w:t>
    </w:r>
    <w:r w:rsidRPr="009F2272">
      <w:rPr>
        <w:sz w:val="20"/>
        <w:szCs w:val="20"/>
      </w:rPr>
      <w:fldChar w:fldCharType="end"/>
    </w:r>
  </w:p>
  <w:p w:rsidR="00AC3A6D" w:rsidRPr="00563665" w:rsidRDefault="00DB4DAF" w:rsidP="00563665">
    <w:pPr>
      <w:pStyle w:val="Footer"/>
      <w:tabs>
        <w:tab w:val="clear" w:pos="9026"/>
        <w:tab w:val="right" w:pos="9000"/>
      </w:tabs>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6C" w:rsidRDefault="00DB4DAF" w:rsidP="005E5DFB">
    <w:pPr>
      <w:pStyle w:val="Footer"/>
    </w:pPr>
  </w:p>
  <w:p w:rsidR="005E5DFB" w:rsidRDefault="00DB4DAF" w:rsidP="005E5DFB">
    <w:pPr>
      <w:pStyle w:val="Footer"/>
    </w:pPr>
  </w:p>
  <w:p w:rsidR="005E5DFB" w:rsidRPr="005E5DFB" w:rsidRDefault="00DB4DAF" w:rsidP="005E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91" w:rsidRDefault="00955491" w:rsidP="00955491">
      <w:pPr>
        <w:spacing w:before="0"/>
      </w:pPr>
      <w:r>
        <w:separator/>
      </w:r>
    </w:p>
  </w:footnote>
  <w:footnote w:type="continuationSeparator" w:id="0">
    <w:p w:rsidR="00955491" w:rsidRDefault="00955491" w:rsidP="009554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EA" w:rsidRPr="002062D6" w:rsidRDefault="00DB4DAF" w:rsidP="002C1F25">
    <w:pPr>
      <w:pStyle w:val="Header"/>
      <w:jc w:val="center"/>
      <w:rPr>
        <w:color w:val="FF0000"/>
        <w:spacing w:val="-20"/>
      </w:rPr>
    </w:pPr>
  </w:p>
  <w:p w:rsidR="005E5DFB" w:rsidRPr="0045440E" w:rsidRDefault="00DB4DAF" w:rsidP="002062D6">
    <w:pPr>
      <w:pStyle w:val="Header"/>
      <w:spacing w:before="0"/>
      <w:ind w:left="0" w:right="590"/>
      <w:jc w:val="center"/>
      <w:rPr>
        <w:spacing w:val="-2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6C" w:rsidRDefault="00DB4DAF" w:rsidP="0030186C">
    <w:pPr>
      <w:pStyle w:val="Header"/>
      <w:spacing w:before="0"/>
      <w:jc w:val="center"/>
      <w:rPr>
        <w:color w:val="FF0000"/>
        <w:spacing w:val="-20"/>
      </w:rPr>
    </w:pPr>
  </w:p>
  <w:p w:rsidR="005E5DFB" w:rsidRDefault="00DB4DAF" w:rsidP="0030186C">
    <w:pPr>
      <w:pStyle w:val="Header"/>
      <w:spacing w:before="0"/>
      <w:jc w:val="center"/>
      <w:rPr>
        <w:color w:val="FF0000"/>
        <w:spacing w:val="-20"/>
      </w:rPr>
    </w:pPr>
  </w:p>
  <w:p w:rsidR="005E5DFB" w:rsidRPr="002062D6" w:rsidRDefault="00DB4DAF" w:rsidP="0030186C">
    <w:pPr>
      <w:pStyle w:val="Header"/>
      <w:spacing w:before="0"/>
      <w:jc w:val="center"/>
      <w:rPr>
        <w:color w:val="FF0000"/>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D8F"/>
    <w:multiLevelType w:val="hybridMultilevel"/>
    <w:tmpl w:val="546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E3739"/>
    <w:multiLevelType w:val="hybridMultilevel"/>
    <w:tmpl w:val="283E2484"/>
    <w:lvl w:ilvl="0" w:tplc="6382F34A">
      <w:numFmt w:val="bullet"/>
      <w:lvlText w:val="-"/>
      <w:lvlJc w:val="left"/>
      <w:pPr>
        <w:tabs>
          <w:tab w:val="left" w:pos="1710"/>
          <w:tab w:val="left" w:pos="2880"/>
          <w:tab w:val="left" w:pos="4320"/>
          <w:tab w:val="left" w:pos="5760"/>
          <w:tab w:val="left" w:pos="7200"/>
          <w:tab w:val="left" w:pos="8640"/>
          <w:tab w:val="left" w:pos="10080"/>
          <w:tab w:val="left" w:pos="11520"/>
        </w:tabs>
        <w:ind w:left="609" w:hanging="609"/>
      </w:pPr>
      <w:rPr>
        <w:rFonts w:ascii="Calibri" w:eastAsia="Times New Roman" w:hAnsi="Calibri" w:cs="Times New Roman" w:hint="default"/>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8F994">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42004">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807B2">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45796">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6135A">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1C4B66">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104">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4CF46C">
      <w:start w:val="1"/>
      <w:numFmt w:val="bullet"/>
      <w:suff w:val="nothing"/>
      <w:lvlText w:val="•"/>
      <w:lvlJc w:val="left"/>
      <w:pPr>
        <w:tabs>
          <w:tab w:val="left" w:pos="171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750C31"/>
    <w:multiLevelType w:val="hybridMultilevel"/>
    <w:tmpl w:val="F9943144"/>
    <w:lvl w:ilvl="0" w:tplc="8C7E657E">
      <w:start w:val="1"/>
      <w:numFmt w:val="bullet"/>
      <w:lvlText w:val="•"/>
      <w:lvlJc w:val="left"/>
      <w:pPr>
        <w:tabs>
          <w:tab w:val="left" w:pos="1440"/>
          <w:tab w:val="left" w:pos="2880"/>
          <w:tab w:val="left" w:pos="4320"/>
          <w:tab w:val="left" w:pos="5760"/>
          <w:tab w:val="left" w:pos="7200"/>
          <w:tab w:val="left" w:pos="8640"/>
          <w:tab w:val="left" w:pos="10080"/>
          <w:tab w:val="left" w:pos="11520"/>
        </w:tabs>
        <w:ind w:left="609" w:hanging="609"/>
      </w:pPr>
      <w:rPr>
        <w:rFonts w:hAnsi="Arial Unicode M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8F994">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42004">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807B2">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45796">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6135A">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1C4B66">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104">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4CF46C">
      <w:start w:val="1"/>
      <w:numFmt w:val="bullet"/>
      <w:suff w:val="nothing"/>
      <w:lvlText w:val="•"/>
      <w:lvlJc w:val="left"/>
      <w:pPr>
        <w:tabs>
          <w:tab w:val="left" w:pos="1440"/>
          <w:tab w:val="left" w:pos="2880"/>
          <w:tab w:val="left" w:pos="4320"/>
          <w:tab w:val="left" w:pos="5760"/>
          <w:tab w:val="left" w:pos="7200"/>
          <w:tab w:val="left" w:pos="8640"/>
          <w:tab w:val="left" w:pos="10080"/>
          <w:tab w:val="left" w:pos="115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C2"/>
    <w:rsid w:val="00955491"/>
    <w:rsid w:val="00DB4DAF"/>
    <w:rsid w:val="00E421D6"/>
    <w:rsid w:val="00F60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C2"/>
    <w:pPr>
      <w:widowControl w:val="0"/>
      <w:spacing w:before="120" w:after="0" w:line="240" w:lineRule="auto"/>
      <w:ind w:left="215" w:right="56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4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4C2"/>
    <w:pPr>
      <w:tabs>
        <w:tab w:val="center" w:pos="4513"/>
        <w:tab w:val="right" w:pos="9026"/>
      </w:tabs>
    </w:pPr>
  </w:style>
  <w:style w:type="character" w:customStyle="1" w:styleId="HeaderChar">
    <w:name w:val="Header Char"/>
    <w:basedOn w:val="DefaultParagraphFont"/>
    <w:link w:val="Header"/>
    <w:uiPriority w:val="99"/>
    <w:rsid w:val="00F604C2"/>
    <w:rPr>
      <w:rFonts w:ascii="Times New Roman" w:eastAsia="Times New Roman" w:hAnsi="Times New Roman" w:cs="Times New Roman"/>
      <w:sz w:val="24"/>
      <w:szCs w:val="24"/>
      <w:lang w:val="en-US"/>
    </w:rPr>
  </w:style>
  <w:style w:type="paragraph" w:styleId="Footer">
    <w:name w:val="footer"/>
    <w:basedOn w:val="Normal"/>
    <w:link w:val="FooterChar"/>
    <w:unhideWhenUsed/>
    <w:rsid w:val="00F604C2"/>
    <w:pPr>
      <w:tabs>
        <w:tab w:val="center" w:pos="4513"/>
        <w:tab w:val="right" w:pos="9026"/>
      </w:tabs>
    </w:pPr>
  </w:style>
  <w:style w:type="character" w:customStyle="1" w:styleId="FooterChar">
    <w:name w:val="Footer Char"/>
    <w:basedOn w:val="DefaultParagraphFont"/>
    <w:link w:val="Footer"/>
    <w:rsid w:val="00F604C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04C2"/>
    <w:pPr>
      <w:ind w:left="720"/>
      <w:contextualSpacing/>
    </w:pPr>
  </w:style>
  <w:style w:type="paragraph" w:customStyle="1" w:styleId="Default">
    <w:name w:val="Default"/>
    <w:rsid w:val="00F604C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F604C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GB" w:eastAsia="en-GB"/>
    </w:rPr>
  </w:style>
  <w:style w:type="paragraph" w:styleId="Caption">
    <w:name w:val="caption"/>
    <w:rsid w:val="00F604C2"/>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C2"/>
    <w:pPr>
      <w:widowControl w:val="0"/>
      <w:spacing w:before="120" w:after="0" w:line="240" w:lineRule="auto"/>
      <w:ind w:left="215" w:right="56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4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4C2"/>
    <w:pPr>
      <w:tabs>
        <w:tab w:val="center" w:pos="4513"/>
        <w:tab w:val="right" w:pos="9026"/>
      </w:tabs>
    </w:pPr>
  </w:style>
  <w:style w:type="character" w:customStyle="1" w:styleId="HeaderChar">
    <w:name w:val="Header Char"/>
    <w:basedOn w:val="DefaultParagraphFont"/>
    <w:link w:val="Header"/>
    <w:uiPriority w:val="99"/>
    <w:rsid w:val="00F604C2"/>
    <w:rPr>
      <w:rFonts w:ascii="Times New Roman" w:eastAsia="Times New Roman" w:hAnsi="Times New Roman" w:cs="Times New Roman"/>
      <w:sz w:val="24"/>
      <w:szCs w:val="24"/>
      <w:lang w:val="en-US"/>
    </w:rPr>
  </w:style>
  <w:style w:type="paragraph" w:styleId="Footer">
    <w:name w:val="footer"/>
    <w:basedOn w:val="Normal"/>
    <w:link w:val="FooterChar"/>
    <w:unhideWhenUsed/>
    <w:rsid w:val="00F604C2"/>
    <w:pPr>
      <w:tabs>
        <w:tab w:val="center" w:pos="4513"/>
        <w:tab w:val="right" w:pos="9026"/>
      </w:tabs>
    </w:pPr>
  </w:style>
  <w:style w:type="character" w:customStyle="1" w:styleId="FooterChar">
    <w:name w:val="Footer Char"/>
    <w:basedOn w:val="DefaultParagraphFont"/>
    <w:link w:val="Footer"/>
    <w:rsid w:val="00F604C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04C2"/>
    <w:pPr>
      <w:ind w:left="720"/>
      <w:contextualSpacing/>
    </w:pPr>
  </w:style>
  <w:style w:type="paragraph" w:customStyle="1" w:styleId="Default">
    <w:name w:val="Default"/>
    <w:rsid w:val="00F604C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F604C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GB" w:eastAsia="en-GB"/>
    </w:rPr>
  </w:style>
  <w:style w:type="paragraph" w:styleId="Caption">
    <w:name w:val="caption"/>
    <w:rsid w:val="00F604C2"/>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F1D0A495.dotm</Template>
  <TotalTime>5</TotalTime>
  <Pages>11</Pages>
  <Words>3403</Words>
  <Characters>19401</Characters>
  <Application>Microsoft Office Word</Application>
  <DocSecurity>0</DocSecurity>
  <Lines>161</Lines>
  <Paragraphs>45</Paragraphs>
  <ScaleCrop>false</ScaleCrop>
  <Company>Dept Health And Ageing</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KAINE, Sandie</dc:creator>
  <cp:lastModifiedBy>KAINE, Sandie</cp:lastModifiedBy>
  <cp:revision>3</cp:revision>
  <dcterms:created xsi:type="dcterms:W3CDTF">2018-06-22T05:55:00Z</dcterms:created>
  <dcterms:modified xsi:type="dcterms:W3CDTF">2018-06-22T06:07:00Z</dcterms:modified>
</cp:coreProperties>
</file>