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F1FCD" w14:textId="5520D8BA" w:rsidR="004D4E1E" w:rsidRPr="00CE05C6" w:rsidRDefault="004D4E1E" w:rsidP="00CE05C6">
      <w:pPr>
        <w:pStyle w:val="Title"/>
      </w:pPr>
      <w:r w:rsidRPr="00C752E1">
        <w:t>COMMUNIQUE</w:t>
      </w:r>
    </w:p>
    <w:p w14:paraId="3B2A7A79" w14:textId="3F09CFA4" w:rsidR="005F480C" w:rsidRDefault="005F480C" w:rsidP="00CE05C6">
      <w:pPr>
        <w:pStyle w:val="Subtitle"/>
      </w:pPr>
      <w:r w:rsidRPr="00B560AD">
        <w:t xml:space="preserve">Health Star Rating Advisory Committee </w:t>
      </w:r>
      <w:r w:rsidR="003B24C0">
        <w:t xml:space="preserve">Meeting </w:t>
      </w:r>
      <w:r w:rsidRPr="00B560AD">
        <w:t>– 30 November 2021</w:t>
      </w:r>
    </w:p>
    <w:p w14:paraId="2D68F4FF" w14:textId="6D578418" w:rsidR="00507258" w:rsidRPr="00C752E1" w:rsidRDefault="00507258" w:rsidP="004311FF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C752E1">
        <w:rPr>
          <w:rFonts w:asciiTheme="minorHAnsi" w:eastAsia="Times New Roman" w:hAnsiTheme="minorHAnsi" w:cstheme="minorHAnsi"/>
          <w:color w:val="222222"/>
          <w:lang w:eastAsia="en-AU"/>
        </w:rPr>
        <w:t>The Health Star Rating</w:t>
      </w:r>
      <w:r w:rsidR="00D25CB8">
        <w:rPr>
          <w:rFonts w:asciiTheme="minorHAnsi" w:eastAsia="Times New Roman" w:hAnsiTheme="minorHAnsi" w:cstheme="minorHAnsi"/>
          <w:color w:val="222222"/>
          <w:lang w:eastAsia="en-AU"/>
        </w:rPr>
        <w:t xml:space="preserve"> (HSR)</w:t>
      </w:r>
      <w:r w:rsidRPr="00C752E1">
        <w:rPr>
          <w:rFonts w:asciiTheme="minorHAnsi" w:eastAsia="Times New Roman" w:hAnsiTheme="minorHAnsi" w:cstheme="minorHAnsi"/>
          <w:color w:val="222222"/>
          <w:lang w:eastAsia="en-AU"/>
        </w:rPr>
        <w:t xml:space="preserve"> is a front-of-pack labelling system that rates the overall nutritional profile of packaged food and assigns it a rating from ½ a star to 5 stars. It provides a quick, easy, standard way to compare similar packaged foods.</w:t>
      </w:r>
    </w:p>
    <w:p w14:paraId="25110924" w14:textId="622AE45A" w:rsidR="004311FF" w:rsidRPr="00B560AD" w:rsidRDefault="004311FF" w:rsidP="004311FF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The role of the Advisory Committee is to provide governance support to the continued implementation of the HSR system. </w:t>
      </w:r>
      <w:r w:rsidR="00507258" w:rsidRPr="00B560AD">
        <w:rPr>
          <w:rFonts w:asciiTheme="minorHAnsi" w:eastAsia="Times New Roman" w:hAnsiTheme="minorHAnsi" w:cstheme="minorHAnsi"/>
          <w:color w:val="222222"/>
          <w:lang w:eastAsia="en-AU"/>
        </w:rPr>
        <w:t>The Health Star Rating Advisory Committee (HSRAC) met on 30 November 2021 via video conference</w:t>
      </w:r>
      <w:r w:rsidR="00507258">
        <w:rPr>
          <w:rFonts w:asciiTheme="minorHAnsi" w:eastAsia="Times New Roman" w:hAnsiTheme="minorHAnsi" w:cstheme="minorHAnsi"/>
          <w:color w:val="222222"/>
          <w:lang w:eastAsia="en-AU"/>
        </w:rPr>
        <w:t>.</w:t>
      </w:r>
    </w:p>
    <w:p w14:paraId="3FD1BCB8" w14:textId="2D7F2DEF" w:rsidR="004311FF" w:rsidRPr="00B560AD" w:rsidRDefault="004311FF" w:rsidP="004311FF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>Key outcomes from the meeting include:</w:t>
      </w:r>
    </w:p>
    <w:p w14:paraId="1B89F087" w14:textId="31142837" w:rsidR="004311FF" w:rsidRPr="00B560AD" w:rsidRDefault="00507258" w:rsidP="00CE05C6">
      <w:pPr>
        <w:pStyle w:val="Heading1"/>
      </w:pPr>
      <w:r>
        <w:t xml:space="preserve">Communication and </w:t>
      </w:r>
      <w:r w:rsidR="004311FF" w:rsidRPr="00CE05C6">
        <w:t>Transparency</w:t>
      </w:r>
    </w:p>
    <w:p w14:paraId="4DA9A135" w14:textId="0C443E3C" w:rsidR="004311FF" w:rsidRPr="00B560AD" w:rsidRDefault="004311FF" w:rsidP="004311FF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Members 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>considered the need to provide transparency of HSRAC decisions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to interested stakeholders. 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Members agreed 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>to publish a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communiqu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>é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>on the HSR website following each meeting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 with information on any decisions made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>.</w:t>
      </w:r>
    </w:p>
    <w:p w14:paraId="2380EF1E" w14:textId="4EB1FAF0" w:rsidR="004311FF" w:rsidRPr="00675EC5" w:rsidRDefault="00EE1BE5" w:rsidP="00CE05C6">
      <w:pPr>
        <w:pStyle w:val="Heading1"/>
      </w:pPr>
      <w:r w:rsidRPr="00675EC5">
        <w:t>Form of the Food – further consideration</w:t>
      </w:r>
    </w:p>
    <w:p w14:paraId="660279C7" w14:textId="1E69C2B2" w:rsidR="00654D80" w:rsidRPr="00675EC5" w:rsidRDefault="00654D80" w:rsidP="00654D80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In most cases the HSR should be calculated </w:t>
      </w:r>
      <w:r w:rsidR="003B24C0"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and displayed 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based on the nutrition content of </w:t>
      </w:r>
      <w:r w:rsidR="003B24C0"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the products 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as it </w:t>
      </w:r>
      <w:r w:rsidRPr="00675EC5">
        <w:rPr>
          <w:rFonts w:asciiTheme="minorHAnsi" w:eastAsia="Times New Roman" w:hAnsiTheme="minorHAnsi" w:cstheme="minorHAnsi"/>
          <w:color w:val="222222"/>
          <w:lang w:eastAsia="en-AU"/>
        </w:rPr>
        <w:t>appears on the shelf (</w:t>
      </w:r>
      <w:proofErr w:type="gramStart"/>
      <w:r w:rsidRPr="00675EC5">
        <w:rPr>
          <w:rFonts w:asciiTheme="minorHAnsi" w:eastAsia="Times New Roman" w:hAnsiTheme="minorHAnsi" w:cstheme="minorHAnsi"/>
          <w:color w:val="222222"/>
          <w:lang w:eastAsia="en-AU"/>
        </w:rPr>
        <w:t>i.e.</w:t>
      </w:r>
      <w:proofErr w:type="gramEnd"/>
      <w:r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 as sold). Specific exemptions apply for products which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: instruct the consumer to </w:t>
      </w:r>
      <w:r w:rsidRPr="00675EC5">
        <w:rPr>
          <w:rFonts w:asciiTheme="minorHAnsi" w:eastAsia="Times New Roman" w:hAnsiTheme="minorHAnsi" w:cstheme="minorHAnsi"/>
          <w:color w:val="222222"/>
          <w:lang w:eastAsia="en-AU"/>
        </w:rPr>
        <w:t>rehydrate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 with</w:t>
      </w:r>
      <w:r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, diluted 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with </w:t>
      </w:r>
      <w:r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or mix with water, or 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to </w:t>
      </w:r>
      <w:r w:rsidRPr="00675EC5">
        <w:rPr>
          <w:rFonts w:asciiTheme="minorHAnsi" w:eastAsia="Times New Roman" w:hAnsiTheme="minorHAnsi" w:cstheme="minorHAnsi"/>
          <w:color w:val="222222"/>
          <w:lang w:eastAsia="en-AU"/>
        </w:rPr>
        <w:t>drain of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>f</w:t>
      </w:r>
      <w:r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 water or brine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 from the product prior to consumption</w:t>
      </w:r>
      <w:r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. The HSR for these products can be calculated on </w:t>
      </w:r>
      <w:r w:rsidR="003B24C0"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the </w:t>
      </w:r>
      <w:r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product ‘as prepared’. </w:t>
      </w:r>
      <w:r w:rsidR="005B1B7A" w:rsidRPr="00D25B55">
        <w:rPr>
          <w:rFonts w:asciiTheme="minorHAnsi" w:eastAsia="Times New Roman" w:hAnsiTheme="minorHAnsi" w:cstheme="minorHAnsi"/>
          <w:color w:val="222222"/>
          <w:lang w:eastAsia="en-AU"/>
        </w:rPr>
        <w:t xml:space="preserve">Updates to the form of the food exception were considered and finalised in the 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5 </w:t>
      </w:r>
      <w:r w:rsidR="005B1B7A" w:rsidRPr="00D25B55">
        <w:rPr>
          <w:rFonts w:asciiTheme="minorHAnsi" w:eastAsia="Times New Roman" w:hAnsiTheme="minorHAnsi" w:cstheme="minorHAnsi"/>
          <w:color w:val="222222"/>
          <w:lang w:eastAsia="en-AU"/>
        </w:rPr>
        <w:t>Year Review.</w:t>
      </w:r>
    </w:p>
    <w:p w14:paraId="3B23F94A" w14:textId="5DC880B4" w:rsidR="00161F5C" w:rsidRPr="00675EC5" w:rsidRDefault="009541A7" w:rsidP="00EE1BE5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On 21 October 2021, </w:t>
      </w:r>
      <w:r w:rsidR="00EE1BE5"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Members </w:t>
      </w:r>
      <w:r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agreed on additional guidance 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>to support manufacturers and retailers to implement updated rules.</w:t>
      </w:r>
      <w:r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161F5C"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The additional guidance focused on </w:t>
      </w:r>
      <w:r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products that are drained of 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>liquid</w:t>
      </w:r>
      <w:r w:rsidR="005B1B7A"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675EC5">
        <w:rPr>
          <w:rFonts w:asciiTheme="minorHAnsi" w:eastAsia="Times New Roman" w:hAnsiTheme="minorHAnsi" w:cstheme="minorHAnsi"/>
          <w:color w:val="222222"/>
          <w:lang w:eastAsia="en-AU"/>
        </w:rPr>
        <w:t>other than water or brine (e.g. oil</w:t>
      </w:r>
      <w:proofErr w:type="gramStart"/>
      <w:r w:rsidRPr="00675EC5">
        <w:rPr>
          <w:rFonts w:asciiTheme="minorHAnsi" w:eastAsia="Times New Roman" w:hAnsiTheme="minorHAnsi" w:cstheme="minorHAnsi"/>
          <w:color w:val="222222"/>
          <w:lang w:eastAsia="en-AU"/>
        </w:rPr>
        <w:t>)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; </w:t>
      </w:r>
      <w:r w:rsidR="00161F5C"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>and</w:t>
      </w:r>
      <w:proofErr w:type="gramEnd"/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161F5C" w:rsidRPr="00675EC5">
        <w:rPr>
          <w:rFonts w:asciiTheme="minorHAnsi" w:eastAsia="Times New Roman" w:hAnsiTheme="minorHAnsi" w:cstheme="minorHAnsi"/>
          <w:color w:val="222222"/>
          <w:lang w:eastAsia="en-AU"/>
        </w:rPr>
        <w:t>can be found within the HSR system Calculator and Style Guide available on the HSR website.</w:t>
      </w:r>
    </w:p>
    <w:p w14:paraId="395D2C1C" w14:textId="4AB2A231" w:rsidR="00EE1BE5" w:rsidRPr="00B560AD" w:rsidRDefault="005B1B7A" w:rsidP="00EE1BE5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>
        <w:rPr>
          <w:rFonts w:asciiTheme="minorHAnsi" w:eastAsia="Times New Roman" w:hAnsiTheme="minorHAnsi" w:cstheme="minorHAnsi"/>
          <w:color w:val="222222"/>
          <w:lang w:eastAsia="en-AU"/>
        </w:rPr>
        <w:t>At this meeting m</w:t>
      </w:r>
      <w:r w:rsidR="009541A7"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embers </w:t>
      </w:r>
      <w:r w:rsidR="00161F5C" w:rsidRPr="00675EC5">
        <w:rPr>
          <w:rFonts w:asciiTheme="minorHAnsi" w:eastAsia="Times New Roman" w:hAnsiTheme="minorHAnsi" w:cstheme="minorHAnsi"/>
          <w:color w:val="222222"/>
          <w:lang w:eastAsia="en-AU"/>
        </w:rPr>
        <w:t>considered whether</w:t>
      </w:r>
      <w:r w:rsidR="00EE1BE5"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 additional guidance </w:t>
      </w:r>
      <w:r>
        <w:rPr>
          <w:rFonts w:asciiTheme="minorHAnsi" w:eastAsia="Times New Roman" w:hAnsiTheme="minorHAnsi" w:cstheme="minorHAnsi"/>
          <w:color w:val="222222"/>
          <w:lang w:eastAsia="en-AU"/>
        </w:rPr>
        <w:t>should be developed to provide support to the food industry and/or consumers with the practical implementation of the updated</w:t>
      </w:r>
      <w:r w:rsidR="00EE1BE5"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 form of the food (or ‘as prepared’) exemption.</w:t>
      </w:r>
      <w:r w:rsidR="00161F5C"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EE1BE5"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Members agreed </w:t>
      </w:r>
      <w:r>
        <w:rPr>
          <w:rFonts w:asciiTheme="minorHAnsi" w:eastAsia="Times New Roman" w:hAnsiTheme="minorHAnsi" w:cstheme="minorHAnsi"/>
          <w:color w:val="222222"/>
          <w:lang w:eastAsia="en-AU"/>
        </w:rPr>
        <w:t xml:space="preserve">current guidance was adequate, this would be </w:t>
      </w:r>
      <w:r w:rsidR="00EE1BE5" w:rsidRPr="00675EC5">
        <w:rPr>
          <w:rFonts w:asciiTheme="minorHAnsi" w:eastAsia="Times New Roman" w:hAnsiTheme="minorHAnsi" w:cstheme="minorHAnsi"/>
          <w:color w:val="222222"/>
          <w:lang w:eastAsia="en-AU"/>
        </w:rPr>
        <w:t>monitor</w:t>
      </w:r>
      <w:r>
        <w:rPr>
          <w:rFonts w:asciiTheme="minorHAnsi" w:eastAsia="Times New Roman" w:hAnsiTheme="minorHAnsi" w:cstheme="minorHAnsi"/>
          <w:color w:val="222222"/>
          <w:lang w:eastAsia="en-AU"/>
        </w:rPr>
        <w:t xml:space="preserve">ed and </w:t>
      </w:r>
      <w:r w:rsidR="00EE1BE5" w:rsidRPr="00675EC5">
        <w:rPr>
          <w:rFonts w:asciiTheme="minorHAnsi" w:eastAsia="Times New Roman" w:hAnsiTheme="minorHAnsi" w:cstheme="minorHAnsi"/>
          <w:color w:val="222222"/>
          <w:lang w:eastAsia="en-AU"/>
        </w:rPr>
        <w:t>re-evaluate</w:t>
      </w:r>
      <w:r>
        <w:rPr>
          <w:rFonts w:asciiTheme="minorHAnsi" w:eastAsia="Times New Roman" w:hAnsiTheme="minorHAnsi" w:cstheme="minorHAnsi"/>
          <w:color w:val="222222"/>
          <w:lang w:eastAsia="en-AU"/>
        </w:rPr>
        <w:t>d</w:t>
      </w:r>
      <w:r w:rsidR="00EE1BE5" w:rsidRPr="00675EC5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9541A7" w:rsidRPr="00675EC5">
        <w:rPr>
          <w:rFonts w:asciiTheme="minorHAnsi" w:eastAsia="Times New Roman" w:hAnsiTheme="minorHAnsi" w:cstheme="minorHAnsi"/>
          <w:color w:val="222222"/>
          <w:lang w:eastAsia="en-AU"/>
        </w:rPr>
        <w:t>as needed.</w:t>
      </w:r>
    </w:p>
    <w:p w14:paraId="7D109EBF" w14:textId="1039B36E" w:rsidR="00241B42" w:rsidRPr="00B560AD" w:rsidRDefault="00241B42" w:rsidP="00CE05C6">
      <w:pPr>
        <w:pStyle w:val="Heading1"/>
      </w:pPr>
      <w:r w:rsidRPr="00B560AD">
        <w:t>HSR Guidance documents – review</w:t>
      </w:r>
    </w:p>
    <w:p w14:paraId="5CFB0448" w14:textId="307ED1D2" w:rsidR="00241B42" w:rsidRPr="00B560AD" w:rsidRDefault="00647338" w:rsidP="00EE1BE5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Members 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>requested updates to the HSRAC governance documents to ensure currency and relevance with the updated HSR system, along with providing ease of understanding for stakeholders.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The HSRAC will 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>regular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>ly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review of these documents.</w:t>
      </w:r>
    </w:p>
    <w:p w14:paraId="1B3A1C49" w14:textId="10A54CC5" w:rsidR="00647338" w:rsidRPr="00B560AD" w:rsidRDefault="00110BA5" w:rsidP="00CE05C6">
      <w:pPr>
        <w:pStyle w:val="Heading1"/>
      </w:pPr>
      <w:r w:rsidRPr="00B560AD">
        <w:t>Low alcoholic beverages</w:t>
      </w:r>
    </w:p>
    <w:p w14:paraId="15499B65" w14:textId="7A28A673" w:rsidR="005B1B7A" w:rsidRDefault="00110BA5" w:rsidP="00110BA5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The HSR system currently permits beverages to display an HSR if the product contains 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>≤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>1.15% A</w:t>
      </w:r>
      <w:r w:rsidR="00D25CB8">
        <w:rPr>
          <w:rFonts w:asciiTheme="minorHAnsi" w:eastAsia="Times New Roman" w:hAnsiTheme="minorHAnsi" w:cstheme="minorHAnsi"/>
          <w:color w:val="222222"/>
          <w:lang w:eastAsia="en-AU"/>
        </w:rPr>
        <w:t xml:space="preserve">lcohol by 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>V</w:t>
      </w:r>
      <w:r w:rsidR="00D25CB8">
        <w:rPr>
          <w:rFonts w:asciiTheme="minorHAnsi" w:eastAsia="Times New Roman" w:hAnsiTheme="minorHAnsi" w:cstheme="minorHAnsi"/>
          <w:color w:val="222222"/>
          <w:lang w:eastAsia="en-AU"/>
        </w:rPr>
        <w:t>olume (ABV)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>.</w:t>
      </w:r>
      <w:r w:rsidR="00363848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Given the growing market of low alcoholic beverages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 and no alcohol versions of alcoholic beverages</w:t>
      </w:r>
      <w:r w:rsidR="00363848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, the 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HSRAC considered whether </w:t>
      </w:r>
      <w:r w:rsidR="00363848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these products 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>should</w:t>
      </w:r>
      <w:r w:rsidR="00363848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display the HSR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>.</w:t>
      </w:r>
      <w:r w:rsidR="00363848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This policy issue </w:t>
      </w:r>
      <w:r w:rsidR="00363848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will be referred to the Food Regulation Standing Committee as 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>the decision body</w:t>
      </w:r>
      <w:r w:rsidR="00363848" w:rsidRPr="00B560AD">
        <w:rPr>
          <w:rFonts w:asciiTheme="minorHAnsi" w:eastAsia="Times New Roman" w:hAnsiTheme="minorHAnsi" w:cstheme="minorHAnsi"/>
          <w:color w:val="222222"/>
          <w:lang w:eastAsia="en-AU"/>
        </w:rPr>
        <w:t>.</w:t>
      </w:r>
    </w:p>
    <w:p w14:paraId="23D8AD6B" w14:textId="6C5337C9" w:rsidR="00110BA5" w:rsidRPr="00B560AD" w:rsidRDefault="00363848" w:rsidP="00110BA5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lastRenderedPageBreak/>
        <w:t>The HSRAC’s</w:t>
      </w:r>
      <w:r w:rsidR="00110BA5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agreed 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position is </w:t>
      </w:r>
      <w:r w:rsidR="00110BA5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displaying 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>the</w:t>
      </w:r>
      <w:r w:rsidR="00110BA5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HSR on 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>low-alcoholic beverages</w:t>
      </w:r>
      <w:r w:rsidR="00110BA5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and no alcohol versions of alcoholic beverages 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>is</w:t>
      </w:r>
      <w:r w:rsidR="00110BA5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not consistent with the intent of the 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HSR </w:t>
      </w:r>
      <w:r w:rsidR="00110BA5" w:rsidRPr="00B560AD">
        <w:rPr>
          <w:rFonts w:asciiTheme="minorHAnsi" w:eastAsia="Times New Roman" w:hAnsiTheme="minorHAnsi" w:cstheme="minorHAnsi"/>
          <w:color w:val="222222"/>
          <w:lang w:eastAsia="en-AU"/>
        </w:rPr>
        <w:t>system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. 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The HSRAC noted that the purpose of the HSR system to enable comparison with similar products, and as </w:t>
      </w:r>
      <w:proofErr w:type="gramStart"/>
      <w:r w:rsidR="005B1B7A">
        <w:rPr>
          <w:rFonts w:asciiTheme="minorHAnsi" w:eastAsia="Times New Roman" w:hAnsiTheme="minorHAnsi" w:cstheme="minorHAnsi"/>
          <w:color w:val="222222"/>
          <w:lang w:eastAsia="en-AU"/>
        </w:rPr>
        <w:t>full strength</w:t>
      </w:r>
      <w:proofErr w:type="gramEnd"/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 alcohol products cannot display an HSR there is no ability for comparison. 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Therefore, the HSRAC </w:t>
      </w:r>
      <w:r w:rsidR="00110BA5" w:rsidRPr="00B560AD">
        <w:rPr>
          <w:rFonts w:asciiTheme="minorHAnsi" w:eastAsia="Times New Roman" w:hAnsiTheme="minorHAnsi" w:cstheme="minorHAnsi"/>
          <w:color w:val="222222"/>
          <w:lang w:eastAsia="en-AU"/>
        </w:rPr>
        <w:t>strongly recommend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>s</w:t>
      </w:r>
      <w:r w:rsidR="00110BA5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against 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 xml:space="preserve">FRSC permitting </w:t>
      </w:r>
      <w:r w:rsidR="00110BA5" w:rsidRPr="00B560AD">
        <w:rPr>
          <w:rFonts w:asciiTheme="minorHAnsi" w:eastAsia="Times New Roman" w:hAnsiTheme="minorHAnsi" w:cstheme="minorHAnsi"/>
          <w:color w:val="222222"/>
          <w:lang w:eastAsia="en-AU"/>
        </w:rPr>
        <w:t>the use of the HSR on these products.</w:t>
      </w:r>
    </w:p>
    <w:p w14:paraId="709EDD77" w14:textId="1CF4B0BE" w:rsidR="00110BA5" w:rsidRPr="00B560AD" w:rsidRDefault="00110BA5" w:rsidP="00CE05C6">
      <w:pPr>
        <w:pStyle w:val="Heading1"/>
      </w:pPr>
      <w:r w:rsidRPr="00B560AD">
        <w:t>Anomaly submissions</w:t>
      </w:r>
    </w:p>
    <w:p w14:paraId="0C049AD7" w14:textId="77777777" w:rsidR="005B1B7A" w:rsidRDefault="009541A7" w:rsidP="00675EC5">
      <w:pPr>
        <w:keepNext/>
        <w:keepLines/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The HSRAC confirmed its decision to reject anomaly submission 2021-01 </w:t>
      </w:r>
      <w:r w:rsidR="005B1B7A">
        <w:rPr>
          <w:rFonts w:asciiTheme="minorHAnsi" w:eastAsia="Times New Roman" w:hAnsiTheme="minorHAnsi" w:cstheme="minorHAnsi"/>
          <w:color w:val="222222"/>
          <w:lang w:eastAsia="en-AU"/>
        </w:rPr>
        <w:t>which sought to re-categorise water-based ice confections back to Category 2 – Foods. The decision to re-categorise ice confections as non-dairy beverages was a deliberate and well-considered decision during the 5-Year Review of the HSR system, thus the HSRAC noted it was not appropriate to classify this as an anomaly.</w:t>
      </w:r>
    </w:p>
    <w:p w14:paraId="29466183" w14:textId="04868962" w:rsidR="005B1B7A" w:rsidRDefault="005B1B7A" w:rsidP="00675EC5">
      <w:pPr>
        <w:keepNext/>
        <w:keepLines/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>
        <w:rPr>
          <w:rFonts w:asciiTheme="minorHAnsi" w:eastAsia="Times New Roman" w:hAnsiTheme="minorHAnsi" w:cstheme="minorHAnsi"/>
          <w:color w:val="222222"/>
          <w:lang w:eastAsia="en-AU"/>
        </w:rPr>
        <w:t>The HSRAC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further agreed to reject anomaly submission 2021-02</w:t>
      </w:r>
      <w:r>
        <w:rPr>
          <w:rFonts w:asciiTheme="minorHAnsi" w:eastAsia="Times New Roman" w:hAnsiTheme="minorHAnsi" w:cstheme="minorHAnsi"/>
          <w:color w:val="222222"/>
          <w:lang w:eastAsia="en-AU"/>
        </w:rPr>
        <w:t xml:space="preserve"> which sought to categorise specific non-dairy pea protein powders under Category 1D – dairy beverages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. </w:t>
      </w:r>
      <w:r>
        <w:rPr>
          <w:rFonts w:asciiTheme="minorHAnsi" w:eastAsia="Times New Roman" w:hAnsiTheme="minorHAnsi" w:cstheme="minorHAnsi"/>
          <w:color w:val="222222"/>
          <w:lang w:eastAsia="en-AU"/>
        </w:rPr>
        <w:t>The HSRAC found the pea protein products referenced in the submission did not appear to contain sufficient calcium required to be considered a dairy beverage under the HSR system.</w:t>
      </w:r>
    </w:p>
    <w:p w14:paraId="1DEAA0C3" w14:textId="5A5EEDC5" w:rsidR="00280050" w:rsidRPr="00B560AD" w:rsidRDefault="00110BA5" w:rsidP="00675EC5">
      <w:pPr>
        <w:keepNext/>
        <w:keepLines/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>Members agreed that an updated anomaly submission register would be published on the HSR website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>, along with the historical register for information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>.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This register includes the rationale for HSRAC decisions on each anomaly submission.</w:t>
      </w:r>
    </w:p>
    <w:p w14:paraId="27BAECFE" w14:textId="06D486DF" w:rsidR="00110BA5" w:rsidRPr="00B560AD" w:rsidRDefault="00110BA5" w:rsidP="00CE05C6">
      <w:pPr>
        <w:pStyle w:val="Heading1"/>
      </w:pPr>
      <w:r w:rsidRPr="00B560AD">
        <w:t>Other</w:t>
      </w:r>
    </w:p>
    <w:p w14:paraId="44AE782A" w14:textId="2246C67F" w:rsidR="00110BA5" w:rsidRPr="00B560AD" w:rsidRDefault="005B1B7A" w:rsidP="00110BA5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>
        <w:rPr>
          <w:rFonts w:asciiTheme="minorHAnsi" w:eastAsia="Times New Roman" w:hAnsiTheme="minorHAnsi" w:cstheme="minorHAnsi"/>
          <w:color w:val="222222"/>
          <w:lang w:eastAsia="en-AU"/>
        </w:rPr>
        <w:t>Each member of the HSRAC seeks to represent their broad sector. To ensure all interested parties have an avenue to provide positions on matters put forward to the HSRAC, m</w:t>
      </w:r>
      <w:r w:rsidR="00110BA5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embers agreed to include key 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interested </w:t>
      </w:r>
      <w:r w:rsidR="00110BA5" w:rsidRPr="00B560AD">
        <w:rPr>
          <w:rFonts w:asciiTheme="minorHAnsi" w:eastAsia="Times New Roman" w:hAnsiTheme="minorHAnsi" w:cstheme="minorHAnsi"/>
          <w:color w:val="222222"/>
          <w:lang w:eastAsia="en-AU"/>
        </w:rPr>
        <w:t>stakeholders in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future</w:t>
      </w:r>
      <w:r w:rsidR="00110BA5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target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>ed</w:t>
      </w:r>
      <w:r w:rsidR="00110BA5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consultation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>s</w:t>
      </w:r>
      <w:r w:rsidR="00110BA5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as required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to ensure whole of sector representation</w:t>
      </w:r>
      <w:r w:rsidR="00110BA5" w:rsidRPr="00B560AD">
        <w:rPr>
          <w:rFonts w:asciiTheme="minorHAnsi" w:eastAsia="Times New Roman" w:hAnsiTheme="minorHAnsi" w:cstheme="minorHAnsi"/>
          <w:color w:val="222222"/>
          <w:lang w:eastAsia="en-AU"/>
        </w:rPr>
        <w:t>.</w:t>
      </w:r>
    </w:p>
    <w:sectPr w:rsidR="00110BA5" w:rsidRPr="00B560A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E33BE" w14:textId="77777777" w:rsidR="00675EC5" w:rsidRDefault="00675EC5" w:rsidP="00675EC5">
      <w:pPr>
        <w:spacing w:after="0" w:line="240" w:lineRule="auto"/>
      </w:pPr>
      <w:r>
        <w:separator/>
      </w:r>
    </w:p>
  </w:endnote>
  <w:endnote w:type="continuationSeparator" w:id="0">
    <w:p w14:paraId="49F1C13F" w14:textId="77777777" w:rsidR="00675EC5" w:rsidRDefault="00675EC5" w:rsidP="0067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12290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4B56F6D" w14:textId="36FDC507" w:rsidR="00675EC5" w:rsidRPr="00675EC5" w:rsidRDefault="00675EC5">
        <w:pPr>
          <w:pStyle w:val="Footer"/>
          <w:jc w:val="right"/>
          <w:rPr>
            <w:rFonts w:asciiTheme="minorHAnsi" w:hAnsiTheme="minorHAnsi" w:cstheme="minorHAnsi"/>
          </w:rPr>
        </w:pPr>
        <w:r w:rsidRPr="00675EC5">
          <w:rPr>
            <w:rFonts w:asciiTheme="minorHAnsi" w:hAnsiTheme="minorHAnsi" w:cstheme="minorHAnsi"/>
          </w:rPr>
          <w:fldChar w:fldCharType="begin"/>
        </w:r>
        <w:r w:rsidRPr="00675EC5">
          <w:rPr>
            <w:rFonts w:asciiTheme="minorHAnsi" w:hAnsiTheme="minorHAnsi" w:cstheme="minorHAnsi"/>
          </w:rPr>
          <w:instrText xml:space="preserve"> PAGE   \* MERGEFORMAT </w:instrText>
        </w:r>
        <w:r w:rsidRPr="00675EC5">
          <w:rPr>
            <w:rFonts w:asciiTheme="minorHAnsi" w:hAnsiTheme="minorHAnsi" w:cstheme="minorHAnsi"/>
          </w:rPr>
          <w:fldChar w:fldCharType="separate"/>
        </w:r>
        <w:r w:rsidRPr="00675EC5">
          <w:rPr>
            <w:rFonts w:asciiTheme="minorHAnsi" w:hAnsiTheme="minorHAnsi" w:cstheme="minorHAnsi"/>
            <w:noProof/>
          </w:rPr>
          <w:t>2</w:t>
        </w:r>
        <w:r w:rsidRPr="00675EC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18CD784" w14:textId="77777777" w:rsidR="00675EC5" w:rsidRDefault="00675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2F5A6" w14:textId="77777777" w:rsidR="00675EC5" w:rsidRDefault="00675EC5" w:rsidP="00675EC5">
      <w:pPr>
        <w:spacing w:after="0" w:line="240" w:lineRule="auto"/>
      </w:pPr>
      <w:r>
        <w:separator/>
      </w:r>
    </w:p>
  </w:footnote>
  <w:footnote w:type="continuationSeparator" w:id="0">
    <w:p w14:paraId="394CC32D" w14:textId="77777777" w:rsidR="00675EC5" w:rsidRDefault="00675EC5" w:rsidP="00675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5C73"/>
    <w:multiLevelType w:val="multilevel"/>
    <w:tmpl w:val="CC26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0047F5"/>
    <w:rsid w:val="00110BA5"/>
    <w:rsid w:val="00161F5C"/>
    <w:rsid w:val="00241B42"/>
    <w:rsid w:val="00280050"/>
    <w:rsid w:val="002A611F"/>
    <w:rsid w:val="00363848"/>
    <w:rsid w:val="003B24C0"/>
    <w:rsid w:val="004311FF"/>
    <w:rsid w:val="004D4E1E"/>
    <w:rsid w:val="00507258"/>
    <w:rsid w:val="005B1B7A"/>
    <w:rsid w:val="005F480C"/>
    <w:rsid w:val="00647338"/>
    <w:rsid w:val="00654D80"/>
    <w:rsid w:val="00675EC5"/>
    <w:rsid w:val="009541A7"/>
    <w:rsid w:val="00B560AD"/>
    <w:rsid w:val="00C72AD6"/>
    <w:rsid w:val="00C752E1"/>
    <w:rsid w:val="00CE05C6"/>
    <w:rsid w:val="00D25CB8"/>
    <w:rsid w:val="00EE1BE5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FA22"/>
  <w15:chartTrackingRefBased/>
  <w15:docId w15:val="{EB2DFD80-6674-4887-80F0-7BB58A84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5C6"/>
    <w:pPr>
      <w:shd w:val="clear" w:color="auto" w:fill="FFFFFF"/>
      <w:spacing w:after="150" w:line="300" w:lineRule="atLeast"/>
      <w:outlineLvl w:val="0"/>
    </w:pPr>
    <w:rPr>
      <w:rFonts w:asciiTheme="minorHAnsi" w:eastAsia="Times New Roman" w:hAnsiTheme="minorHAnsi" w:cstheme="minorHAnsi"/>
      <w:b/>
      <w:bCs/>
      <w:color w:val="222222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4311F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11FF"/>
    <w:rPr>
      <w:rFonts w:eastAsia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311FF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4311F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311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5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C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C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CB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5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EC5"/>
  </w:style>
  <w:style w:type="paragraph" w:styleId="Footer">
    <w:name w:val="footer"/>
    <w:basedOn w:val="Normal"/>
    <w:link w:val="FooterChar"/>
    <w:uiPriority w:val="99"/>
    <w:unhideWhenUsed/>
    <w:rsid w:val="00675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EC5"/>
  </w:style>
  <w:style w:type="paragraph" w:styleId="Title">
    <w:name w:val="Title"/>
    <w:basedOn w:val="Normal"/>
    <w:next w:val="Normal"/>
    <w:link w:val="TitleChar"/>
    <w:uiPriority w:val="10"/>
    <w:qFormat/>
    <w:rsid w:val="00CE05C6"/>
    <w:pPr>
      <w:shd w:val="clear" w:color="auto" w:fill="FFFFFF"/>
      <w:spacing w:after="150" w:line="300" w:lineRule="atLeast"/>
      <w:jc w:val="center"/>
    </w:pPr>
    <w:rPr>
      <w:rFonts w:asciiTheme="minorHAnsi" w:eastAsia="Times New Roman" w:hAnsiTheme="minorHAnsi" w:cstheme="minorHAnsi"/>
      <w:b/>
      <w:bCs/>
      <w:color w:val="222222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CE05C6"/>
    <w:rPr>
      <w:rFonts w:asciiTheme="minorHAnsi" w:eastAsia="Times New Roman" w:hAnsiTheme="minorHAnsi" w:cstheme="minorHAnsi"/>
      <w:b/>
      <w:bCs/>
      <w:color w:val="222222"/>
      <w:sz w:val="36"/>
      <w:szCs w:val="36"/>
      <w:shd w:val="clear" w:color="auto" w:fill="FFFFFF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5C6"/>
    <w:pPr>
      <w:pBdr>
        <w:top w:val="single" w:sz="12" w:space="1" w:color="auto"/>
        <w:bottom w:val="single" w:sz="12" w:space="1" w:color="auto"/>
      </w:pBdr>
      <w:shd w:val="clear" w:color="auto" w:fill="FFFFFF"/>
      <w:spacing w:after="150" w:line="300" w:lineRule="atLeast"/>
      <w:jc w:val="center"/>
    </w:pPr>
    <w:rPr>
      <w:rFonts w:asciiTheme="minorHAnsi" w:eastAsia="Times New Roman" w:hAnsiTheme="minorHAnsi" w:cstheme="minorHAnsi"/>
      <w:b/>
      <w:bCs/>
      <w:color w:val="222222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CE05C6"/>
    <w:rPr>
      <w:rFonts w:asciiTheme="minorHAnsi" w:eastAsia="Times New Roman" w:hAnsiTheme="minorHAnsi" w:cstheme="minorHAnsi"/>
      <w:b/>
      <w:bCs/>
      <w:color w:val="222222"/>
      <w:shd w:val="clear" w:color="auto" w:fill="FFFFFF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E05C6"/>
    <w:rPr>
      <w:rFonts w:asciiTheme="minorHAnsi" w:eastAsia="Times New Roman" w:hAnsiTheme="minorHAnsi" w:cstheme="minorHAnsi"/>
      <w:b/>
      <w:bCs/>
      <w:color w:val="222222"/>
      <w:shd w:val="clear" w:color="auto" w:fill="FFFFFF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D73A-6AE3-4B16-B64C-7D4C5409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Star Rating Advisory Committee Meeting – 30 November 2021</dc:title>
  <dc:subject>Health star rating </dc:subject>
  <dc:creator>Australian Government Department of Health</dc:creator>
  <cp:keywords>Meeting minutes; HSR; Health Star Rating Advisory Committee Meeting</cp:keywords>
  <dc:description/>
  <cp:lastModifiedBy>MASCHKE, Elvia</cp:lastModifiedBy>
  <cp:revision>2</cp:revision>
  <dcterms:created xsi:type="dcterms:W3CDTF">2022-03-17T04:40:00Z</dcterms:created>
  <dcterms:modified xsi:type="dcterms:W3CDTF">2022-03-17T04:40:00Z</dcterms:modified>
</cp:coreProperties>
</file>