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3D87B" w14:textId="77777777" w:rsidR="004E46A7" w:rsidRPr="0045255E" w:rsidRDefault="004E46A7" w:rsidP="0045255E">
      <w:pPr>
        <w:pStyle w:val="Title"/>
      </w:pPr>
      <w:r w:rsidRPr="0045255E">
        <w:t xml:space="preserve">Outbreak of SARS-CoV-2 Delta variant on a single liquified natural gas (LNG) vessel, with estimates of vaccine effectiveness </w:t>
      </w:r>
    </w:p>
    <w:p w14:paraId="22B4CDF0" w14:textId="28CF0507" w:rsidR="004E46A7" w:rsidRDefault="004E46A7" w:rsidP="00AE3F13">
      <w:r>
        <w:t xml:space="preserve">Nicolas Smoll, Jacina Walker, </w:t>
      </w:r>
      <w:r w:rsidR="004A6EB5" w:rsidRPr="004A6EB5">
        <w:t>Mahmudul Hassan Al Imam</w:t>
      </w:r>
      <w:r>
        <w:t xml:space="preserve">, Jill </w:t>
      </w:r>
      <w:proofErr w:type="spellStart"/>
      <w:r>
        <w:t>Auriac</w:t>
      </w:r>
      <w:proofErr w:type="spellEnd"/>
      <w:r>
        <w:t xml:space="preserve">, Ross Andrews, Andrew </w:t>
      </w:r>
      <w:proofErr w:type="spellStart"/>
      <w:r>
        <w:t>Jeremijenko</w:t>
      </w:r>
      <w:proofErr w:type="spellEnd"/>
      <w:r>
        <w:t>, Michael</w:t>
      </w:r>
      <w:r w:rsidR="00226316">
        <w:t> </w:t>
      </w:r>
      <w:r>
        <w:t xml:space="preserve">Kirk, Gulam Khandaker </w:t>
      </w:r>
    </w:p>
    <w:p w14:paraId="0D4D2F35" w14:textId="77777777" w:rsidR="004E46A7" w:rsidRPr="00AE3F13" w:rsidRDefault="004E46A7" w:rsidP="00AE3F13">
      <w:pPr>
        <w:pStyle w:val="Heading1"/>
      </w:pPr>
      <w:r w:rsidRPr="00AE3F13">
        <w:t xml:space="preserve">Abstract </w:t>
      </w:r>
    </w:p>
    <w:p w14:paraId="6518AE83" w14:textId="77777777" w:rsidR="004E46A7" w:rsidRDefault="004E46A7" w:rsidP="0045255E">
      <w:r>
        <w:t xml:space="preserve">In August 2021, there was an outbreak of severe acute respiratory syndrome corona virus-2 (SARS-CoV-2) Delta variant on an international liquified natural gas (LNG) vessel offshore to Gladstone, Queensland. Fourteen of the 26 crew members aboard the vessel tested positive for SARS-COV-2 on PCR during the outbreak. Vaccine effectiveness (VE) was 52% for all lab-confirmed SARS-CoV-2 infections, 65% for symptomatic SARS-CoV-2 infection and 100% for severe SARS-CoV-2. The attack rate (AR) of SARS-CoV-2 Delta variant was 54% (14/26). With heightened public health measures and infection control practices, we were able to declare the outbreak over in 26 days. </w:t>
      </w:r>
    </w:p>
    <w:p w14:paraId="7EEBC282" w14:textId="77777777" w:rsidR="004E46A7" w:rsidRPr="00AE3F13" w:rsidRDefault="004E46A7" w:rsidP="00AE3F13">
      <w:pPr>
        <w:pStyle w:val="Heading1"/>
      </w:pPr>
      <w:r w:rsidRPr="00AE3F13">
        <w:t xml:space="preserve">Background and methods </w:t>
      </w:r>
    </w:p>
    <w:p w14:paraId="3591FD26" w14:textId="77777777" w:rsidR="004E46A7" w:rsidRDefault="004E46A7" w:rsidP="00AE3F13">
      <w:r>
        <w:t xml:space="preserve">We report an outbreak of severe acute respiratory syndrome corona virus-2 (SARS-CoV-2) Delta variant on the </w:t>
      </w:r>
      <w:r w:rsidRPr="006316A4">
        <w:rPr>
          <w:rStyle w:val="Emphasis"/>
          <w:b w:val="0"/>
          <w:bCs w:val="0"/>
        </w:rPr>
        <w:t>Pan Europe</w:t>
      </w:r>
      <w:r>
        <w:t xml:space="preserve">, an international liquified natural gas (LNG) vessel offshore to Gladstone, Queensland. The aim of this outbreak report is to describe the attack rates and the effectiveness of vaccination aboard this vessel. On 1 August 2021, the Maritime National Coordination Centre notified Central Queensland Public Health Unit (CQPHU) of four symptomatic crew members onboard the LNG vessel. Symptoms were mild with an onset during 29–31 July and included fevers, respiratory symptoms, loss of smell and loss of taste. </w:t>
      </w:r>
    </w:p>
    <w:p w14:paraId="3CA96176" w14:textId="0D4C861C" w:rsidR="004E46A7" w:rsidRDefault="004E46A7" w:rsidP="00AE3F13">
      <w:pPr>
        <w:rPr>
          <w:vertAlign w:val="superscript"/>
        </w:rPr>
      </w:pPr>
      <w:r>
        <w:t>The vessel was not granted pratique and was kept at the outer anchorage of Gladstone harbour on arrival on 4 August 2021, a similar response to that which occurred on a similar outbreak on a cargo ship docked at the Port of Santos, Brazil.</w:t>
      </w:r>
      <w:r>
        <w:rPr>
          <w:vertAlign w:val="superscript"/>
        </w:rPr>
        <w:t>1</w:t>
      </w:r>
      <w:r>
        <w:t xml:space="preserve"> A full public health response was initiated by CQPHU and an outbreak response team, led by the Public Health Physician, accessed the vessel on 4 August 2021. Respiratory specimens and serum samples were collected from all crew members onboard to better understand prior infection and </w:t>
      </w:r>
      <w:proofErr w:type="gramStart"/>
      <w:r>
        <w:t>current status</w:t>
      </w:r>
      <w:proofErr w:type="gramEnd"/>
      <w:r>
        <w:t>. Whole genome sequencing was performed on any positive specimen for SARS-CoV-2 to clarify the SARS-CoV-2 variant, or if there were co-primary cases if two strains were detected. Vaccine effectiveness (VE) for symptomatic and severe SARS-CoV-2 was calculated using the following equation:</w:t>
      </w:r>
      <w:r>
        <w:rPr>
          <w:vertAlign w:val="superscript"/>
        </w:rPr>
        <w:t xml:space="preserve">2,3 </w:t>
      </w:r>
    </w:p>
    <w:p w14:paraId="4BC19F09" w14:textId="5DFF0551" w:rsidR="00455510" w:rsidRDefault="00455510" w:rsidP="00AE3F13">
      <w:r>
        <w:rPr>
          <w:noProof/>
          <w:lang w:val="en-GB"/>
        </w:rPr>
        <w:drawing>
          <wp:inline distT="0" distB="0" distL="0" distR="0" wp14:anchorId="1B7BE798" wp14:editId="72D22F55">
            <wp:extent cx="1411227" cy="493777"/>
            <wp:effectExtent l="0" t="0" r="0" b="1905"/>
            <wp:docPr id="3" name="Picture 3" descr="1-(ARV/ARU)*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RV/ARU)*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227" cy="493777"/>
                    </a:xfrm>
                    <a:prstGeom prst="rect">
                      <a:avLst/>
                    </a:prstGeom>
                    <a:noFill/>
                    <a:ln>
                      <a:noFill/>
                    </a:ln>
                  </pic:spPr>
                </pic:pic>
              </a:graphicData>
            </a:graphic>
          </wp:inline>
        </w:drawing>
      </w:r>
    </w:p>
    <w:p w14:paraId="490CD0B8" w14:textId="77777777" w:rsidR="004E46A7" w:rsidRDefault="004E46A7" w:rsidP="00AE3F13">
      <w:r>
        <w:t xml:space="preserve">ARV = Attack rate in vaccinated </w:t>
      </w:r>
    </w:p>
    <w:p w14:paraId="0BB00F6B" w14:textId="77777777" w:rsidR="004E46A7" w:rsidRDefault="004E46A7" w:rsidP="00AE3F13">
      <w:r>
        <w:t xml:space="preserve">ARU = Attack rate in unvaccinated </w:t>
      </w:r>
    </w:p>
    <w:p w14:paraId="35F69A3A" w14:textId="77777777" w:rsidR="00455510" w:rsidRDefault="00455510">
      <w:pPr>
        <w:rPr>
          <w:rFonts w:asciiTheme="majorHAnsi" w:eastAsiaTheme="majorEastAsia" w:hAnsiTheme="majorHAnsi" w:cstheme="majorBidi"/>
          <w:b/>
          <w:bCs/>
          <w:sz w:val="32"/>
          <w:szCs w:val="28"/>
        </w:rPr>
      </w:pPr>
      <w:r>
        <w:br w:type="page"/>
      </w:r>
    </w:p>
    <w:p w14:paraId="7C4C36E9" w14:textId="6B444ACD" w:rsidR="004E46A7" w:rsidRPr="00AE3F13" w:rsidRDefault="004E46A7" w:rsidP="00AE3F13">
      <w:pPr>
        <w:pStyle w:val="Heading1"/>
      </w:pPr>
      <w:r w:rsidRPr="00AE3F13">
        <w:lastRenderedPageBreak/>
        <w:t xml:space="preserve">Description of outbreak </w:t>
      </w:r>
    </w:p>
    <w:p w14:paraId="12E38DF2" w14:textId="77777777" w:rsidR="004E46A7" w:rsidRDefault="004E46A7" w:rsidP="00AE3F13">
      <w:r>
        <w:t xml:space="preserve">The case definition for SARS-CoV-2 diagnosis was a positive reverse transcription polymerase chain reaction (PCR) test. Both respiratory and serum specimens were collected for nucleic acid testing and serology. Genome sequencing was performed on all positive respiratory specimens. Repeat PCR testing for SARS-CoV-2 was performed on all crew members on a regular basis to monitor the progress of the outbreak. Ethical review for exemption to publish was obtained (HREC/82361). </w:t>
      </w:r>
    </w:p>
    <w:p w14:paraId="3EC935C9" w14:textId="77777777" w:rsidR="004E46A7" w:rsidRDefault="004E46A7" w:rsidP="00AE3F13">
      <w:r>
        <w:t xml:space="preserve">Twenty-six crew members were aboard the vessel; 14 crew members tested positive for SARS-COV-2 on PCR during the outbreak (Table 1, Figure 1). Six of the crew joined the vessel in Japan on 18 July 2021 (two became symptomatic on 29 July 2021) and four of these six on-signers tested positive for SARS-COV-2 on PCR during the outbreak. Genome sequencing (9 out of 14 positive cases) showed a </w:t>
      </w:r>
      <w:proofErr w:type="gramStart"/>
      <w:r>
        <w:t>closely-clustered</w:t>
      </w:r>
      <w:proofErr w:type="gramEnd"/>
      <w:r>
        <w:t xml:space="preserve"> Delta variant of SARS-CoV-2. Cycle threshold (CT) values of all positive cases ranged from 15.7 to 38.3. Three of the four positive cases who joined the vessel in Japan had CT values between 24.0 and 37.5 on the tests performed on 4 August. The crewperson with a CT value of 38.3 had remained asymptomatic </w:t>
      </w:r>
      <w:proofErr w:type="gramStart"/>
      <w:r>
        <w:t>throughout, and</w:t>
      </w:r>
      <w:proofErr w:type="gramEnd"/>
      <w:r>
        <w:t xml:space="preserve"> had tested negative 12 days later; the CT value could represent early infection with clearance. Chronic intermittent shedding is unlikely as the crew member joined the vessel four months prior, in March 2021. Eight of the 14 positive cases were mildly symptomatic (loss of smell/taste, mild headache, cough, muscular </w:t>
      </w:r>
      <w:proofErr w:type="gramStart"/>
      <w:r>
        <w:t>pain</w:t>
      </w:r>
      <w:proofErr w:type="gramEnd"/>
      <w:r>
        <w:t xml:space="preserve"> and runny nose). None had severe symptoms or required hospitalisation. </w:t>
      </w:r>
    </w:p>
    <w:p w14:paraId="482134B0" w14:textId="77777777" w:rsidR="004E46A7" w:rsidRDefault="004E46A7" w:rsidP="00AE3F13">
      <w:r>
        <w:t xml:space="preserve">Safe manning of the vessel while at anchor was not affected, as the Master, Chief Officer, Second Officer, Second and Third Assistant Engineers and Chief Cook remained unaffected throughout the outbreak. (The Second Cook became symptomatic and tested positive on 4 August.) </w:t>
      </w:r>
    </w:p>
    <w:p w14:paraId="3CEF2785" w14:textId="3BF62B36" w:rsidR="004E46A7" w:rsidRDefault="004E46A7" w:rsidP="00AE3F13">
      <w:r>
        <w:t>On 16 August 2021, when the second round of testing occurred, three of the crew members who had tested negative at baseline testing (4 August) now tested positive, suggestive of quarantine breaches or long incubation periods (5% of cases can have incubation periods longer than 11 to 16 days),</w:t>
      </w:r>
      <w:r>
        <w:rPr>
          <w:vertAlign w:val="superscript"/>
        </w:rPr>
        <w:t>4</w:t>
      </w:r>
      <w:r>
        <w:t xml:space="preserve"> leading to the outbreak lasting 26</w:t>
      </w:r>
      <w:r w:rsidR="006316A4">
        <w:t> </w:t>
      </w:r>
      <w:r>
        <w:t xml:space="preserve">days. </w:t>
      </w:r>
    </w:p>
    <w:p w14:paraId="3DCBDC27" w14:textId="77777777" w:rsidR="004E46A7" w:rsidRDefault="004E46A7" w:rsidP="00AE3F13">
      <w:r>
        <w:t xml:space="preserve">The single or double dose vaccination rate onboard the ship was 89% (n = 23). Eighteen of the 26 crew on board the vessel </w:t>
      </w:r>
      <w:proofErr w:type="gramStart"/>
      <w:r>
        <w:t>were</w:t>
      </w:r>
      <w:proofErr w:type="gramEnd"/>
      <w:r>
        <w:t xml:space="preserve"> fully vaccinated (69%), five were partially vaccinated with the remaining three not vaccinated. For those with completed doses, the average time since course of vaccination completion was 15.0 weeks (standard deviation, SD: 1.5), with a minimum of 10 weeks. </w:t>
      </w:r>
    </w:p>
    <w:p w14:paraId="50C99EE8" w14:textId="77777777" w:rsidR="004E46A7" w:rsidRDefault="004E46A7" w:rsidP="00AE3F13">
      <w:r>
        <w:t xml:space="preserve">The attack rate was 54% (14/26). Point estimates of VE were 52% for all lab-confirmed SARS-CoV-2 infections, 65% for symptomatic SARS-CoV-2 infection and 100% for severe SARS-CoV-2. </w:t>
      </w:r>
    </w:p>
    <w:p w14:paraId="44F4AEE2" w14:textId="77777777" w:rsidR="00E7268B" w:rsidRDefault="00E7268B">
      <w:pPr>
        <w:rPr>
          <w:rFonts w:asciiTheme="majorHAnsi" w:eastAsiaTheme="majorEastAsia" w:hAnsiTheme="majorHAnsi" w:cstheme="majorBidi"/>
          <w:b/>
          <w:bCs/>
          <w:sz w:val="32"/>
          <w:szCs w:val="28"/>
        </w:rPr>
      </w:pPr>
      <w:r>
        <w:br w:type="page"/>
      </w:r>
    </w:p>
    <w:p w14:paraId="79E5F2BC" w14:textId="36BFC94B" w:rsidR="00E7268B" w:rsidRPr="00EC67F9" w:rsidRDefault="00E7268B" w:rsidP="00E7268B">
      <w:pPr>
        <w:pStyle w:val="CDIFigures"/>
      </w:pPr>
      <w:r w:rsidRPr="00EC67F9">
        <w:rPr>
          <w:rStyle w:val="Strong"/>
          <w:b/>
          <w:bCs w:val="0"/>
        </w:rPr>
        <w:lastRenderedPageBreak/>
        <w:t xml:space="preserve">Figure 1: </w:t>
      </w:r>
      <w:proofErr w:type="spellStart"/>
      <w:r w:rsidRPr="00EC67F9">
        <w:rPr>
          <w:rStyle w:val="Strong"/>
          <w:b/>
          <w:bCs w:val="0"/>
        </w:rPr>
        <w:t>Epicurve</w:t>
      </w:r>
      <w:proofErr w:type="spellEnd"/>
      <w:r w:rsidRPr="00EC67F9">
        <w:rPr>
          <w:rStyle w:val="Strong"/>
          <w:b/>
          <w:bCs w:val="0"/>
        </w:rPr>
        <w:t xml:space="preserve"> for the SARS-CoV-2 Delta strain outbreak among the crew of the LNG carrier Pan Europe</w:t>
      </w:r>
    </w:p>
    <w:p w14:paraId="059DFFF3" w14:textId="77777777" w:rsidR="00E7268B" w:rsidRDefault="00E7268B" w:rsidP="00E7268B">
      <w:pPr>
        <w:jc w:val="center"/>
        <w:rPr>
          <w:rFonts w:eastAsia="Times New Roman"/>
          <w:lang w:val="en-GB"/>
        </w:rPr>
      </w:pPr>
      <w:r>
        <w:rPr>
          <w:rFonts w:eastAsia="Times New Roman"/>
          <w:noProof/>
          <w:lang w:val="en-GB"/>
        </w:rPr>
        <w:drawing>
          <wp:inline distT="0" distB="0" distL="0" distR="0" wp14:anchorId="164BF607" wp14:editId="2128E276">
            <wp:extent cx="5592541" cy="8773030"/>
            <wp:effectExtent l="0" t="0" r="8255" b="9525"/>
            <wp:docPr id="2" name="Picture 2" descr="Represents an epicurve for the SARS-CoV-2 delta strain outbreak among the crewmen of the LNG carrier the Pan Europa. Reveals staggered infection dates. NA = un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presents an epicurve for the SARS-CoV-2 delta strain outbreak among the crewmen of the LNG carrier the Pan Europa. Reveals staggered infection dates. NA = unvaccin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88" r="30145"/>
                    <a:stretch/>
                  </pic:blipFill>
                  <pic:spPr bwMode="auto">
                    <a:xfrm>
                      <a:off x="0" y="0"/>
                      <a:ext cx="5613484" cy="8805883"/>
                    </a:xfrm>
                    <a:prstGeom prst="rect">
                      <a:avLst/>
                    </a:prstGeom>
                    <a:ln>
                      <a:noFill/>
                    </a:ln>
                    <a:extLst>
                      <a:ext uri="{53640926-AAD7-44D8-BBD7-CCE9431645EC}">
                        <a14:shadowObscured xmlns:a14="http://schemas.microsoft.com/office/drawing/2010/main"/>
                      </a:ext>
                    </a:extLst>
                  </pic:spPr>
                </pic:pic>
              </a:graphicData>
            </a:graphic>
          </wp:inline>
        </w:drawing>
      </w:r>
    </w:p>
    <w:p w14:paraId="1970C540" w14:textId="0ECD2558" w:rsidR="00E7268B" w:rsidRDefault="00E7268B" w:rsidP="00E7268B">
      <w:pPr>
        <w:pStyle w:val="CDIfootnotes"/>
        <w:rPr>
          <w:lang w:val="en-GB"/>
        </w:rPr>
      </w:pPr>
    </w:p>
    <w:p w14:paraId="48BDD5DF" w14:textId="77777777" w:rsidR="00711C94" w:rsidRPr="00EC67F9" w:rsidRDefault="00711C94" w:rsidP="00711C94">
      <w:pPr>
        <w:pStyle w:val="CDIFigures"/>
      </w:pPr>
      <w:r w:rsidRPr="00EC67F9">
        <w:rPr>
          <w:rStyle w:val="Strong"/>
          <w:b/>
          <w:bCs w:val="0"/>
        </w:rPr>
        <w:t>Table 1: Demographic and clinical variables by infection status</w:t>
      </w:r>
    </w:p>
    <w:tbl>
      <w:tblPr>
        <w:tblStyle w:val="CDI-StandardTable"/>
        <w:tblW w:w="0" w:type="auto"/>
        <w:tblCellMar>
          <w:left w:w="113" w:type="dxa"/>
          <w:right w:w="113" w:type="dxa"/>
        </w:tblCellMar>
        <w:tblLook w:val="04A0" w:firstRow="1" w:lastRow="0" w:firstColumn="1" w:lastColumn="0" w:noHBand="0" w:noVBand="1"/>
        <w:tblDescription w:val="Demographic and clinical variables are presented by infection status (infected vs un-infected). The left-most column has variables for age, vaccination status, brand, time since vaccination course completed, Symptoms at diagnosis, and then cycle times at each time point. Rank sum test used for age, and simulated fisher exact tests with 500 replicates used for categorical variables. Not all persons tested positive at each test, hence the missing CT values on each date. Time since course complete (CC; in weeks) represents the time since dose of Johnson &amp; Johnson, or second dose of Astra Zeneca (n=2). Note all Pfizer immunizations were incomplete (on received 1 dose)."/>
      </w:tblPr>
      <w:tblGrid>
        <w:gridCol w:w="3261"/>
        <w:gridCol w:w="2268"/>
        <w:gridCol w:w="1984"/>
        <w:gridCol w:w="1701"/>
        <w:gridCol w:w="1252"/>
      </w:tblGrid>
      <w:tr w:rsidR="00711C94" w:rsidRPr="0045255E" w14:paraId="386BDD30" w14:textId="77777777" w:rsidTr="0045255E">
        <w:trPr>
          <w:cnfStyle w:val="100000000000" w:firstRow="1" w:lastRow="0" w:firstColumn="0" w:lastColumn="0" w:oddVBand="0" w:evenVBand="0" w:oddHBand="0" w:evenHBand="0" w:firstRowFirstColumn="0" w:firstRowLastColumn="0" w:lastRowFirstColumn="0" w:lastRowLastColumn="0"/>
        </w:trPr>
        <w:tc>
          <w:tcPr>
            <w:tcW w:w="3261" w:type="dxa"/>
            <w:tcBorders>
              <w:right w:val="single" w:sz="4" w:space="0" w:color="886E49"/>
            </w:tcBorders>
            <w:hideMark/>
          </w:tcPr>
          <w:p w14:paraId="35C2B4D6" w14:textId="77777777" w:rsidR="00711C94" w:rsidRPr="0045255E" w:rsidRDefault="00711C94" w:rsidP="00271AB5">
            <w:pPr>
              <w:rPr>
                <w:color w:val="FFFFFF" w:themeColor="background1"/>
                <w:sz w:val="18"/>
                <w:szCs w:val="18"/>
                <w:lang w:val="en-GB"/>
              </w:rPr>
            </w:pPr>
          </w:p>
        </w:tc>
        <w:tc>
          <w:tcPr>
            <w:tcW w:w="2268" w:type="dxa"/>
            <w:tcBorders>
              <w:left w:val="single" w:sz="4" w:space="0" w:color="886E49"/>
              <w:right w:val="single" w:sz="4" w:space="0" w:color="886E49"/>
            </w:tcBorders>
            <w:hideMark/>
          </w:tcPr>
          <w:p w14:paraId="09A05401" w14:textId="77777777" w:rsidR="00711C94" w:rsidRPr="0045255E" w:rsidRDefault="00711C94" w:rsidP="00271AB5">
            <w:pPr>
              <w:pStyle w:val="NormalWeb"/>
              <w:jc w:val="center"/>
              <w:rPr>
                <w:color w:val="FFFFFF" w:themeColor="background1"/>
                <w:sz w:val="18"/>
                <w:szCs w:val="18"/>
              </w:rPr>
            </w:pPr>
            <w:r w:rsidRPr="0045255E">
              <w:rPr>
                <w:color w:val="FFFFFF" w:themeColor="background1"/>
                <w:sz w:val="18"/>
                <w:szCs w:val="18"/>
              </w:rPr>
              <w:t>No infection (n = 12)</w:t>
            </w:r>
          </w:p>
        </w:tc>
        <w:tc>
          <w:tcPr>
            <w:tcW w:w="1984" w:type="dxa"/>
            <w:tcBorders>
              <w:left w:val="single" w:sz="4" w:space="0" w:color="886E49"/>
              <w:right w:val="single" w:sz="4" w:space="0" w:color="886E49"/>
            </w:tcBorders>
            <w:hideMark/>
          </w:tcPr>
          <w:p w14:paraId="66C3712B" w14:textId="77777777" w:rsidR="00711C94" w:rsidRPr="0045255E" w:rsidRDefault="00711C94" w:rsidP="00271AB5">
            <w:pPr>
              <w:pStyle w:val="NormalWeb"/>
              <w:jc w:val="center"/>
              <w:rPr>
                <w:color w:val="FFFFFF" w:themeColor="background1"/>
                <w:sz w:val="18"/>
                <w:szCs w:val="18"/>
              </w:rPr>
            </w:pPr>
            <w:r w:rsidRPr="0045255E">
              <w:rPr>
                <w:color w:val="FFFFFF" w:themeColor="background1"/>
                <w:sz w:val="18"/>
                <w:szCs w:val="18"/>
              </w:rPr>
              <w:t>Infection (n = 14)</w:t>
            </w:r>
          </w:p>
        </w:tc>
        <w:tc>
          <w:tcPr>
            <w:tcW w:w="1701" w:type="dxa"/>
            <w:tcBorders>
              <w:left w:val="single" w:sz="4" w:space="0" w:color="886E49"/>
              <w:right w:val="single" w:sz="4" w:space="0" w:color="886E49"/>
            </w:tcBorders>
            <w:hideMark/>
          </w:tcPr>
          <w:p w14:paraId="72D97169" w14:textId="77777777" w:rsidR="00711C94" w:rsidRPr="0045255E" w:rsidRDefault="00711C94" w:rsidP="00271AB5">
            <w:pPr>
              <w:pStyle w:val="NormalWeb"/>
              <w:jc w:val="center"/>
              <w:rPr>
                <w:color w:val="FFFFFF" w:themeColor="background1"/>
                <w:sz w:val="18"/>
                <w:szCs w:val="18"/>
              </w:rPr>
            </w:pPr>
            <w:r w:rsidRPr="0045255E">
              <w:rPr>
                <w:color w:val="FFFFFF" w:themeColor="background1"/>
                <w:sz w:val="18"/>
                <w:szCs w:val="18"/>
              </w:rPr>
              <w:t>Total (N = 26)</w:t>
            </w:r>
          </w:p>
        </w:tc>
        <w:tc>
          <w:tcPr>
            <w:tcW w:w="1252" w:type="dxa"/>
            <w:tcBorders>
              <w:left w:val="single" w:sz="4" w:space="0" w:color="886E49"/>
            </w:tcBorders>
            <w:hideMark/>
          </w:tcPr>
          <w:p w14:paraId="1AE0AD7A" w14:textId="77777777" w:rsidR="00711C94" w:rsidRPr="0045255E" w:rsidRDefault="00711C94" w:rsidP="00271AB5">
            <w:pPr>
              <w:pStyle w:val="NormalWeb"/>
              <w:jc w:val="center"/>
              <w:rPr>
                <w:color w:val="FFFFFF" w:themeColor="background1"/>
                <w:sz w:val="18"/>
                <w:szCs w:val="18"/>
              </w:rPr>
            </w:pPr>
            <w:r w:rsidRPr="001C05C3">
              <w:rPr>
                <w:i/>
                <w:iCs/>
                <w:color w:val="FFFFFF" w:themeColor="background1"/>
                <w:sz w:val="18"/>
                <w:szCs w:val="18"/>
              </w:rPr>
              <w:t>p</w:t>
            </w:r>
            <w:r w:rsidRPr="0045255E">
              <w:rPr>
                <w:color w:val="FFFFFF" w:themeColor="background1"/>
                <w:sz w:val="18"/>
                <w:szCs w:val="18"/>
              </w:rPr>
              <w:t xml:space="preserve"> </w:t>
            </w:r>
            <w:proofErr w:type="spellStart"/>
            <w:r w:rsidRPr="0045255E">
              <w:rPr>
                <w:color w:val="FFFFFF" w:themeColor="background1"/>
                <w:sz w:val="18"/>
                <w:szCs w:val="18"/>
              </w:rPr>
              <w:t>value</w:t>
            </w:r>
            <w:r w:rsidRPr="0045255E">
              <w:rPr>
                <w:color w:val="FFFFFF" w:themeColor="background1"/>
                <w:sz w:val="18"/>
                <w:szCs w:val="18"/>
                <w:vertAlign w:val="superscript"/>
              </w:rPr>
              <w:t>a</w:t>
            </w:r>
            <w:proofErr w:type="spellEnd"/>
          </w:p>
        </w:tc>
      </w:tr>
      <w:tr w:rsidR="00711C94" w:rsidRPr="0045255E" w14:paraId="4250A178" w14:textId="77777777" w:rsidTr="0000024F">
        <w:tblPrEx>
          <w:tblCellMar>
            <w:top w:w="57" w:type="dxa"/>
            <w:bottom w:w="57" w:type="dxa"/>
          </w:tblCellMar>
        </w:tblPrEx>
        <w:tc>
          <w:tcPr>
            <w:tcW w:w="3261" w:type="dxa"/>
            <w:shd w:val="clear" w:color="auto" w:fill="BBA991"/>
            <w:hideMark/>
          </w:tcPr>
          <w:p w14:paraId="1D11594D" w14:textId="77777777" w:rsidR="00711C94" w:rsidRPr="0045255E" w:rsidRDefault="00711C94" w:rsidP="00271AB5">
            <w:pPr>
              <w:pStyle w:val="NormalWeb"/>
              <w:rPr>
                <w:b/>
                <w:bCs/>
                <w:sz w:val="18"/>
                <w:szCs w:val="18"/>
              </w:rPr>
            </w:pPr>
            <w:r w:rsidRPr="0045255E">
              <w:rPr>
                <w:b/>
                <w:bCs/>
                <w:sz w:val="18"/>
                <w:szCs w:val="18"/>
              </w:rPr>
              <w:t>Age, years</w:t>
            </w:r>
          </w:p>
        </w:tc>
        <w:tc>
          <w:tcPr>
            <w:tcW w:w="2268" w:type="dxa"/>
            <w:shd w:val="clear" w:color="auto" w:fill="BBA991"/>
            <w:hideMark/>
          </w:tcPr>
          <w:p w14:paraId="3D9B90CD" w14:textId="77777777" w:rsidR="00711C94" w:rsidRPr="0045255E" w:rsidRDefault="00711C94" w:rsidP="00271AB5">
            <w:pPr>
              <w:jc w:val="center"/>
              <w:rPr>
                <w:b/>
                <w:bCs/>
                <w:sz w:val="18"/>
                <w:szCs w:val="18"/>
              </w:rPr>
            </w:pPr>
          </w:p>
        </w:tc>
        <w:tc>
          <w:tcPr>
            <w:tcW w:w="1984" w:type="dxa"/>
            <w:shd w:val="clear" w:color="auto" w:fill="BBA991"/>
            <w:hideMark/>
          </w:tcPr>
          <w:p w14:paraId="140EDA4C"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18D95693"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64DB0B62" w14:textId="77777777" w:rsidR="00711C94" w:rsidRPr="0045255E" w:rsidRDefault="00711C94" w:rsidP="00271AB5">
            <w:pPr>
              <w:pStyle w:val="NormalWeb"/>
              <w:jc w:val="center"/>
              <w:rPr>
                <w:b/>
                <w:bCs/>
                <w:sz w:val="18"/>
                <w:szCs w:val="18"/>
              </w:rPr>
            </w:pPr>
            <w:r w:rsidRPr="0045255E">
              <w:rPr>
                <w:b/>
                <w:bCs/>
                <w:sz w:val="18"/>
                <w:szCs w:val="18"/>
              </w:rPr>
              <w:t>0.400</w:t>
            </w:r>
          </w:p>
        </w:tc>
      </w:tr>
      <w:tr w:rsidR="00711C94" w:rsidRPr="0045255E" w14:paraId="1853DEDF"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2A4F3D88" w14:textId="77777777" w:rsidR="00711C94" w:rsidRPr="0045255E" w:rsidRDefault="00711C94" w:rsidP="00271AB5">
            <w:pPr>
              <w:pStyle w:val="NormalWeb"/>
              <w:rPr>
                <w:sz w:val="18"/>
                <w:szCs w:val="18"/>
              </w:rPr>
            </w:pPr>
            <w:r w:rsidRPr="0045255E">
              <w:rPr>
                <w:rFonts w:hint="cs"/>
                <w:sz w:val="18"/>
                <w:szCs w:val="18"/>
              </w:rPr>
              <w:t>Median (</w:t>
            </w:r>
            <w:r w:rsidRPr="0045255E">
              <w:rPr>
                <w:sz w:val="18"/>
                <w:szCs w:val="18"/>
              </w:rPr>
              <w:t>range)</w:t>
            </w:r>
          </w:p>
        </w:tc>
        <w:tc>
          <w:tcPr>
            <w:tcW w:w="2268" w:type="dxa"/>
            <w:hideMark/>
          </w:tcPr>
          <w:p w14:paraId="3CF84214" w14:textId="77777777" w:rsidR="00711C94" w:rsidRPr="0045255E" w:rsidRDefault="00711C94" w:rsidP="00271AB5">
            <w:pPr>
              <w:pStyle w:val="NormalWeb"/>
              <w:jc w:val="center"/>
              <w:rPr>
                <w:sz w:val="18"/>
                <w:szCs w:val="18"/>
              </w:rPr>
            </w:pPr>
            <w:r w:rsidRPr="0045255E">
              <w:rPr>
                <w:sz w:val="18"/>
                <w:szCs w:val="18"/>
              </w:rPr>
              <w:t>37 (28–49)</w:t>
            </w:r>
          </w:p>
        </w:tc>
        <w:tc>
          <w:tcPr>
            <w:tcW w:w="1984" w:type="dxa"/>
            <w:hideMark/>
          </w:tcPr>
          <w:p w14:paraId="1B0BD189" w14:textId="77777777" w:rsidR="00711C94" w:rsidRPr="0045255E" w:rsidRDefault="00711C94" w:rsidP="00271AB5">
            <w:pPr>
              <w:pStyle w:val="NormalWeb"/>
              <w:jc w:val="center"/>
              <w:rPr>
                <w:sz w:val="18"/>
                <w:szCs w:val="18"/>
              </w:rPr>
            </w:pPr>
            <w:r w:rsidRPr="0045255E">
              <w:rPr>
                <w:sz w:val="18"/>
                <w:szCs w:val="18"/>
              </w:rPr>
              <w:t>37 (27–60)</w:t>
            </w:r>
          </w:p>
        </w:tc>
        <w:tc>
          <w:tcPr>
            <w:tcW w:w="1701" w:type="dxa"/>
            <w:hideMark/>
          </w:tcPr>
          <w:p w14:paraId="2F722733" w14:textId="77777777" w:rsidR="00711C94" w:rsidRPr="0045255E" w:rsidRDefault="00711C94" w:rsidP="00271AB5">
            <w:pPr>
              <w:pStyle w:val="NormalWeb"/>
              <w:jc w:val="center"/>
              <w:rPr>
                <w:sz w:val="18"/>
                <w:szCs w:val="18"/>
              </w:rPr>
            </w:pPr>
            <w:r w:rsidRPr="0045255E">
              <w:rPr>
                <w:sz w:val="18"/>
                <w:szCs w:val="18"/>
              </w:rPr>
              <w:t>37 (27–60)</w:t>
            </w:r>
          </w:p>
        </w:tc>
        <w:tc>
          <w:tcPr>
            <w:tcW w:w="1252" w:type="dxa"/>
            <w:hideMark/>
          </w:tcPr>
          <w:p w14:paraId="49568C5E" w14:textId="77777777" w:rsidR="00711C94" w:rsidRPr="0045255E" w:rsidRDefault="00711C94" w:rsidP="00271AB5">
            <w:pPr>
              <w:jc w:val="center"/>
              <w:rPr>
                <w:sz w:val="18"/>
                <w:szCs w:val="18"/>
              </w:rPr>
            </w:pPr>
          </w:p>
        </w:tc>
      </w:tr>
      <w:tr w:rsidR="00711C94" w:rsidRPr="0045255E" w14:paraId="609DAB06" w14:textId="77777777" w:rsidTr="0000024F">
        <w:tblPrEx>
          <w:tblCellMar>
            <w:top w:w="57" w:type="dxa"/>
            <w:bottom w:w="57" w:type="dxa"/>
          </w:tblCellMar>
        </w:tblPrEx>
        <w:tc>
          <w:tcPr>
            <w:tcW w:w="3261" w:type="dxa"/>
            <w:shd w:val="clear" w:color="auto" w:fill="BBA991"/>
            <w:hideMark/>
          </w:tcPr>
          <w:p w14:paraId="6499D9FD" w14:textId="77777777" w:rsidR="00711C94" w:rsidRPr="0045255E" w:rsidRDefault="00711C94" w:rsidP="00271AB5">
            <w:pPr>
              <w:pStyle w:val="NormalWeb"/>
              <w:rPr>
                <w:b/>
                <w:bCs/>
                <w:sz w:val="18"/>
                <w:szCs w:val="18"/>
              </w:rPr>
            </w:pPr>
            <w:r w:rsidRPr="0045255E">
              <w:rPr>
                <w:b/>
                <w:bCs/>
                <w:sz w:val="18"/>
                <w:szCs w:val="18"/>
              </w:rPr>
              <w:t>Vaccination status</w:t>
            </w:r>
          </w:p>
        </w:tc>
        <w:tc>
          <w:tcPr>
            <w:tcW w:w="2268" w:type="dxa"/>
            <w:shd w:val="clear" w:color="auto" w:fill="BBA991"/>
            <w:hideMark/>
          </w:tcPr>
          <w:p w14:paraId="7D4CBBF6" w14:textId="77777777" w:rsidR="00711C94" w:rsidRPr="0045255E" w:rsidRDefault="00711C94" w:rsidP="00271AB5">
            <w:pPr>
              <w:jc w:val="center"/>
              <w:rPr>
                <w:b/>
                <w:bCs/>
                <w:sz w:val="18"/>
                <w:szCs w:val="18"/>
              </w:rPr>
            </w:pPr>
          </w:p>
        </w:tc>
        <w:tc>
          <w:tcPr>
            <w:tcW w:w="1984" w:type="dxa"/>
            <w:shd w:val="clear" w:color="auto" w:fill="BBA991"/>
            <w:hideMark/>
          </w:tcPr>
          <w:p w14:paraId="03D3D2A5"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7044A43C"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145D76A7" w14:textId="77777777" w:rsidR="00711C94" w:rsidRPr="0045255E" w:rsidRDefault="00711C94" w:rsidP="00271AB5">
            <w:pPr>
              <w:pStyle w:val="NormalWeb"/>
              <w:jc w:val="center"/>
              <w:rPr>
                <w:b/>
                <w:bCs/>
                <w:sz w:val="18"/>
                <w:szCs w:val="18"/>
              </w:rPr>
            </w:pPr>
            <w:r w:rsidRPr="0045255E">
              <w:rPr>
                <w:b/>
                <w:bCs/>
                <w:sz w:val="18"/>
                <w:szCs w:val="18"/>
              </w:rPr>
              <w:t>0.236</w:t>
            </w:r>
          </w:p>
        </w:tc>
      </w:tr>
      <w:tr w:rsidR="00711C94" w:rsidRPr="0045255E" w14:paraId="567B1AEE"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1BB6F487" w14:textId="77777777" w:rsidR="00711C94" w:rsidRPr="0045255E" w:rsidRDefault="00711C94" w:rsidP="00271AB5">
            <w:pPr>
              <w:pStyle w:val="NormalWeb"/>
              <w:rPr>
                <w:sz w:val="18"/>
                <w:szCs w:val="18"/>
              </w:rPr>
            </w:pPr>
            <w:r w:rsidRPr="0045255E">
              <w:rPr>
                <w:sz w:val="18"/>
                <w:szCs w:val="18"/>
              </w:rPr>
              <w:t>Complete</w:t>
            </w:r>
          </w:p>
        </w:tc>
        <w:tc>
          <w:tcPr>
            <w:tcW w:w="2268" w:type="dxa"/>
            <w:hideMark/>
          </w:tcPr>
          <w:p w14:paraId="54CF8F5F" w14:textId="77777777" w:rsidR="00711C94" w:rsidRPr="0045255E" w:rsidRDefault="00711C94" w:rsidP="00271AB5">
            <w:pPr>
              <w:pStyle w:val="NormalWeb"/>
              <w:jc w:val="center"/>
              <w:rPr>
                <w:sz w:val="18"/>
                <w:szCs w:val="18"/>
              </w:rPr>
            </w:pPr>
            <w:r w:rsidRPr="0045255E">
              <w:rPr>
                <w:sz w:val="18"/>
                <w:szCs w:val="18"/>
              </w:rPr>
              <w:t>10 (83.3%)</w:t>
            </w:r>
          </w:p>
        </w:tc>
        <w:tc>
          <w:tcPr>
            <w:tcW w:w="1984" w:type="dxa"/>
            <w:hideMark/>
          </w:tcPr>
          <w:p w14:paraId="39BC0F6C" w14:textId="77777777" w:rsidR="00711C94" w:rsidRPr="0045255E" w:rsidRDefault="00711C94" w:rsidP="00271AB5">
            <w:pPr>
              <w:pStyle w:val="NormalWeb"/>
              <w:jc w:val="center"/>
              <w:rPr>
                <w:sz w:val="18"/>
                <w:szCs w:val="18"/>
              </w:rPr>
            </w:pPr>
            <w:r w:rsidRPr="0045255E">
              <w:rPr>
                <w:sz w:val="18"/>
                <w:szCs w:val="18"/>
              </w:rPr>
              <w:t>8 (57.1%)</w:t>
            </w:r>
          </w:p>
        </w:tc>
        <w:tc>
          <w:tcPr>
            <w:tcW w:w="1701" w:type="dxa"/>
            <w:hideMark/>
          </w:tcPr>
          <w:p w14:paraId="7EA868E3" w14:textId="77777777" w:rsidR="00711C94" w:rsidRPr="0045255E" w:rsidRDefault="00711C94" w:rsidP="00271AB5">
            <w:pPr>
              <w:pStyle w:val="NormalWeb"/>
              <w:jc w:val="center"/>
              <w:rPr>
                <w:sz w:val="18"/>
                <w:szCs w:val="18"/>
              </w:rPr>
            </w:pPr>
            <w:r w:rsidRPr="0045255E">
              <w:rPr>
                <w:sz w:val="18"/>
                <w:szCs w:val="18"/>
              </w:rPr>
              <w:t>18 (69.2%)</w:t>
            </w:r>
          </w:p>
        </w:tc>
        <w:tc>
          <w:tcPr>
            <w:tcW w:w="1252" w:type="dxa"/>
            <w:hideMark/>
          </w:tcPr>
          <w:p w14:paraId="1DCCD7AF" w14:textId="77777777" w:rsidR="00711C94" w:rsidRPr="0045255E" w:rsidRDefault="00711C94" w:rsidP="00271AB5">
            <w:pPr>
              <w:jc w:val="center"/>
              <w:rPr>
                <w:sz w:val="18"/>
                <w:szCs w:val="18"/>
              </w:rPr>
            </w:pPr>
          </w:p>
        </w:tc>
      </w:tr>
      <w:tr w:rsidR="00711C94" w:rsidRPr="0045255E" w14:paraId="478F8870" w14:textId="77777777" w:rsidTr="0045255E">
        <w:tblPrEx>
          <w:tblCellMar>
            <w:top w:w="57" w:type="dxa"/>
            <w:bottom w:w="57" w:type="dxa"/>
          </w:tblCellMar>
        </w:tblPrEx>
        <w:tc>
          <w:tcPr>
            <w:tcW w:w="3261" w:type="dxa"/>
            <w:hideMark/>
          </w:tcPr>
          <w:p w14:paraId="4BC50BCE" w14:textId="77777777" w:rsidR="00711C94" w:rsidRPr="0045255E" w:rsidRDefault="00711C94" w:rsidP="00271AB5">
            <w:pPr>
              <w:pStyle w:val="NormalWeb"/>
              <w:rPr>
                <w:sz w:val="18"/>
                <w:szCs w:val="18"/>
              </w:rPr>
            </w:pPr>
            <w:r w:rsidRPr="0045255E">
              <w:rPr>
                <w:sz w:val="18"/>
                <w:szCs w:val="18"/>
              </w:rPr>
              <w:t>Incomplete</w:t>
            </w:r>
          </w:p>
        </w:tc>
        <w:tc>
          <w:tcPr>
            <w:tcW w:w="2268" w:type="dxa"/>
            <w:hideMark/>
          </w:tcPr>
          <w:p w14:paraId="6162B487" w14:textId="77777777" w:rsidR="00711C94" w:rsidRPr="0045255E" w:rsidRDefault="00711C94" w:rsidP="00271AB5">
            <w:pPr>
              <w:pStyle w:val="NormalWeb"/>
              <w:jc w:val="center"/>
              <w:rPr>
                <w:sz w:val="18"/>
                <w:szCs w:val="18"/>
              </w:rPr>
            </w:pPr>
            <w:r w:rsidRPr="0045255E">
              <w:rPr>
                <w:sz w:val="18"/>
                <w:szCs w:val="18"/>
              </w:rPr>
              <w:t>2 (16.7%)</w:t>
            </w:r>
          </w:p>
        </w:tc>
        <w:tc>
          <w:tcPr>
            <w:tcW w:w="1984" w:type="dxa"/>
            <w:hideMark/>
          </w:tcPr>
          <w:p w14:paraId="22B47EF4" w14:textId="77777777" w:rsidR="00711C94" w:rsidRPr="0045255E" w:rsidRDefault="00711C94" w:rsidP="00271AB5">
            <w:pPr>
              <w:pStyle w:val="NormalWeb"/>
              <w:jc w:val="center"/>
              <w:rPr>
                <w:sz w:val="18"/>
                <w:szCs w:val="18"/>
              </w:rPr>
            </w:pPr>
            <w:r w:rsidRPr="0045255E">
              <w:rPr>
                <w:sz w:val="18"/>
                <w:szCs w:val="18"/>
              </w:rPr>
              <w:t>3 (21.4%)</w:t>
            </w:r>
          </w:p>
        </w:tc>
        <w:tc>
          <w:tcPr>
            <w:tcW w:w="1701" w:type="dxa"/>
            <w:hideMark/>
          </w:tcPr>
          <w:p w14:paraId="01771D4D" w14:textId="77777777" w:rsidR="00711C94" w:rsidRPr="0045255E" w:rsidRDefault="00711C94" w:rsidP="00271AB5">
            <w:pPr>
              <w:pStyle w:val="NormalWeb"/>
              <w:jc w:val="center"/>
              <w:rPr>
                <w:sz w:val="18"/>
                <w:szCs w:val="18"/>
              </w:rPr>
            </w:pPr>
            <w:r w:rsidRPr="0045255E">
              <w:rPr>
                <w:sz w:val="18"/>
                <w:szCs w:val="18"/>
              </w:rPr>
              <w:t>5 (19.2%)</w:t>
            </w:r>
          </w:p>
        </w:tc>
        <w:tc>
          <w:tcPr>
            <w:tcW w:w="1252" w:type="dxa"/>
            <w:hideMark/>
          </w:tcPr>
          <w:p w14:paraId="51ABD176" w14:textId="77777777" w:rsidR="00711C94" w:rsidRPr="0045255E" w:rsidRDefault="00711C94" w:rsidP="00271AB5">
            <w:pPr>
              <w:jc w:val="center"/>
              <w:rPr>
                <w:sz w:val="18"/>
                <w:szCs w:val="18"/>
              </w:rPr>
            </w:pPr>
          </w:p>
        </w:tc>
      </w:tr>
      <w:tr w:rsidR="00711C94" w:rsidRPr="0045255E" w14:paraId="012C83FD"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68721D8E" w14:textId="77777777" w:rsidR="00711C94" w:rsidRPr="0045255E" w:rsidRDefault="00711C94" w:rsidP="00271AB5">
            <w:pPr>
              <w:pStyle w:val="NormalWeb"/>
              <w:rPr>
                <w:sz w:val="18"/>
                <w:szCs w:val="18"/>
              </w:rPr>
            </w:pPr>
            <w:r w:rsidRPr="0045255E">
              <w:rPr>
                <w:sz w:val="18"/>
                <w:szCs w:val="18"/>
              </w:rPr>
              <w:t>Not vaccinated</w:t>
            </w:r>
          </w:p>
        </w:tc>
        <w:tc>
          <w:tcPr>
            <w:tcW w:w="2268" w:type="dxa"/>
            <w:hideMark/>
          </w:tcPr>
          <w:p w14:paraId="7CE4CDDD" w14:textId="77777777" w:rsidR="00711C94" w:rsidRPr="0045255E" w:rsidRDefault="00711C94" w:rsidP="00271AB5">
            <w:pPr>
              <w:pStyle w:val="NormalWeb"/>
              <w:jc w:val="center"/>
              <w:rPr>
                <w:sz w:val="18"/>
                <w:szCs w:val="18"/>
              </w:rPr>
            </w:pPr>
            <w:r w:rsidRPr="0045255E">
              <w:rPr>
                <w:sz w:val="18"/>
                <w:szCs w:val="18"/>
              </w:rPr>
              <w:t>0 (0.0%)</w:t>
            </w:r>
          </w:p>
        </w:tc>
        <w:tc>
          <w:tcPr>
            <w:tcW w:w="1984" w:type="dxa"/>
            <w:hideMark/>
          </w:tcPr>
          <w:p w14:paraId="70BA8C19" w14:textId="77777777" w:rsidR="00711C94" w:rsidRPr="0045255E" w:rsidRDefault="00711C94" w:rsidP="00271AB5">
            <w:pPr>
              <w:pStyle w:val="NormalWeb"/>
              <w:jc w:val="center"/>
              <w:rPr>
                <w:sz w:val="18"/>
                <w:szCs w:val="18"/>
              </w:rPr>
            </w:pPr>
            <w:r w:rsidRPr="0045255E">
              <w:rPr>
                <w:sz w:val="18"/>
                <w:szCs w:val="18"/>
              </w:rPr>
              <w:t>3 (21.4%)</w:t>
            </w:r>
          </w:p>
        </w:tc>
        <w:tc>
          <w:tcPr>
            <w:tcW w:w="1701" w:type="dxa"/>
            <w:hideMark/>
          </w:tcPr>
          <w:p w14:paraId="3F9D7BD1" w14:textId="77777777" w:rsidR="00711C94" w:rsidRPr="0045255E" w:rsidRDefault="00711C94" w:rsidP="00271AB5">
            <w:pPr>
              <w:pStyle w:val="NormalWeb"/>
              <w:jc w:val="center"/>
              <w:rPr>
                <w:sz w:val="18"/>
                <w:szCs w:val="18"/>
              </w:rPr>
            </w:pPr>
            <w:r w:rsidRPr="0045255E">
              <w:rPr>
                <w:sz w:val="18"/>
                <w:szCs w:val="18"/>
              </w:rPr>
              <w:t>3 (11.5%)</w:t>
            </w:r>
          </w:p>
        </w:tc>
        <w:tc>
          <w:tcPr>
            <w:tcW w:w="1252" w:type="dxa"/>
            <w:hideMark/>
          </w:tcPr>
          <w:p w14:paraId="17A3C796" w14:textId="77777777" w:rsidR="00711C94" w:rsidRPr="0045255E" w:rsidRDefault="00711C94" w:rsidP="00271AB5">
            <w:pPr>
              <w:jc w:val="center"/>
              <w:rPr>
                <w:sz w:val="18"/>
                <w:szCs w:val="18"/>
              </w:rPr>
            </w:pPr>
          </w:p>
        </w:tc>
      </w:tr>
      <w:tr w:rsidR="00711C94" w:rsidRPr="0045255E" w14:paraId="4EE9CEA8" w14:textId="77777777" w:rsidTr="0000024F">
        <w:tblPrEx>
          <w:tblCellMar>
            <w:top w:w="57" w:type="dxa"/>
            <w:bottom w:w="57" w:type="dxa"/>
          </w:tblCellMar>
        </w:tblPrEx>
        <w:tc>
          <w:tcPr>
            <w:tcW w:w="3261" w:type="dxa"/>
            <w:shd w:val="clear" w:color="auto" w:fill="BBA991"/>
            <w:hideMark/>
          </w:tcPr>
          <w:p w14:paraId="23D020C2" w14:textId="77777777" w:rsidR="00711C94" w:rsidRPr="0045255E" w:rsidRDefault="00711C94" w:rsidP="00271AB5">
            <w:pPr>
              <w:pStyle w:val="NormalWeb"/>
              <w:rPr>
                <w:b/>
                <w:bCs/>
                <w:sz w:val="18"/>
                <w:szCs w:val="18"/>
              </w:rPr>
            </w:pPr>
            <w:r w:rsidRPr="0045255E">
              <w:rPr>
                <w:b/>
                <w:bCs/>
                <w:sz w:val="18"/>
                <w:szCs w:val="18"/>
              </w:rPr>
              <w:t>Vaccine brand</w:t>
            </w:r>
          </w:p>
        </w:tc>
        <w:tc>
          <w:tcPr>
            <w:tcW w:w="2268" w:type="dxa"/>
            <w:shd w:val="clear" w:color="auto" w:fill="BBA991"/>
            <w:hideMark/>
          </w:tcPr>
          <w:p w14:paraId="02856D86" w14:textId="77777777" w:rsidR="00711C94" w:rsidRPr="0045255E" w:rsidRDefault="00711C94" w:rsidP="00271AB5">
            <w:pPr>
              <w:jc w:val="center"/>
              <w:rPr>
                <w:b/>
                <w:bCs/>
                <w:sz w:val="18"/>
                <w:szCs w:val="18"/>
              </w:rPr>
            </w:pPr>
          </w:p>
        </w:tc>
        <w:tc>
          <w:tcPr>
            <w:tcW w:w="1984" w:type="dxa"/>
            <w:shd w:val="clear" w:color="auto" w:fill="BBA991"/>
            <w:hideMark/>
          </w:tcPr>
          <w:p w14:paraId="53C771C0"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2563C090"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7EDF1306" w14:textId="77777777" w:rsidR="00711C94" w:rsidRPr="0045255E" w:rsidRDefault="00711C94" w:rsidP="00271AB5">
            <w:pPr>
              <w:pStyle w:val="NormalWeb"/>
              <w:jc w:val="center"/>
              <w:rPr>
                <w:b/>
                <w:bCs/>
                <w:sz w:val="18"/>
                <w:szCs w:val="18"/>
              </w:rPr>
            </w:pPr>
            <w:r w:rsidRPr="0045255E">
              <w:rPr>
                <w:b/>
                <w:bCs/>
                <w:sz w:val="18"/>
                <w:szCs w:val="18"/>
              </w:rPr>
              <w:t>0.411</w:t>
            </w:r>
          </w:p>
        </w:tc>
      </w:tr>
      <w:tr w:rsidR="00711C94" w:rsidRPr="0045255E" w14:paraId="566B19D9"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7AA9D812" w14:textId="77777777" w:rsidR="00711C94" w:rsidRPr="0045255E" w:rsidRDefault="00711C94" w:rsidP="00271AB5">
            <w:pPr>
              <w:pStyle w:val="NormalWeb"/>
              <w:rPr>
                <w:sz w:val="18"/>
                <w:szCs w:val="18"/>
              </w:rPr>
            </w:pPr>
            <w:r w:rsidRPr="0045255E">
              <w:rPr>
                <w:sz w:val="18"/>
                <w:szCs w:val="18"/>
              </w:rPr>
              <w:t>AstraZeneca</w:t>
            </w:r>
          </w:p>
        </w:tc>
        <w:tc>
          <w:tcPr>
            <w:tcW w:w="2268" w:type="dxa"/>
            <w:hideMark/>
          </w:tcPr>
          <w:p w14:paraId="60D330F5" w14:textId="77777777" w:rsidR="00711C94" w:rsidRPr="0045255E" w:rsidRDefault="00711C94" w:rsidP="00271AB5">
            <w:pPr>
              <w:pStyle w:val="NormalWeb"/>
              <w:jc w:val="center"/>
              <w:rPr>
                <w:sz w:val="18"/>
                <w:szCs w:val="18"/>
              </w:rPr>
            </w:pPr>
            <w:r w:rsidRPr="0045255E">
              <w:rPr>
                <w:sz w:val="18"/>
                <w:szCs w:val="18"/>
              </w:rPr>
              <w:t>1 (8.3%)</w:t>
            </w:r>
          </w:p>
        </w:tc>
        <w:tc>
          <w:tcPr>
            <w:tcW w:w="1984" w:type="dxa"/>
            <w:hideMark/>
          </w:tcPr>
          <w:p w14:paraId="210A221D" w14:textId="77777777" w:rsidR="00711C94" w:rsidRPr="0045255E" w:rsidRDefault="00711C94" w:rsidP="00271AB5">
            <w:pPr>
              <w:pStyle w:val="NormalWeb"/>
              <w:jc w:val="center"/>
              <w:rPr>
                <w:sz w:val="18"/>
                <w:szCs w:val="18"/>
              </w:rPr>
            </w:pPr>
            <w:r w:rsidRPr="0045255E">
              <w:rPr>
                <w:sz w:val="18"/>
                <w:szCs w:val="18"/>
              </w:rPr>
              <w:t>2 (14.3%)</w:t>
            </w:r>
          </w:p>
        </w:tc>
        <w:tc>
          <w:tcPr>
            <w:tcW w:w="1701" w:type="dxa"/>
            <w:hideMark/>
          </w:tcPr>
          <w:p w14:paraId="1CCB76B9" w14:textId="77777777" w:rsidR="00711C94" w:rsidRPr="0045255E" w:rsidRDefault="00711C94" w:rsidP="00271AB5">
            <w:pPr>
              <w:pStyle w:val="NormalWeb"/>
              <w:jc w:val="center"/>
              <w:rPr>
                <w:sz w:val="18"/>
                <w:szCs w:val="18"/>
              </w:rPr>
            </w:pPr>
            <w:r w:rsidRPr="0045255E">
              <w:rPr>
                <w:sz w:val="18"/>
                <w:szCs w:val="18"/>
              </w:rPr>
              <w:t>3 (11.5%)</w:t>
            </w:r>
          </w:p>
        </w:tc>
        <w:tc>
          <w:tcPr>
            <w:tcW w:w="1252" w:type="dxa"/>
            <w:hideMark/>
          </w:tcPr>
          <w:p w14:paraId="449655EC" w14:textId="77777777" w:rsidR="00711C94" w:rsidRPr="0045255E" w:rsidRDefault="00711C94" w:rsidP="00271AB5">
            <w:pPr>
              <w:jc w:val="center"/>
              <w:rPr>
                <w:sz w:val="18"/>
                <w:szCs w:val="18"/>
              </w:rPr>
            </w:pPr>
          </w:p>
        </w:tc>
      </w:tr>
      <w:tr w:rsidR="00711C94" w:rsidRPr="0045255E" w14:paraId="34FFA13A" w14:textId="77777777" w:rsidTr="0045255E">
        <w:tblPrEx>
          <w:tblCellMar>
            <w:top w:w="57" w:type="dxa"/>
            <w:bottom w:w="57" w:type="dxa"/>
          </w:tblCellMar>
        </w:tblPrEx>
        <w:tc>
          <w:tcPr>
            <w:tcW w:w="3261" w:type="dxa"/>
            <w:hideMark/>
          </w:tcPr>
          <w:p w14:paraId="65CB6EE0" w14:textId="77777777" w:rsidR="00711C94" w:rsidRPr="0045255E" w:rsidRDefault="00711C94" w:rsidP="00271AB5">
            <w:pPr>
              <w:pStyle w:val="NormalWeb"/>
              <w:rPr>
                <w:sz w:val="18"/>
                <w:szCs w:val="18"/>
              </w:rPr>
            </w:pPr>
            <w:r w:rsidRPr="0045255E">
              <w:rPr>
                <w:sz w:val="18"/>
                <w:szCs w:val="18"/>
              </w:rPr>
              <w:t>Johnson</w:t>
            </w:r>
          </w:p>
        </w:tc>
        <w:tc>
          <w:tcPr>
            <w:tcW w:w="2268" w:type="dxa"/>
            <w:hideMark/>
          </w:tcPr>
          <w:p w14:paraId="4869676F" w14:textId="77777777" w:rsidR="00711C94" w:rsidRPr="0045255E" w:rsidRDefault="00711C94" w:rsidP="00271AB5">
            <w:pPr>
              <w:pStyle w:val="NormalWeb"/>
              <w:jc w:val="center"/>
              <w:rPr>
                <w:sz w:val="18"/>
                <w:szCs w:val="18"/>
              </w:rPr>
            </w:pPr>
            <w:r w:rsidRPr="0045255E">
              <w:rPr>
                <w:sz w:val="18"/>
                <w:szCs w:val="18"/>
              </w:rPr>
              <w:t>9 (75.0%)</w:t>
            </w:r>
          </w:p>
        </w:tc>
        <w:tc>
          <w:tcPr>
            <w:tcW w:w="1984" w:type="dxa"/>
            <w:hideMark/>
          </w:tcPr>
          <w:p w14:paraId="0EB1E1EC" w14:textId="77777777" w:rsidR="00711C94" w:rsidRPr="0045255E" w:rsidRDefault="00711C94" w:rsidP="00271AB5">
            <w:pPr>
              <w:pStyle w:val="NormalWeb"/>
              <w:jc w:val="center"/>
              <w:rPr>
                <w:sz w:val="18"/>
                <w:szCs w:val="18"/>
              </w:rPr>
            </w:pPr>
            <w:r w:rsidRPr="0045255E">
              <w:rPr>
                <w:sz w:val="18"/>
                <w:szCs w:val="18"/>
              </w:rPr>
              <w:t>7 (50.0%)</w:t>
            </w:r>
          </w:p>
        </w:tc>
        <w:tc>
          <w:tcPr>
            <w:tcW w:w="1701" w:type="dxa"/>
            <w:hideMark/>
          </w:tcPr>
          <w:p w14:paraId="5934D0FB" w14:textId="77777777" w:rsidR="00711C94" w:rsidRPr="0045255E" w:rsidRDefault="00711C94" w:rsidP="00271AB5">
            <w:pPr>
              <w:pStyle w:val="NormalWeb"/>
              <w:jc w:val="center"/>
              <w:rPr>
                <w:sz w:val="18"/>
                <w:szCs w:val="18"/>
              </w:rPr>
            </w:pPr>
            <w:r w:rsidRPr="0045255E">
              <w:rPr>
                <w:sz w:val="18"/>
                <w:szCs w:val="18"/>
              </w:rPr>
              <w:t>16 (61.5%)</w:t>
            </w:r>
          </w:p>
        </w:tc>
        <w:tc>
          <w:tcPr>
            <w:tcW w:w="1252" w:type="dxa"/>
            <w:hideMark/>
          </w:tcPr>
          <w:p w14:paraId="5A421A81" w14:textId="77777777" w:rsidR="00711C94" w:rsidRPr="0045255E" w:rsidRDefault="00711C94" w:rsidP="00271AB5">
            <w:pPr>
              <w:jc w:val="center"/>
              <w:rPr>
                <w:sz w:val="18"/>
                <w:szCs w:val="18"/>
              </w:rPr>
            </w:pPr>
          </w:p>
        </w:tc>
      </w:tr>
      <w:tr w:rsidR="00711C94" w:rsidRPr="0045255E" w14:paraId="56713AE7"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4DD90A28" w14:textId="77777777" w:rsidR="00711C94" w:rsidRPr="0045255E" w:rsidRDefault="00711C94" w:rsidP="00271AB5">
            <w:pPr>
              <w:pStyle w:val="NormalWeb"/>
              <w:rPr>
                <w:sz w:val="18"/>
                <w:szCs w:val="18"/>
              </w:rPr>
            </w:pPr>
            <w:r w:rsidRPr="0045255E">
              <w:rPr>
                <w:sz w:val="18"/>
                <w:szCs w:val="18"/>
              </w:rPr>
              <w:t>Pfizer</w:t>
            </w:r>
          </w:p>
        </w:tc>
        <w:tc>
          <w:tcPr>
            <w:tcW w:w="2268" w:type="dxa"/>
            <w:hideMark/>
          </w:tcPr>
          <w:p w14:paraId="1A678370" w14:textId="77777777" w:rsidR="00711C94" w:rsidRPr="0045255E" w:rsidRDefault="00711C94" w:rsidP="00271AB5">
            <w:pPr>
              <w:pStyle w:val="NormalWeb"/>
              <w:jc w:val="center"/>
              <w:rPr>
                <w:sz w:val="18"/>
                <w:szCs w:val="18"/>
              </w:rPr>
            </w:pPr>
            <w:r w:rsidRPr="0045255E">
              <w:rPr>
                <w:sz w:val="18"/>
                <w:szCs w:val="18"/>
              </w:rPr>
              <w:t>2 (16.7%)</w:t>
            </w:r>
          </w:p>
        </w:tc>
        <w:tc>
          <w:tcPr>
            <w:tcW w:w="1984" w:type="dxa"/>
            <w:hideMark/>
          </w:tcPr>
          <w:p w14:paraId="102A308A" w14:textId="77777777" w:rsidR="00711C94" w:rsidRPr="0045255E" w:rsidRDefault="00711C94" w:rsidP="00271AB5">
            <w:pPr>
              <w:pStyle w:val="NormalWeb"/>
              <w:jc w:val="center"/>
              <w:rPr>
                <w:sz w:val="18"/>
                <w:szCs w:val="18"/>
              </w:rPr>
            </w:pPr>
            <w:r w:rsidRPr="0045255E">
              <w:rPr>
                <w:sz w:val="18"/>
                <w:szCs w:val="18"/>
              </w:rPr>
              <w:t>1 (7.1%)</w:t>
            </w:r>
          </w:p>
        </w:tc>
        <w:tc>
          <w:tcPr>
            <w:tcW w:w="1701" w:type="dxa"/>
            <w:hideMark/>
          </w:tcPr>
          <w:p w14:paraId="3D94D13C" w14:textId="77777777" w:rsidR="00711C94" w:rsidRPr="0045255E" w:rsidRDefault="00711C94" w:rsidP="00271AB5">
            <w:pPr>
              <w:pStyle w:val="NormalWeb"/>
              <w:jc w:val="center"/>
              <w:rPr>
                <w:sz w:val="18"/>
                <w:szCs w:val="18"/>
              </w:rPr>
            </w:pPr>
            <w:r w:rsidRPr="0045255E">
              <w:rPr>
                <w:sz w:val="18"/>
                <w:szCs w:val="18"/>
              </w:rPr>
              <w:t>3 (11.5%)</w:t>
            </w:r>
          </w:p>
        </w:tc>
        <w:tc>
          <w:tcPr>
            <w:tcW w:w="1252" w:type="dxa"/>
            <w:hideMark/>
          </w:tcPr>
          <w:p w14:paraId="112BBFFE" w14:textId="77777777" w:rsidR="00711C94" w:rsidRPr="0045255E" w:rsidRDefault="00711C94" w:rsidP="00271AB5">
            <w:pPr>
              <w:jc w:val="center"/>
              <w:rPr>
                <w:sz w:val="18"/>
                <w:szCs w:val="18"/>
              </w:rPr>
            </w:pPr>
          </w:p>
        </w:tc>
      </w:tr>
      <w:tr w:rsidR="00711C94" w:rsidRPr="0045255E" w14:paraId="02E9BA8C" w14:textId="77777777" w:rsidTr="0045255E">
        <w:tblPrEx>
          <w:tblCellMar>
            <w:top w:w="57" w:type="dxa"/>
            <w:bottom w:w="57" w:type="dxa"/>
          </w:tblCellMar>
        </w:tblPrEx>
        <w:tc>
          <w:tcPr>
            <w:tcW w:w="3261" w:type="dxa"/>
            <w:hideMark/>
          </w:tcPr>
          <w:p w14:paraId="50EDA2A2" w14:textId="77777777" w:rsidR="00711C94" w:rsidRPr="0045255E" w:rsidRDefault="00711C94" w:rsidP="00271AB5">
            <w:pPr>
              <w:pStyle w:val="NormalWeb"/>
              <w:rPr>
                <w:sz w:val="18"/>
                <w:szCs w:val="18"/>
              </w:rPr>
            </w:pPr>
            <w:proofErr w:type="spellStart"/>
            <w:r w:rsidRPr="0045255E">
              <w:rPr>
                <w:sz w:val="18"/>
                <w:szCs w:val="18"/>
              </w:rPr>
              <w:t>Sinovac</w:t>
            </w:r>
            <w:proofErr w:type="spellEnd"/>
          </w:p>
        </w:tc>
        <w:tc>
          <w:tcPr>
            <w:tcW w:w="2268" w:type="dxa"/>
            <w:hideMark/>
          </w:tcPr>
          <w:p w14:paraId="4784FE36" w14:textId="77777777" w:rsidR="00711C94" w:rsidRPr="0045255E" w:rsidRDefault="00711C94" w:rsidP="00271AB5">
            <w:pPr>
              <w:pStyle w:val="NormalWeb"/>
              <w:jc w:val="center"/>
              <w:rPr>
                <w:sz w:val="18"/>
                <w:szCs w:val="18"/>
              </w:rPr>
            </w:pPr>
            <w:r w:rsidRPr="0045255E">
              <w:rPr>
                <w:sz w:val="18"/>
                <w:szCs w:val="18"/>
              </w:rPr>
              <w:t>0 (0.0%)</w:t>
            </w:r>
          </w:p>
        </w:tc>
        <w:tc>
          <w:tcPr>
            <w:tcW w:w="1984" w:type="dxa"/>
            <w:hideMark/>
          </w:tcPr>
          <w:p w14:paraId="541943E5" w14:textId="77777777" w:rsidR="00711C94" w:rsidRPr="0045255E" w:rsidRDefault="00711C94" w:rsidP="00271AB5">
            <w:pPr>
              <w:pStyle w:val="NormalWeb"/>
              <w:jc w:val="center"/>
              <w:rPr>
                <w:sz w:val="18"/>
                <w:szCs w:val="18"/>
              </w:rPr>
            </w:pPr>
            <w:r w:rsidRPr="0045255E">
              <w:rPr>
                <w:sz w:val="18"/>
                <w:szCs w:val="18"/>
              </w:rPr>
              <w:t>1 (7.1%)</w:t>
            </w:r>
          </w:p>
        </w:tc>
        <w:tc>
          <w:tcPr>
            <w:tcW w:w="1701" w:type="dxa"/>
            <w:hideMark/>
          </w:tcPr>
          <w:p w14:paraId="684E7FB5" w14:textId="77777777" w:rsidR="00711C94" w:rsidRPr="0045255E" w:rsidRDefault="00711C94" w:rsidP="00271AB5">
            <w:pPr>
              <w:pStyle w:val="NormalWeb"/>
              <w:jc w:val="center"/>
              <w:rPr>
                <w:sz w:val="18"/>
                <w:szCs w:val="18"/>
              </w:rPr>
            </w:pPr>
            <w:r w:rsidRPr="0045255E">
              <w:rPr>
                <w:sz w:val="18"/>
                <w:szCs w:val="18"/>
              </w:rPr>
              <w:t>1 (3.8%)</w:t>
            </w:r>
          </w:p>
        </w:tc>
        <w:tc>
          <w:tcPr>
            <w:tcW w:w="1252" w:type="dxa"/>
            <w:hideMark/>
          </w:tcPr>
          <w:p w14:paraId="26862297" w14:textId="77777777" w:rsidR="00711C94" w:rsidRPr="0045255E" w:rsidRDefault="00711C94" w:rsidP="00271AB5">
            <w:pPr>
              <w:jc w:val="center"/>
              <w:rPr>
                <w:sz w:val="18"/>
                <w:szCs w:val="18"/>
              </w:rPr>
            </w:pPr>
          </w:p>
        </w:tc>
      </w:tr>
      <w:tr w:rsidR="00711C94" w:rsidRPr="0045255E" w14:paraId="732DA5F8"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5BA64F78" w14:textId="77777777" w:rsidR="00711C94" w:rsidRPr="0045255E" w:rsidRDefault="00711C94" w:rsidP="00271AB5">
            <w:pPr>
              <w:pStyle w:val="NormalWeb"/>
              <w:rPr>
                <w:sz w:val="18"/>
                <w:szCs w:val="18"/>
              </w:rPr>
            </w:pPr>
            <w:r w:rsidRPr="0045255E">
              <w:rPr>
                <w:sz w:val="18"/>
                <w:szCs w:val="18"/>
              </w:rPr>
              <w:t>Unvaccinated</w:t>
            </w:r>
          </w:p>
        </w:tc>
        <w:tc>
          <w:tcPr>
            <w:tcW w:w="2268" w:type="dxa"/>
            <w:hideMark/>
          </w:tcPr>
          <w:p w14:paraId="16439ACC" w14:textId="77777777" w:rsidR="00711C94" w:rsidRPr="0045255E" w:rsidRDefault="00711C94" w:rsidP="00271AB5">
            <w:pPr>
              <w:pStyle w:val="NormalWeb"/>
              <w:jc w:val="center"/>
              <w:rPr>
                <w:sz w:val="18"/>
                <w:szCs w:val="18"/>
              </w:rPr>
            </w:pPr>
            <w:r w:rsidRPr="0045255E">
              <w:rPr>
                <w:sz w:val="18"/>
                <w:szCs w:val="18"/>
              </w:rPr>
              <w:t>0 (0.0%)</w:t>
            </w:r>
          </w:p>
        </w:tc>
        <w:tc>
          <w:tcPr>
            <w:tcW w:w="1984" w:type="dxa"/>
            <w:hideMark/>
          </w:tcPr>
          <w:p w14:paraId="3A963351" w14:textId="77777777" w:rsidR="00711C94" w:rsidRPr="0045255E" w:rsidRDefault="00711C94" w:rsidP="00271AB5">
            <w:pPr>
              <w:pStyle w:val="NormalWeb"/>
              <w:jc w:val="center"/>
              <w:rPr>
                <w:sz w:val="18"/>
                <w:szCs w:val="18"/>
              </w:rPr>
            </w:pPr>
            <w:r w:rsidRPr="0045255E">
              <w:rPr>
                <w:sz w:val="18"/>
                <w:szCs w:val="18"/>
              </w:rPr>
              <w:t>3 (21.4%)</w:t>
            </w:r>
          </w:p>
        </w:tc>
        <w:tc>
          <w:tcPr>
            <w:tcW w:w="1701" w:type="dxa"/>
            <w:hideMark/>
          </w:tcPr>
          <w:p w14:paraId="2F3B6E89" w14:textId="77777777" w:rsidR="00711C94" w:rsidRPr="0045255E" w:rsidRDefault="00711C94" w:rsidP="00271AB5">
            <w:pPr>
              <w:pStyle w:val="NormalWeb"/>
              <w:jc w:val="center"/>
              <w:rPr>
                <w:sz w:val="18"/>
                <w:szCs w:val="18"/>
              </w:rPr>
            </w:pPr>
            <w:r w:rsidRPr="0045255E">
              <w:rPr>
                <w:sz w:val="18"/>
                <w:szCs w:val="18"/>
              </w:rPr>
              <w:t>3 (11.5%)</w:t>
            </w:r>
          </w:p>
        </w:tc>
        <w:tc>
          <w:tcPr>
            <w:tcW w:w="1252" w:type="dxa"/>
            <w:hideMark/>
          </w:tcPr>
          <w:p w14:paraId="160C5BE2" w14:textId="77777777" w:rsidR="00711C94" w:rsidRPr="0045255E" w:rsidRDefault="00711C94" w:rsidP="00271AB5">
            <w:pPr>
              <w:jc w:val="center"/>
              <w:rPr>
                <w:sz w:val="18"/>
                <w:szCs w:val="18"/>
              </w:rPr>
            </w:pPr>
          </w:p>
        </w:tc>
      </w:tr>
      <w:tr w:rsidR="00711C94" w:rsidRPr="0045255E" w14:paraId="05BE9082" w14:textId="77777777" w:rsidTr="0000024F">
        <w:tblPrEx>
          <w:tblCellMar>
            <w:top w:w="57" w:type="dxa"/>
            <w:bottom w:w="57" w:type="dxa"/>
          </w:tblCellMar>
        </w:tblPrEx>
        <w:tc>
          <w:tcPr>
            <w:tcW w:w="3261" w:type="dxa"/>
            <w:shd w:val="clear" w:color="auto" w:fill="BBA991"/>
            <w:hideMark/>
          </w:tcPr>
          <w:p w14:paraId="39451620" w14:textId="77777777" w:rsidR="00711C94" w:rsidRPr="0045255E" w:rsidRDefault="00711C94" w:rsidP="00271AB5">
            <w:pPr>
              <w:pStyle w:val="NormalWeb"/>
              <w:rPr>
                <w:b/>
                <w:bCs/>
                <w:sz w:val="18"/>
                <w:szCs w:val="18"/>
              </w:rPr>
            </w:pPr>
            <w:r w:rsidRPr="0045255E">
              <w:rPr>
                <w:b/>
                <w:bCs/>
                <w:sz w:val="18"/>
                <w:szCs w:val="18"/>
              </w:rPr>
              <w:t xml:space="preserve">Time since </w:t>
            </w:r>
            <w:proofErr w:type="spellStart"/>
            <w:r w:rsidRPr="0045255E">
              <w:rPr>
                <w:b/>
                <w:bCs/>
                <w:sz w:val="18"/>
                <w:szCs w:val="18"/>
              </w:rPr>
              <w:t>CC</w:t>
            </w:r>
            <w:r w:rsidRPr="0045255E">
              <w:rPr>
                <w:b/>
                <w:bCs/>
                <w:sz w:val="18"/>
                <w:szCs w:val="18"/>
                <w:vertAlign w:val="superscript"/>
              </w:rPr>
              <w:t>b</w:t>
            </w:r>
            <w:proofErr w:type="spellEnd"/>
          </w:p>
        </w:tc>
        <w:tc>
          <w:tcPr>
            <w:tcW w:w="2268" w:type="dxa"/>
            <w:shd w:val="clear" w:color="auto" w:fill="BBA991"/>
            <w:hideMark/>
          </w:tcPr>
          <w:p w14:paraId="2A6EAD5B" w14:textId="77777777" w:rsidR="00711C94" w:rsidRPr="0045255E" w:rsidRDefault="00711C94" w:rsidP="00271AB5">
            <w:pPr>
              <w:jc w:val="center"/>
              <w:rPr>
                <w:b/>
                <w:bCs/>
                <w:sz w:val="18"/>
                <w:szCs w:val="18"/>
              </w:rPr>
            </w:pPr>
          </w:p>
        </w:tc>
        <w:tc>
          <w:tcPr>
            <w:tcW w:w="1984" w:type="dxa"/>
            <w:shd w:val="clear" w:color="auto" w:fill="BBA991"/>
            <w:hideMark/>
          </w:tcPr>
          <w:p w14:paraId="72FD4CD4"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7A7959DF"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1C79BFC4" w14:textId="77777777" w:rsidR="00711C94" w:rsidRPr="0045255E" w:rsidRDefault="00711C94" w:rsidP="00271AB5">
            <w:pPr>
              <w:pStyle w:val="NormalWeb"/>
              <w:jc w:val="center"/>
              <w:rPr>
                <w:b/>
                <w:bCs/>
                <w:sz w:val="18"/>
                <w:szCs w:val="18"/>
              </w:rPr>
            </w:pPr>
            <w:r w:rsidRPr="0045255E">
              <w:rPr>
                <w:b/>
                <w:bCs/>
                <w:sz w:val="18"/>
                <w:szCs w:val="18"/>
              </w:rPr>
              <w:t>0.371</w:t>
            </w:r>
          </w:p>
        </w:tc>
      </w:tr>
      <w:tr w:rsidR="00711C94" w:rsidRPr="0045255E" w14:paraId="68C104BD"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7ABA7795" w14:textId="77777777" w:rsidR="00711C94" w:rsidRPr="0045255E" w:rsidRDefault="00711C94" w:rsidP="00271AB5">
            <w:pPr>
              <w:pStyle w:val="NormalWeb"/>
              <w:rPr>
                <w:sz w:val="18"/>
                <w:szCs w:val="18"/>
              </w:rPr>
            </w:pPr>
            <w:r w:rsidRPr="0045255E">
              <w:rPr>
                <w:sz w:val="18"/>
                <w:szCs w:val="18"/>
              </w:rPr>
              <w:t>Median (range)</w:t>
            </w:r>
          </w:p>
        </w:tc>
        <w:tc>
          <w:tcPr>
            <w:tcW w:w="2268" w:type="dxa"/>
            <w:hideMark/>
          </w:tcPr>
          <w:p w14:paraId="5E8A7D59" w14:textId="77777777" w:rsidR="00711C94" w:rsidRPr="0045255E" w:rsidRDefault="00711C94" w:rsidP="00271AB5">
            <w:pPr>
              <w:pStyle w:val="NormalWeb"/>
              <w:jc w:val="center"/>
              <w:rPr>
                <w:sz w:val="18"/>
                <w:szCs w:val="18"/>
              </w:rPr>
            </w:pPr>
            <w:r w:rsidRPr="0045255E">
              <w:rPr>
                <w:sz w:val="18"/>
                <w:szCs w:val="18"/>
              </w:rPr>
              <w:t>15.3 (9.9, 17.6)</w:t>
            </w:r>
          </w:p>
        </w:tc>
        <w:tc>
          <w:tcPr>
            <w:tcW w:w="1984" w:type="dxa"/>
            <w:hideMark/>
          </w:tcPr>
          <w:p w14:paraId="01F7A0AB" w14:textId="77777777" w:rsidR="00711C94" w:rsidRPr="0045255E" w:rsidRDefault="00711C94" w:rsidP="00271AB5">
            <w:pPr>
              <w:pStyle w:val="NormalWeb"/>
              <w:jc w:val="center"/>
              <w:rPr>
                <w:sz w:val="18"/>
                <w:szCs w:val="18"/>
              </w:rPr>
            </w:pPr>
            <w:r w:rsidRPr="0045255E">
              <w:rPr>
                <w:sz w:val="18"/>
                <w:szCs w:val="18"/>
              </w:rPr>
              <w:t>15.3 (12.9, 15.3)</w:t>
            </w:r>
          </w:p>
        </w:tc>
        <w:tc>
          <w:tcPr>
            <w:tcW w:w="1701" w:type="dxa"/>
            <w:hideMark/>
          </w:tcPr>
          <w:p w14:paraId="13DB71BA" w14:textId="77777777" w:rsidR="00711C94" w:rsidRPr="0045255E" w:rsidRDefault="00711C94" w:rsidP="00271AB5">
            <w:pPr>
              <w:pStyle w:val="NormalWeb"/>
              <w:jc w:val="center"/>
              <w:rPr>
                <w:sz w:val="18"/>
                <w:szCs w:val="18"/>
              </w:rPr>
            </w:pPr>
            <w:r w:rsidRPr="0045255E">
              <w:rPr>
                <w:sz w:val="18"/>
                <w:szCs w:val="18"/>
              </w:rPr>
              <w:t>15.3 (9.9, 17.6)</w:t>
            </w:r>
          </w:p>
        </w:tc>
        <w:tc>
          <w:tcPr>
            <w:tcW w:w="1252" w:type="dxa"/>
            <w:hideMark/>
          </w:tcPr>
          <w:p w14:paraId="64A6A97D" w14:textId="77777777" w:rsidR="00711C94" w:rsidRPr="0045255E" w:rsidRDefault="00711C94" w:rsidP="00271AB5">
            <w:pPr>
              <w:jc w:val="center"/>
              <w:rPr>
                <w:sz w:val="18"/>
                <w:szCs w:val="18"/>
              </w:rPr>
            </w:pPr>
          </w:p>
        </w:tc>
      </w:tr>
      <w:tr w:rsidR="00711C94" w:rsidRPr="0045255E" w14:paraId="04988E20" w14:textId="77777777" w:rsidTr="0000024F">
        <w:tblPrEx>
          <w:tblCellMar>
            <w:top w:w="57" w:type="dxa"/>
            <w:bottom w:w="57" w:type="dxa"/>
          </w:tblCellMar>
        </w:tblPrEx>
        <w:tc>
          <w:tcPr>
            <w:tcW w:w="3261" w:type="dxa"/>
            <w:shd w:val="clear" w:color="auto" w:fill="BBA991"/>
            <w:hideMark/>
          </w:tcPr>
          <w:p w14:paraId="4FDFA8D1" w14:textId="77777777" w:rsidR="00711C94" w:rsidRPr="0045255E" w:rsidRDefault="00711C94" w:rsidP="00271AB5">
            <w:pPr>
              <w:pStyle w:val="NormalWeb"/>
              <w:rPr>
                <w:b/>
                <w:bCs/>
                <w:sz w:val="18"/>
                <w:szCs w:val="18"/>
              </w:rPr>
            </w:pPr>
            <w:r w:rsidRPr="0045255E">
              <w:rPr>
                <w:b/>
                <w:bCs/>
                <w:sz w:val="18"/>
                <w:szCs w:val="18"/>
              </w:rPr>
              <w:t>Asymptomatic</w:t>
            </w:r>
          </w:p>
        </w:tc>
        <w:tc>
          <w:tcPr>
            <w:tcW w:w="2268" w:type="dxa"/>
            <w:shd w:val="clear" w:color="auto" w:fill="BBA991"/>
            <w:hideMark/>
          </w:tcPr>
          <w:p w14:paraId="525C31D1" w14:textId="77777777" w:rsidR="00711C94" w:rsidRPr="0045255E" w:rsidRDefault="00711C94" w:rsidP="00271AB5">
            <w:pPr>
              <w:jc w:val="center"/>
              <w:rPr>
                <w:b/>
                <w:bCs/>
                <w:sz w:val="18"/>
                <w:szCs w:val="18"/>
              </w:rPr>
            </w:pPr>
          </w:p>
        </w:tc>
        <w:tc>
          <w:tcPr>
            <w:tcW w:w="1984" w:type="dxa"/>
            <w:shd w:val="clear" w:color="auto" w:fill="BBA991"/>
            <w:hideMark/>
          </w:tcPr>
          <w:p w14:paraId="35EFFB3D"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5286249B"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7F373927" w14:textId="77777777" w:rsidR="00711C94" w:rsidRPr="0045255E" w:rsidRDefault="00711C94" w:rsidP="00271AB5">
            <w:pPr>
              <w:jc w:val="center"/>
              <w:rPr>
                <w:rFonts w:eastAsia="Times New Roman"/>
                <w:b/>
                <w:bCs/>
                <w:sz w:val="18"/>
                <w:szCs w:val="18"/>
              </w:rPr>
            </w:pPr>
          </w:p>
        </w:tc>
      </w:tr>
      <w:tr w:rsidR="00711C94" w:rsidRPr="0045255E" w14:paraId="4F26CAF9"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6B9105F7" w14:textId="77777777" w:rsidR="00711C94" w:rsidRPr="0045255E" w:rsidRDefault="00711C94" w:rsidP="00271AB5">
            <w:pPr>
              <w:pStyle w:val="NormalWeb"/>
              <w:rPr>
                <w:sz w:val="18"/>
                <w:szCs w:val="18"/>
              </w:rPr>
            </w:pPr>
            <w:r w:rsidRPr="0045255E">
              <w:rPr>
                <w:sz w:val="18"/>
                <w:szCs w:val="18"/>
              </w:rPr>
              <w:t>Missing</w:t>
            </w:r>
          </w:p>
        </w:tc>
        <w:tc>
          <w:tcPr>
            <w:tcW w:w="2268" w:type="dxa"/>
            <w:hideMark/>
          </w:tcPr>
          <w:p w14:paraId="359EB23E" w14:textId="77777777" w:rsidR="00711C94" w:rsidRPr="0045255E" w:rsidRDefault="00711C94" w:rsidP="00271AB5">
            <w:pPr>
              <w:pStyle w:val="NormalWeb"/>
              <w:jc w:val="center"/>
              <w:rPr>
                <w:sz w:val="18"/>
                <w:szCs w:val="18"/>
              </w:rPr>
            </w:pPr>
            <w:r w:rsidRPr="0045255E">
              <w:rPr>
                <w:sz w:val="18"/>
                <w:szCs w:val="18"/>
              </w:rPr>
              <w:t>12</w:t>
            </w:r>
          </w:p>
        </w:tc>
        <w:tc>
          <w:tcPr>
            <w:tcW w:w="1984" w:type="dxa"/>
            <w:hideMark/>
          </w:tcPr>
          <w:p w14:paraId="2428C260" w14:textId="77777777" w:rsidR="00711C94" w:rsidRPr="0045255E" w:rsidRDefault="00711C94" w:rsidP="00271AB5">
            <w:pPr>
              <w:pStyle w:val="NormalWeb"/>
              <w:jc w:val="center"/>
              <w:rPr>
                <w:sz w:val="18"/>
                <w:szCs w:val="18"/>
              </w:rPr>
            </w:pPr>
            <w:r w:rsidRPr="0045255E">
              <w:rPr>
                <w:sz w:val="18"/>
                <w:szCs w:val="18"/>
              </w:rPr>
              <w:t>0</w:t>
            </w:r>
          </w:p>
        </w:tc>
        <w:tc>
          <w:tcPr>
            <w:tcW w:w="1701" w:type="dxa"/>
            <w:hideMark/>
          </w:tcPr>
          <w:p w14:paraId="4AB5AC26" w14:textId="77777777" w:rsidR="00711C94" w:rsidRPr="0045255E" w:rsidRDefault="00711C94" w:rsidP="00271AB5">
            <w:pPr>
              <w:pStyle w:val="NormalWeb"/>
              <w:jc w:val="center"/>
              <w:rPr>
                <w:sz w:val="18"/>
                <w:szCs w:val="18"/>
              </w:rPr>
            </w:pPr>
            <w:r w:rsidRPr="0045255E">
              <w:rPr>
                <w:sz w:val="18"/>
                <w:szCs w:val="18"/>
              </w:rPr>
              <w:t>12</w:t>
            </w:r>
          </w:p>
        </w:tc>
        <w:tc>
          <w:tcPr>
            <w:tcW w:w="1252" w:type="dxa"/>
            <w:hideMark/>
          </w:tcPr>
          <w:p w14:paraId="369A0E63" w14:textId="77777777" w:rsidR="00711C94" w:rsidRPr="0045255E" w:rsidRDefault="00711C94" w:rsidP="00271AB5">
            <w:pPr>
              <w:jc w:val="center"/>
              <w:rPr>
                <w:sz w:val="18"/>
                <w:szCs w:val="18"/>
              </w:rPr>
            </w:pPr>
          </w:p>
        </w:tc>
      </w:tr>
      <w:tr w:rsidR="00711C94" w:rsidRPr="0045255E" w14:paraId="6E37EDE9" w14:textId="77777777" w:rsidTr="0045255E">
        <w:tblPrEx>
          <w:tblCellMar>
            <w:top w:w="57" w:type="dxa"/>
            <w:bottom w:w="57" w:type="dxa"/>
          </w:tblCellMar>
        </w:tblPrEx>
        <w:tc>
          <w:tcPr>
            <w:tcW w:w="3261" w:type="dxa"/>
            <w:hideMark/>
          </w:tcPr>
          <w:p w14:paraId="1E459896" w14:textId="77777777" w:rsidR="00711C94" w:rsidRPr="0045255E" w:rsidRDefault="00711C94" w:rsidP="00271AB5">
            <w:pPr>
              <w:pStyle w:val="NormalWeb"/>
              <w:rPr>
                <w:sz w:val="18"/>
                <w:szCs w:val="18"/>
              </w:rPr>
            </w:pPr>
            <w:r w:rsidRPr="0045255E">
              <w:rPr>
                <w:sz w:val="18"/>
                <w:szCs w:val="18"/>
              </w:rPr>
              <w:t>Asymptomatic</w:t>
            </w:r>
          </w:p>
        </w:tc>
        <w:tc>
          <w:tcPr>
            <w:tcW w:w="2268" w:type="dxa"/>
            <w:hideMark/>
          </w:tcPr>
          <w:p w14:paraId="6EFB7C12" w14:textId="77777777" w:rsidR="00711C94" w:rsidRPr="0045255E" w:rsidRDefault="00711C94" w:rsidP="00271AB5">
            <w:pPr>
              <w:pStyle w:val="NormalWeb"/>
              <w:jc w:val="center"/>
              <w:rPr>
                <w:sz w:val="18"/>
                <w:szCs w:val="18"/>
              </w:rPr>
            </w:pPr>
            <w:r w:rsidRPr="0045255E">
              <w:rPr>
                <w:sz w:val="18"/>
                <w:szCs w:val="18"/>
              </w:rPr>
              <w:t>0</w:t>
            </w:r>
          </w:p>
        </w:tc>
        <w:tc>
          <w:tcPr>
            <w:tcW w:w="1984" w:type="dxa"/>
            <w:hideMark/>
          </w:tcPr>
          <w:p w14:paraId="40D3A69D" w14:textId="77777777" w:rsidR="00711C94" w:rsidRPr="0045255E" w:rsidRDefault="00711C94" w:rsidP="00271AB5">
            <w:pPr>
              <w:pStyle w:val="NormalWeb"/>
              <w:jc w:val="center"/>
              <w:rPr>
                <w:sz w:val="18"/>
                <w:szCs w:val="18"/>
              </w:rPr>
            </w:pPr>
            <w:r w:rsidRPr="0045255E">
              <w:rPr>
                <w:sz w:val="18"/>
                <w:szCs w:val="18"/>
              </w:rPr>
              <w:t>6 (42.9%)</w:t>
            </w:r>
          </w:p>
        </w:tc>
        <w:tc>
          <w:tcPr>
            <w:tcW w:w="1701" w:type="dxa"/>
            <w:hideMark/>
          </w:tcPr>
          <w:p w14:paraId="12ABBA6B" w14:textId="77777777" w:rsidR="00711C94" w:rsidRPr="0045255E" w:rsidRDefault="00711C94" w:rsidP="00271AB5">
            <w:pPr>
              <w:pStyle w:val="NormalWeb"/>
              <w:jc w:val="center"/>
              <w:rPr>
                <w:sz w:val="18"/>
                <w:szCs w:val="18"/>
              </w:rPr>
            </w:pPr>
            <w:r w:rsidRPr="0045255E">
              <w:rPr>
                <w:sz w:val="18"/>
                <w:szCs w:val="18"/>
              </w:rPr>
              <w:t>6 (42.9%)</w:t>
            </w:r>
          </w:p>
        </w:tc>
        <w:tc>
          <w:tcPr>
            <w:tcW w:w="1252" w:type="dxa"/>
            <w:hideMark/>
          </w:tcPr>
          <w:p w14:paraId="611B4521" w14:textId="77777777" w:rsidR="00711C94" w:rsidRPr="0045255E" w:rsidRDefault="00711C94" w:rsidP="00271AB5">
            <w:pPr>
              <w:jc w:val="center"/>
              <w:rPr>
                <w:sz w:val="18"/>
                <w:szCs w:val="18"/>
              </w:rPr>
            </w:pPr>
          </w:p>
        </w:tc>
      </w:tr>
      <w:tr w:rsidR="00711C94" w:rsidRPr="0045255E" w14:paraId="2BE0FB1B"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72AEE533" w14:textId="77777777" w:rsidR="00711C94" w:rsidRPr="0045255E" w:rsidRDefault="00711C94" w:rsidP="00271AB5">
            <w:pPr>
              <w:pStyle w:val="NormalWeb"/>
              <w:rPr>
                <w:sz w:val="18"/>
                <w:szCs w:val="18"/>
              </w:rPr>
            </w:pPr>
            <w:r w:rsidRPr="0045255E">
              <w:rPr>
                <w:sz w:val="18"/>
                <w:szCs w:val="18"/>
              </w:rPr>
              <w:t>Symptomatic</w:t>
            </w:r>
          </w:p>
        </w:tc>
        <w:tc>
          <w:tcPr>
            <w:tcW w:w="2268" w:type="dxa"/>
            <w:hideMark/>
          </w:tcPr>
          <w:p w14:paraId="3A9BC28C" w14:textId="77777777" w:rsidR="00711C94" w:rsidRPr="0045255E" w:rsidRDefault="00711C94" w:rsidP="00271AB5">
            <w:pPr>
              <w:pStyle w:val="NormalWeb"/>
              <w:jc w:val="center"/>
              <w:rPr>
                <w:sz w:val="18"/>
                <w:szCs w:val="18"/>
              </w:rPr>
            </w:pPr>
            <w:r w:rsidRPr="0045255E">
              <w:rPr>
                <w:sz w:val="18"/>
                <w:szCs w:val="18"/>
              </w:rPr>
              <w:t>0</w:t>
            </w:r>
          </w:p>
        </w:tc>
        <w:tc>
          <w:tcPr>
            <w:tcW w:w="1984" w:type="dxa"/>
            <w:hideMark/>
          </w:tcPr>
          <w:p w14:paraId="048359CB" w14:textId="77777777" w:rsidR="00711C94" w:rsidRPr="0045255E" w:rsidRDefault="00711C94" w:rsidP="00271AB5">
            <w:pPr>
              <w:pStyle w:val="NormalWeb"/>
              <w:jc w:val="center"/>
              <w:rPr>
                <w:sz w:val="18"/>
                <w:szCs w:val="18"/>
              </w:rPr>
            </w:pPr>
            <w:r w:rsidRPr="0045255E">
              <w:rPr>
                <w:sz w:val="18"/>
                <w:szCs w:val="18"/>
              </w:rPr>
              <w:t>8 (57.1%)</w:t>
            </w:r>
          </w:p>
        </w:tc>
        <w:tc>
          <w:tcPr>
            <w:tcW w:w="1701" w:type="dxa"/>
            <w:hideMark/>
          </w:tcPr>
          <w:p w14:paraId="3E18678F" w14:textId="77777777" w:rsidR="00711C94" w:rsidRPr="0045255E" w:rsidRDefault="00711C94" w:rsidP="00271AB5">
            <w:pPr>
              <w:pStyle w:val="NormalWeb"/>
              <w:jc w:val="center"/>
              <w:rPr>
                <w:sz w:val="18"/>
                <w:szCs w:val="18"/>
              </w:rPr>
            </w:pPr>
            <w:r w:rsidRPr="0045255E">
              <w:rPr>
                <w:sz w:val="18"/>
                <w:szCs w:val="18"/>
              </w:rPr>
              <w:t>8 (57.1%)</w:t>
            </w:r>
          </w:p>
        </w:tc>
        <w:tc>
          <w:tcPr>
            <w:tcW w:w="1252" w:type="dxa"/>
            <w:hideMark/>
          </w:tcPr>
          <w:p w14:paraId="4949B63C" w14:textId="77777777" w:rsidR="00711C94" w:rsidRPr="0045255E" w:rsidRDefault="00711C94" w:rsidP="00271AB5">
            <w:pPr>
              <w:jc w:val="center"/>
              <w:rPr>
                <w:sz w:val="18"/>
                <w:szCs w:val="18"/>
              </w:rPr>
            </w:pPr>
          </w:p>
        </w:tc>
      </w:tr>
      <w:tr w:rsidR="00711C94" w:rsidRPr="0045255E" w14:paraId="5D97A096" w14:textId="77777777" w:rsidTr="0000024F">
        <w:tblPrEx>
          <w:tblCellMar>
            <w:top w:w="57" w:type="dxa"/>
            <w:bottom w:w="57" w:type="dxa"/>
          </w:tblCellMar>
        </w:tblPrEx>
        <w:tc>
          <w:tcPr>
            <w:tcW w:w="3261" w:type="dxa"/>
            <w:shd w:val="clear" w:color="auto" w:fill="BBA991"/>
            <w:hideMark/>
          </w:tcPr>
          <w:p w14:paraId="710E1671" w14:textId="77777777" w:rsidR="00711C94" w:rsidRPr="0045255E" w:rsidRDefault="00711C94" w:rsidP="00271AB5">
            <w:pPr>
              <w:pStyle w:val="NormalWeb"/>
              <w:rPr>
                <w:b/>
                <w:bCs/>
                <w:sz w:val="18"/>
                <w:szCs w:val="18"/>
              </w:rPr>
            </w:pPr>
            <w:r w:rsidRPr="0045255E">
              <w:rPr>
                <w:b/>
                <w:bCs/>
                <w:sz w:val="18"/>
                <w:szCs w:val="18"/>
              </w:rPr>
              <w:t>CT value: 04/08/2021</w:t>
            </w:r>
            <w:r w:rsidRPr="0045255E">
              <w:rPr>
                <w:b/>
                <w:bCs/>
                <w:sz w:val="18"/>
                <w:szCs w:val="18"/>
                <w:vertAlign w:val="superscript"/>
              </w:rPr>
              <w:t>c</w:t>
            </w:r>
          </w:p>
        </w:tc>
        <w:tc>
          <w:tcPr>
            <w:tcW w:w="2268" w:type="dxa"/>
            <w:shd w:val="clear" w:color="auto" w:fill="BBA991"/>
            <w:hideMark/>
          </w:tcPr>
          <w:p w14:paraId="447FF2DF" w14:textId="77777777" w:rsidR="00711C94" w:rsidRPr="0045255E" w:rsidRDefault="00711C94" w:rsidP="00271AB5">
            <w:pPr>
              <w:jc w:val="center"/>
              <w:rPr>
                <w:b/>
                <w:bCs/>
                <w:sz w:val="18"/>
                <w:szCs w:val="18"/>
              </w:rPr>
            </w:pPr>
          </w:p>
        </w:tc>
        <w:tc>
          <w:tcPr>
            <w:tcW w:w="1984" w:type="dxa"/>
            <w:shd w:val="clear" w:color="auto" w:fill="BBA991"/>
            <w:hideMark/>
          </w:tcPr>
          <w:p w14:paraId="7B953EBB"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27949774"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0A82F903" w14:textId="77777777" w:rsidR="00711C94" w:rsidRPr="0045255E" w:rsidRDefault="00711C94" w:rsidP="00271AB5">
            <w:pPr>
              <w:jc w:val="center"/>
              <w:rPr>
                <w:rFonts w:eastAsia="Times New Roman"/>
                <w:b/>
                <w:bCs/>
                <w:sz w:val="18"/>
                <w:szCs w:val="18"/>
              </w:rPr>
            </w:pPr>
          </w:p>
        </w:tc>
      </w:tr>
      <w:tr w:rsidR="00711C94" w:rsidRPr="0045255E" w14:paraId="163FABED"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1CF872AF" w14:textId="77777777" w:rsidR="00711C94" w:rsidRPr="0045255E" w:rsidRDefault="00711C94" w:rsidP="00271AB5">
            <w:pPr>
              <w:pStyle w:val="NormalWeb"/>
              <w:rPr>
                <w:sz w:val="18"/>
                <w:szCs w:val="18"/>
              </w:rPr>
            </w:pPr>
            <w:r w:rsidRPr="0045255E">
              <w:rPr>
                <w:rFonts w:hint="cs"/>
                <w:sz w:val="18"/>
                <w:szCs w:val="18"/>
              </w:rPr>
              <w:t>Missing/</w:t>
            </w:r>
            <w:r w:rsidRPr="0045255E">
              <w:rPr>
                <w:sz w:val="18"/>
                <w:szCs w:val="18"/>
              </w:rPr>
              <w:t>not (+)</w:t>
            </w:r>
          </w:p>
        </w:tc>
        <w:tc>
          <w:tcPr>
            <w:tcW w:w="2268" w:type="dxa"/>
            <w:hideMark/>
          </w:tcPr>
          <w:p w14:paraId="02547566" w14:textId="77777777" w:rsidR="00711C94" w:rsidRPr="0045255E" w:rsidRDefault="00711C94" w:rsidP="00271AB5">
            <w:pPr>
              <w:pStyle w:val="NormalWeb"/>
              <w:jc w:val="center"/>
              <w:rPr>
                <w:sz w:val="18"/>
                <w:szCs w:val="18"/>
              </w:rPr>
            </w:pPr>
            <w:r w:rsidRPr="0045255E">
              <w:rPr>
                <w:sz w:val="18"/>
                <w:szCs w:val="18"/>
              </w:rPr>
              <w:t>12</w:t>
            </w:r>
          </w:p>
        </w:tc>
        <w:tc>
          <w:tcPr>
            <w:tcW w:w="1984" w:type="dxa"/>
            <w:hideMark/>
          </w:tcPr>
          <w:p w14:paraId="7D288B04" w14:textId="77777777" w:rsidR="00711C94" w:rsidRPr="0045255E" w:rsidRDefault="00711C94" w:rsidP="00271AB5">
            <w:pPr>
              <w:pStyle w:val="NormalWeb"/>
              <w:jc w:val="center"/>
              <w:rPr>
                <w:sz w:val="18"/>
                <w:szCs w:val="18"/>
              </w:rPr>
            </w:pPr>
            <w:r w:rsidRPr="0045255E">
              <w:rPr>
                <w:sz w:val="18"/>
                <w:szCs w:val="18"/>
              </w:rPr>
              <w:t>3</w:t>
            </w:r>
          </w:p>
        </w:tc>
        <w:tc>
          <w:tcPr>
            <w:tcW w:w="1701" w:type="dxa"/>
            <w:hideMark/>
          </w:tcPr>
          <w:p w14:paraId="176A04CE" w14:textId="77777777" w:rsidR="00711C94" w:rsidRPr="0045255E" w:rsidRDefault="00711C94" w:rsidP="00271AB5">
            <w:pPr>
              <w:pStyle w:val="NormalWeb"/>
              <w:jc w:val="center"/>
              <w:rPr>
                <w:sz w:val="18"/>
                <w:szCs w:val="18"/>
              </w:rPr>
            </w:pPr>
            <w:r w:rsidRPr="0045255E">
              <w:rPr>
                <w:sz w:val="18"/>
                <w:szCs w:val="18"/>
              </w:rPr>
              <w:t>15</w:t>
            </w:r>
          </w:p>
        </w:tc>
        <w:tc>
          <w:tcPr>
            <w:tcW w:w="1252" w:type="dxa"/>
            <w:hideMark/>
          </w:tcPr>
          <w:p w14:paraId="5947100D" w14:textId="77777777" w:rsidR="00711C94" w:rsidRPr="0045255E" w:rsidRDefault="00711C94" w:rsidP="00271AB5">
            <w:pPr>
              <w:jc w:val="center"/>
              <w:rPr>
                <w:sz w:val="18"/>
                <w:szCs w:val="18"/>
              </w:rPr>
            </w:pPr>
          </w:p>
        </w:tc>
      </w:tr>
      <w:tr w:rsidR="00711C94" w:rsidRPr="0045255E" w14:paraId="2DAC31F9" w14:textId="77777777" w:rsidTr="0045255E">
        <w:tblPrEx>
          <w:tblCellMar>
            <w:top w:w="57" w:type="dxa"/>
            <w:bottom w:w="57" w:type="dxa"/>
          </w:tblCellMar>
        </w:tblPrEx>
        <w:tc>
          <w:tcPr>
            <w:tcW w:w="3261" w:type="dxa"/>
            <w:hideMark/>
          </w:tcPr>
          <w:p w14:paraId="23B35779" w14:textId="77777777" w:rsidR="00711C94" w:rsidRPr="0045255E" w:rsidRDefault="00711C94" w:rsidP="00271AB5">
            <w:pPr>
              <w:pStyle w:val="NormalWeb"/>
              <w:rPr>
                <w:sz w:val="18"/>
                <w:szCs w:val="18"/>
              </w:rPr>
            </w:pPr>
            <w:r w:rsidRPr="0045255E">
              <w:rPr>
                <w:sz w:val="18"/>
                <w:szCs w:val="18"/>
              </w:rPr>
              <w:t>Median (range)</w:t>
            </w:r>
          </w:p>
        </w:tc>
        <w:tc>
          <w:tcPr>
            <w:tcW w:w="2268" w:type="dxa"/>
            <w:hideMark/>
          </w:tcPr>
          <w:p w14:paraId="322F9586" w14:textId="77777777" w:rsidR="00711C94" w:rsidRPr="0045255E" w:rsidRDefault="00711C94" w:rsidP="00271AB5">
            <w:pPr>
              <w:pStyle w:val="NormalWeb"/>
              <w:jc w:val="center"/>
              <w:rPr>
                <w:sz w:val="18"/>
                <w:szCs w:val="18"/>
              </w:rPr>
            </w:pPr>
            <w:r w:rsidRPr="0045255E">
              <w:rPr>
                <w:sz w:val="18"/>
                <w:szCs w:val="18"/>
              </w:rPr>
              <w:t>NA</w:t>
            </w:r>
          </w:p>
        </w:tc>
        <w:tc>
          <w:tcPr>
            <w:tcW w:w="1984" w:type="dxa"/>
            <w:hideMark/>
          </w:tcPr>
          <w:p w14:paraId="668803FA" w14:textId="77777777" w:rsidR="00711C94" w:rsidRPr="0045255E" w:rsidRDefault="00711C94" w:rsidP="00271AB5">
            <w:pPr>
              <w:pStyle w:val="NormalWeb"/>
              <w:jc w:val="center"/>
              <w:rPr>
                <w:sz w:val="18"/>
                <w:szCs w:val="18"/>
              </w:rPr>
            </w:pPr>
            <w:r w:rsidRPr="0045255E">
              <w:rPr>
                <w:sz w:val="18"/>
                <w:szCs w:val="18"/>
              </w:rPr>
              <w:t>26.4 (15.7, 38.3)</w:t>
            </w:r>
          </w:p>
        </w:tc>
        <w:tc>
          <w:tcPr>
            <w:tcW w:w="1701" w:type="dxa"/>
            <w:hideMark/>
          </w:tcPr>
          <w:p w14:paraId="0B0D86E8" w14:textId="77777777" w:rsidR="00711C94" w:rsidRPr="0045255E" w:rsidRDefault="00711C94" w:rsidP="00271AB5">
            <w:pPr>
              <w:pStyle w:val="NormalWeb"/>
              <w:jc w:val="center"/>
              <w:rPr>
                <w:sz w:val="18"/>
                <w:szCs w:val="18"/>
              </w:rPr>
            </w:pPr>
            <w:r w:rsidRPr="0045255E">
              <w:rPr>
                <w:sz w:val="18"/>
                <w:szCs w:val="18"/>
              </w:rPr>
              <w:t>26.4 (15.7, 38.3)</w:t>
            </w:r>
          </w:p>
        </w:tc>
        <w:tc>
          <w:tcPr>
            <w:tcW w:w="1252" w:type="dxa"/>
            <w:hideMark/>
          </w:tcPr>
          <w:p w14:paraId="20FD3A24" w14:textId="77777777" w:rsidR="00711C94" w:rsidRPr="0045255E" w:rsidRDefault="00711C94" w:rsidP="00271AB5">
            <w:pPr>
              <w:jc w:val="center"/>
              <w:rPr>
                <w:sz w:val="18"/>
                <w:szCs w:val="18"/>
              </w:rPr>
            </w:pPr>
          </w:p>
        </w:tc>
      </w:tr>
      <w:tr w:rsidR="00711C94" w:rsidRPr="0045255E" w14:paraId="4F49494B" w14:textId="77777777" w:rsidTr="0000024F">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shd w:val="clear" w:color="auto" w:fill="BBA991"/>
            <w:hideMark/>
          </w:tcPr>
          <w:p w14:paraId="4205EE74" w14:textId="77777777" w:rsidR="00711C94" w:rsidRPr="0045255E" w:rsidRDefault="00711C94" w:rsidP="00271AB5">
            <w:pPr>
              <w:pStyle w:val="NormalWeb"/>
              <w:rPr>
                <w:b/>
                <w:bCs/>
                <w:sz w:val="18"/>
                <w:szCs w:val="18"/>
              </w:rPr>
            </w:pPr>
            <w:r w:rsidRPr="0045255E">
              <w:rPr>
                <w:b/>
                <w:bCs/>
                <w:sz w:val="18"/>
                <w:szCs w:val="18"/>
              </w:rPr>
              <w:t>CT value: 16/08/2021</w:t>
            </w:r>
            <w:r w:rsidRPr="0045255E">
              <w:rPr>
                <w:b/>
                <w:bCs/>
                <w:sz w:val="18"/>
                <w:szCs w:val="18"/>
                <w:vertAlign w:val="superscript"/>
              </w:rPr>
              <w:t>c</w:t>
            </w:r>
          </w:p>
        </w:tc>
        <w:tc>
          <w:tcPr>
            <w:tcW w:w="2268" w:type="dxa"/>
            <w:shd w:val="clear" w:color="auto" w:fill="BBA991"/>
            <w:hideMark/>
          </w:tcPr>
          <w:p w14:paraId="7899BF8A" w14:textId="77777777" w:rsidR="00711C94" w:rsidRPr="0045255E" w:rsidRDefault="00711C94" w:rsidP="00271AB5">
            <w:pPr>
              <w:jc w:val="center"/>
              <w:rPr>
                <w:b/>
                <w:bCs/>
                <w:sz w:val="18"/>
                <w:szCs w:val="18"/>
              </w:rPr>
            </w:pPr>
          </w:p>
        </w:tc>
        <w:tc>
          <w:tcPr>
            <w:tcW w:w="1984" w:type="dxa"/>
            <w:shd w:val="clear" w:color="auto" w:fill="BBA991"/>
            <w:hideMark/>
          </w:tcPr>
          <w:p w14:paraId="3D560473"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27F5783C"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0F126214" w14:textId="77777777" w:rsidR="00711C94" w:rsidRPr="0045255E" w:rsidRDefault="00711C94" w:rsidP="00271AB5">
            <w:pPr>
              <w:jc w:val="center"/>
              <w:rPr>
                <w:rFonts w:eastAsia="Times New Roman"/>
                <w:b/>
                <w:bCs/>
                <w:sz w:val="18"/>
                <w:szCs w:val="18"/>
              </w:rPr>
            </w:pPr>
          </w:p>
        </w:tc>
      </w:tr>
      <w:tr w:rsidR="00711C94" w:rsidRPr="0045255E" w14:paraId="21515FB3" w14:textId="77777777" w:rsidTr="0045255E">
        <w:tblPrEx>
          <w:tblCellMar>
            <w:top w:w="57" w:type="dxa"/>
            <w:bottom w:w="57" w:type="dxa"/>
          </w:tblCellMar>
        </w:tblPrEx>
        <w:tc>
          <w:tcPr>
            <w:tcW w:w="3261" w:type="dxa"/>
            <w:hideMark/>
          </w:tcPr>
          <w:p w14:paraId="498DACA5" w14:textId="77777777" w:rsidR="00711C94" w:rsidRPr="0045255E" w:rsidRDefault="00711C94" w:rsidP="00271AB5">
            <w:pPr>
              <w:pStyle w:val="NormalWeb"/>
              <w:rPr>
                <w:sz w:val="18"/>
                <w:szCs w:val="18"/>
              </w:rPr>
            </w:pPr>
            <w:r w:rsidRPr="0045255E">
              <w:rPr>
                <w:rFonts w:hint="cs"/>
                <w:sz w:val="18"/>
                <w:szCs w:val="18"/>
              </w:rPr>
              <w:t>Missing/</w:t>
            </w:r>
            <w:r w:rsidRPr="0045255E">
              <w:rPr>
                <w:sz w:val="18"/>
                <w:szCs w:val="18"/>
              </w:rPr>
              <w:t>not (+)</w:t>
            </w:r>
          </w:p>
        </w:tc>
        <w:tc>
          <w:tcPr>
            <w:tcW w:w="2268" w:type="dxa"/>
            <w:hideMark/>
          </w:tcPr>
          <w:p w14:paraId="5B250D15" w14:textId="77777777" w:rsidR="00711C94" w:rsidRPr="0045255E" w:rsidRDefault="00711C94" w:rsidP="00271AB5">
            <w:pPr>
              <w:pStyle w:val="NormalWeb"/>
              <w:jc w:val="center"/>
              <w:rPr>
                <w:sz w:val="18"/>
                <w:szCs w:val="18"/>
              </w:rPr>
            </w:pPr>
            <w:r w:rsidRPr="0045255E">
              <w:rPr>
                <w:sz w:val="18"/>
                <w:szCs w:val="18"/>
              </w:rPr>
              <w:t>12</w:t>
            </w:r>
          </w:p>
        </w:tc>
        <w:tc>
          <w:tcPr>
            <w:tcW w:w="1984" w:type="dxa"/>
            <w:hideMark/>
          </w:tcPr>
          <w:p w14:paraId="3773C1FC" w14:textId="77777777" w:rsidR="00711C94" w:rsidRPr="0045255E" w:rsidRDefault="00711C94" w:rsidP="00271AB5">
            <w:pPr>
              <w:pStyle w:val="NormalWeb"/>
              <w:jc w:val="center"/>
              <w:rPr>
                <w:sz w:val="18"/>
                <w:szCs w:val="18"/>
              </w:rPr>
            </w:pPr>
            <w:r w:rsidRPr="0045255E">
              <w:rPr>
                <w:sz w:val="18"/>
                <w:szCs w:val="18"/>
              </w:rPr>
              <w:t>3</w:t>
            </w:r>
          </w:p>
        </w:tc>
        <w:tc>
          <w:tcPr>
            <w:tcW w:w="1701" w:type="dxa"/>
            <w:hideMark/>
          </w:tcPr>
          <w:p w14:paraId="6EE5B4D7" w14:textId="77777777" w:rsidR="00711C94" w:rsidRPr="0045255E" w:rsidRDefault="00711C94" w:rsidP="00271AB5">
            <w:pPr>
              <w:pStyle w:val="NormalWeb"/>
              <w:jc w:val="center"/>
              <w:rPr>
                <w:sz w:val="18"/>
                <w:szCs w:val="18"/>
              </w:rPr>
            </w:pPr>
            <w:r w:rsidRPr="0045255E">
              <w:rPr>
                <w:sz w:val="18"/>
                <w:szCs w:val="18"/>
              </w:rPr>
              <w:t>15</w:t>
            </w:r>
          </w:p>
        </w:tc>
        <w:tc>
          <w:tcPr>
            <w:tcW w:w="1252" w:type="dxa"/>
            <w:hideMark/>
          </w:tcPr>
          <w:p w14:paraId="7D578334" w14:textId="77777777" w:rsidR="00711C94" w:rsidRPr="0045255E" w:rsidRDefault="00711C94" w:rsidP="00271AB5">
            <w:pPr>
              <w:jc w:val="center"/>
              <w:rPr>
                <w:sz w:val="18"/>
                <w:szCs w:val="18"/>
              </w:rPr>
            </w:pPr>
          </w:p>
        </w:tc>
      </w:tr>
      <w:tr w:rsidR="00711C94" w:rsidRPr="0045255E" w14:paraId="7705C471"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49D1089B" w14:textId="77777777" w:rsidR="00711C94" w:rsidRPr="0045255E" w:rsidRDefault="00711C94" w:rsidP="00271AB5">
            <w:pPr>
              <w:pStyle w:val="NormalWeb"/>
              <w:rPr>
                <w:sz w:val="18"/>
                <w:szCs w:val="18"/>
              </w:rPr>
            </w:pPr>
            <w:r w:rsidRPr="0045255E">
              <w:rPr>
                <w:sz w:val="18"/>
                <w:szCs w:val="18"/>
              </w:rPr>
              <w:t>Median (range)</w:t>
            </w:r>
          </w:p>
        </w:tc>
        <w:tc>
          <w:tcPr>
            <w:tcW w:w="2268" w:type="dxa"/>
            <w:hideMark/>
          </w:tcPr>
          <w:p w14:paraId="7343ED16" w14:textId="77777777" w:rsidR="00711C94" w:rsidRPr="0045255E" w:rsidRDefault="00711C94" w:rsidP="00271AB5">
            <w:pPr>
              <w:pStyle w:val="NormalWeb"/>
              <w:jc w:val="center"/>
              <w:rPr>
                <w:sz w:val="18"/>
                <w:szCs w:val="18"/>
              </w:rPr>
            </w:pPr>
            <w:r w:rsidRPr="0045255E">
              <w:rPr>
                <w:sz w:val="18"/>
                <w:szCs w:val="18"/>
              </w:rPr>
              <w:t>NA</w:t>
            </w:r>
          </w:p>
        </w:tc>
        <w:tc>
          <w:tcPr>
            <w:tcW w:w="1984" w:type="dxa"/>
            <w:hideMark/>
          </w:tcPr>
          <w:p w14:paraId="0FEB4979" w14:textId="77777777" w:rsidR="00711C94" w:rsidRPr="0045255E" w:rsidRDefault="00711C94" w:rsidP="00271AB5">
            <w:pPr>
              <w:pStyle w:val="NormalWeb"/>
              <w:jc w:val="center"/>
              <w:rPr>
                <w:sz w:val="18"/>
                <w:szCs w:val="18"/>
              </w:rPr>
            </w:pPr>
            <w:r w:rsidRPr="0045255E">
              <w:rPr>
                <w:sz w:val="18"/>
                <w:szCs w:val="18"/>
              </w:rPr>
              <w:t>34.7 (22.2, 37.2)</w:t>
            </w:r>
          </w:p>
        </w:tc>
        <w:tc>
          <w:tcPr>
            <w:tcW w:w="1701" w:type="dxa"/>
            <w:hideMark/>
          </w:tcPr>
          <w:p w14:paraId="506E70C3" w14:textId="77777777" w:rsidR="00711C94" w:rsidRPr="0045255E" w:rsidRDefault="00711C94" w:rsidP="00271AB5">
            <w:pPr>
              <w:pStyle w:val="NormalWeb"/>
              <w:jc w:val="center"/>
              <w:rPr>
                <w:sz w:val="18"/>
                <w:szCs w:val="18"/>
              </w:rPr>
            </w:pPr>
            <w:r w:rsidRPr="0045255E">
              <w:rPr>
                <w:sz w:val="18"/>
                <w:szCs w:val="18"/>
              </w:rPr>
              <w:t>34.7 (22.2, 37.2)</w:t>
            </w:r>
          </w:p>
        </w:tc>
        <w:tc>
          <w:tcPr>
            <w:tcW w:w="1252" w:type="dxa"/>
            <w:hideMark/>
          </w:tcPr>
          <w:p w14:paraId="37E8BF75" w14:textId="77777777" w:rsidR="00711C94" w:rsidRPr="0045255E" w:rsidRDefault="00711C94" w:rsidP="00271AB5">
            <w:pPr>
              <w:jc w:val="center"/>
              <w:rPr>
                <w:sz w:val="18"/>
                <w:szCs w:val="18"/>
              </w:rPr>
            </w:pPr>
          </w:p>
        </w:tc>
      </w:tr>
      <w:tr w:rsidR="00711C94" w:rsidRPr="0045255E" w14:paraId="6ABB7AB9" w14:textId="77777777" w:rsidTr="0000024F">
        <w:tblPrEx>
          <w:tblCellMar>
            <w:top w:w="57" w:type="dxa"/>
            <w:bottom w:w="57" w:type="dxa"/>
          </w:tblCellMar>
        </w:tblPrEx>
        <w:tc>
          <w:tcPr>
            <w:tcW w:w="3261" w:type="dxa"/>
            <w:shd w:val="clear" w:color="auto" w:fill="BBA991"/>
            <w:hideMark/>
          </w:tcPr>
          <w:p w14:paraId="334E1432" w14:textId="77777777" w:rsidR="00711C94" w:rsidRPr="0045255E" w:rsidRDefault="00711C94" w:rsidP="00271AB5">
            <w:pPr>
              <w:pStyle w:val="NormalWeb"/>
              <w:rPr>
                <w:b/>
                <w:bCs/>
                <w:sz w:val="18"/>
                <w:szCs w:val="18"/>
              </w:rPr>
            </w:pPr>
            <w:r w:rsidRPr="0045255E">
              <w:rPr>
                <w:b/>
                <w:bCs/>
                <w:sz w:val="18"/>
                <w:szCs w:val="18"/>
              </w:rPr>
              <w:t>CT value: 23/08/2021</w:t>
            </w:r>
            <w:r w:rsidRPr="0045255E">
              <w:rPr>
                <w:b/>
                <w:bCs/>
                <w:sz w:val="18"/>
                <w:szCs w:val="18"/>
                <w:vertAlign w:val="superscript"/>
              </w:rPr>
              <w:t>c</w:t>
            </w:r>
          </w:p>
        </w:tc>
        <w:tc>
          <w:tcPr>
            <w:tcW w:w="2268" w:type="dxa"/>
            <w:shd w:val="clear" w:color="auto" w:fill="BBA991"/>
            <w:hideMark/>
          </w:tcPr>
          <w:p w14:paraId="5569806E" w14:textId="77777777" w:rsidR="00711C94" w:rsidRPr="0045255E" w:rsidRDefault="00711C94" w:rsidP="00271AB5">
            <w:pPr>
              <w:jc w:val="center"/>
              <w:rPr>
                <w:b/>
                <w:bCs/>
                <w:sz w:val="18"/>
                <w:szCs w:val="18"/>
              </w:rPr>
            </w:pPr>
          </w:p>
        </w:tc>
        <w:tc>
          <w:tcPr>
            <w:tcW w:w="1984" w:type="dxa"/>
            <w:shd w:val="clear" w:color="auto" w:fill="BBA991"/>
            <w:hideMark/>
          </w:tcPr>
          <w:p w14:paraId="4B70D3A0" w14:textId="77777777" w:rsidR="00711C94" w:rsidRPr="0045255E" w:rsidRDefault="00711C94" w:rsidP="00271AB5">
            <w:pPr>
              <w:jc w:val="center"/>
              <w:rPr>
                <w:rFonts w:eastAsia="Times New Roman"/>
                <w:b/>
                <w:bCs/>
                <w:sz w:val="18"/>
                <w:szCs w:val="18"/>
              </w:rPr>
            </w:pPr>
          </w:p>
        </w:tc>
        <w:tc>
          <w:tcPr>
            <w:tcW w:w="1701" w:type="dxa"/>
            <w:shd w:val="clear" w:color="auto" w:fill="BBA991"/>
            <w:hideMark/>
          </w:tcPr>
          <w:p w14:paraId="42738EE5" w14:textId="77777777" w:rsidR="00711C94" w:rsidRPr="0045255E" w:rsidRDefault="00711C94" w:rsidP="00271AB5">
            <w:pPr>
              <w:jc w:val="center"/>
              <w:rPr>
                <w:rFonts w:eastAsia="Times New Roman"/>
                <w:b/>
                <w:bCs/>
                <w:sz w:val="18"/>
                <w:szCs w:val="18"/>
              </w:rPr>
            </w:pPr>
          </w:p>
        </w:tc>
        <w:tc>
          <w:tcPr>
            <w:tcW w:w="1252" w:type="dxa"/>
            <w:shd w:val="clear" w:color="auto" w:fill="BBA991"/>
            <w:hideMark/>
          </w:tcPr>
          <w:p w14:paraId="663DC500" w14:textId="77777777" w:rsidR="00711C94" w:rsidRPr="0045255E" w:rsidRDefault="00711C94" w:rsidP="00271AB5">
            <w:pPr>
              <w:jc w:val="center"/>
              <w:rPr>
                <w:rFonts w:eastAsia="Times New Roman"/>
                <w:b/>
                <w:bCs/>
                <w:sz w:val="18"/>
                <w:szCs w:val="18"/>
              </w:rPr>
            </w:pPr>
          </w:p>
        </w:tc>
      </w:tr>
      <w:tr w:rsidR="00711C94" w:rsidRPr="0045255E" w14:paraId="21D147FD" w14:textId="77777777" w:rsidTr="0045255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3261" w:type="dxa"/>
            <w:hideMark/>
          </w:tcPr>
          <w:p w14:paraId="355FF05C" w14:textId="77777777" w:rsidR="00711C94" w:rsidRPr="0045255E" w:rsidRDefault="00711C94" w:rsidP="00271AB5">
            <w:pPr>
              <w:pStyle w:val="NormalWeb"/>
              <w:rPr>
                <w:sz w:val="18"/>
                <w:szCs w:val="18"/>
              </w:rPr>
            </w:pPr>
            <w:r w:rsidRPr="0045255E">
              <w:rPr>
                <w:rFonts w:hint="cs"/>
                <w:sz w:val="18"/>
                <w:szCs w:val="18"/>
              </w:rPr>
              <w:t>Missing/</w:t>
            </w:r>
            <w:r w:rsidRPr="0045255E">
              <w:rPr>
                <w:sz w:val="18"/>
                <w:szCs w:val="18"/>
              </w:rPr>
              <w:t>not (+)</w:t>
            </w:r>
          </w:p>
        </w:tc>
        <w:tc>
          <w:tcPr>
            <w:tcW w:w="2268" w:type="dxa"/>
            <w:hideMark/>
          </w:tcPr>
          <w:p w14:paraId="3C94DB81" w14:textId="77777777" w:rsidR="00711C94" w:rsidRPr="0045255E" w:rsidRDefault="00711C94" w:rsidP="00271AB5">
            <w:pPr>
              <w:pStyle w:val="NormalWeb"/>
              <w:jc w:val="center"/>
              <w:rPr>
                <w:sz w:val="18"/>
                <w:szCs w:val="18"/>
              </w:rPr>
            </w:pPr>
            <w:r w:rsidRPr="0045255E">
              <w:rPr>
                <w:sz w:val="18"/>
                <w:szCs w:val="18"/>
              </w:rPr>
              <w:t>12</w:t>
            </w:r>
          </w:p>
        </w:tc>
        <w:tc>
          <w:tcPr>
            <w:tcW w:w="1984" w:type="dxa"/>
            <w:hideMark/>
          </w:tcPr>
          <w:p w14:paraId="35B5B4C9" w14:textId="77777777" w:rsidR="00711C94" w:rsidRPr="0045255E" w:rsidRDefault="00711C94" w:rsidP="00271AB5">
            <w:pPr>
              <w:pStyle w:val="NormalWeb"/>
              <w:jc w:val="center"/>
              <w:rPr>
                <w:sz w:val="18"/>
                <w:szCs w:val="18"/>
              </w:rPr>
            </w:pPr>
            <w:r w:rsidRPr="0045255E">
              <w:rPr>
                <w:sz w:val="18"/>
                <w:szCs w:val="18"/>
              </w:rPr>
              <w:t>5</w:t>
            </w:r>
          </w:p>
        </w:tc>
        <w:tc>
          <w:tcPr>
            <w:tcW w:w="1701" w:type="dxa"/>
            <w:hideMark/>
          </w:tcPr>
          <w:p w14:paraId="16E56374" w14:textId="77777777" w:rsidR="00711C94" w:rsidRPr="0045255E" w:rsidRDefault="00711C94" w:rsidP="00271AB5">
            <w:pPr>
              <w:pStyle w:val="NormalWeb"/>
              <w:jc w:val="center"/>
              <w:rPr>
                <w:sz w:val="18"/>
                <w:szCs w:val="18"/>
              </w:rPr>
            </w:pPr>
            <w:r w:rsidRPr="0045255E">
              <w:rPr>
                <w:sz w:val="18"/>
                <w:szCs w:val="18"/>
              </w:rPr>
              <w:t>17</w:t>
            </w:r>
          </w:p>
        </w:tc>
        <w:tc>
          <w:tcPr>
            <w:tcW w:w="1252" w:type="dxa"/>
            <w:hideMark/>
          </w:tcPr>
          <w:p w14:paraId="79252A36" w14:textId="77777777" w:rsidR="00711C94" w:rsidRPr="0045255E" w:rsidRDefault="00711C94" w:rsidP="00271AB5">
            <w:pPr>
              <w:jc w:val="center"/>
              <w:rPr>
                <w:sz w:val="18"/>
                <w:szCs w:val="18"/>
              </w:rPr>
            </w:pPr>
          </w:p>
        </w:tc>
      </w:tr>
      <w:tr w:rsidR="00711C94" w:rsidRPr="0045255E" w14:paraId="6F750BE5" w14:textId="77777777" w:rsidTr="0045255E">
        <w:tblPrEx>
          <w:tblCellMar>
            <w:top w:w="57" w:type="dxa"/>
            <w:bottom w:w="57" w:type="dxa"/>
          </w:tblCellMar>
        </w:tblPrEx>
        <w:tc>
          <w:tcPr>
            <w:tcW w:w="3261" w:type="dxa"/>
            <w:tcBorders>
              <w:bottom w:val="single" w:sz="2" w:space="0" w:color="auto"/>
            </w:tcBorders>
            <w:hideMark/>
          </w:tcPr>
          <w:p w14:paraId="74C37DD0" w14:textId="77777777" w:rsidR="00711C94" w:rsidRPr="0045255E" w:rsidRDefault="00711C94" w:rsidP="00271AB5">
            <w:pPr>
              <w:pStyle w:val="NormalWeb"/>
              <w:rPr>
                <w:sz w:val="18"/>
                <w:szCs w:val="18"/>
              </w:rPr>
            </w:pPr>
            <w:r w:rsidRPr="0045255E">
              <w:rPr>
                <w:sz w:val="18"/>
                <w:szCs w:val="18"/>
              </w:rPr>
              <w:t>Median (range)</w:t>
            </w:r>
          </w:p>
        </w:tc>
        <w:tc>
          <w:tcPr>
            <w:tcW w:w="2268" w:type="dxa"/>
            <w:tcBorders>
              <w:bottom w:val="single" w:sz="2" w:space="0" w:color="auto"/>
            </w:tcBorders>
            <w:hideMark/>
          </w:tcPr>
          <w:p w14:paraId="0ABE8AA7" w14:textId="77777777" w:rsidR="00711C94" w:rsidRPr="0045255E" w:rsidRDefault="00711C94" w:rsidP="00271AB5">
            <w:pPr>
              <w:pStyle w:val="NormalWeb"/>
              <w:jc w:val="center"/>
              <w:rPr>
                <w:sz w:val="18"/>
                <w:szCs w:val="18"/>
              </w:rPr>
            </w:pPr>
            <w:r w:rsidRPr="0045255E">
              <w:rPr>
                <w:sz w:val="18"/>
                <w:szCs w:val="18"/>
              </w:rPr>
              <w:t>NA</w:t>
            </w:r>
          </w:p>
        </w:tc>
        <w:tc>
          <w:tcPr>
            <w:tcW w:w="1984" w:type="dxa"/>
            <w:tcBorders>
              <w:bottom w:val="single" w:sz="2" w:space="0" w:color="auto"/>
            </w:tcBorders>
            <w:hideMark/>
          </w:tcPr>
          <w:p w14:paraId="4AD9E655" w14:textId="77777777" w:rsidR="00711C94" w:rsidRPr="0045255E" w:rsidRDefault="00711C94" w:rsidP="00271AB5">
            <w:pPr>
              <w:pStyle w:val="NormalWeb"/>
              <w:jc w:val="center"/>
              <w:rPr>
                <w:sz w:val="18"/>
                <w:szCs w:val="18"/>
              </w:rPr>
            </w:pPr>
            <w:r w:rsidRPr="0045255E">
              <w:rPr>
                <w:sz w:val="18"/>
                <w:szCs w:val="18"/>
              </w:rPr>
              <w:t>33.5 (29.4, 37.2)</w:t>
            </w:r>
          </w:p>
        </w:tc>
        <w:tc>
          <w:tcPr>
            <w:tcW w:w="1701" w:type="dxa"/>
            <w:tcBorders>
              <w:bottom w:val="single" w:sz="2" w:space="0" w:color="auto"/>
            </w:tcBorders>
            <w:hideMark/>
          </w:tcPr>
          <w:p w14:paraId="24663787" w14:textId="77777777" w:rsidR="00711C94" w:rsidRPr="0045255E" w:rsidRDefault="00711C94" w:rsidP="00271AB5">
            <w:pPr>
              <w:pStyle w:val="NormalWeb"/>
              <w:jc w:val="center"/>
              <w:rPr>
                <w:sz w:val="18"/>
                <w:szCs w:val="18"/>
              </w:rPr>
            </w:pPr>
            <w:r w:rsidRPr="0045255E">
              <w:rPr>
                <w:sz w:val="18"/>
                <w:szCs w:val="18"/>
              </w:rPr>
              <w:t>33.5 (29.4, 37.2)</w:t>
            </w:r>
          </w:p>
        </w:tc>
        <w:tc>
          <w:tcPr>
            <w:tcW w:w="1252" w:type="dxa"/>
            <w:tcBorders>
              <w:bottom w:val="single" w:sz="2" w:space="0" w:color="auto"/>
            </w:tcBorders>
            <w:hideMark/>
          </w:tcPr>
          <w:p w14:paraId="006CF80F" w14:textId="77777777" w:rsidR="00711C94" w:rsidRPr="0045255E" w:rsidRDefault="00711C94" w:rsidP="00271AB5">
            <w:pPr>
              <w:jc w:val="center"/>
              <w:rPr>
                <w:sz w:val="18"/>
                <w:szCs w:val="18"/>
              </w:rPr>
            </w:pPr>
          </w:p>
        </w:tc>
      </w:tr>
    </w:tbl>
    <w:p w14:paraId="78565616" w14:textId="77777777" w:rsidR="00711C94" w:rsidRDefault="00711C94" w:rsidP="00711C94">
      <w:pPr>
        <w:pStyle w:val="CDIfootnotes"/>
        <w:rPr>
          <w:sz w:val="24"/>
          <w:szCs w:val="24"/>
          <w:lang w:val="en-GB"/>
        </w:rPr>
      </w:pPr>
      <w:r>
        <w:rPr>
          <w:lang w:val="en-GB"/>
        </w:rPr>
        <w:t>a</w:t>
      </w:r>
      <w:r>
        <w:rPr>
          <w:lang w:val="en-GB"/>
        </w:rPr>
        <w:tab/>
        <w:t>Rank sum test used for age, and simulated Fisher exact tests with 500 replicates used for categorical variables.</w:t>
      </w:r>
    </w:p>
    <w:p w14:paraId="23318627" w14:textId="2FA051B9" w:rsidR="00711C94" w:rsidRDefault="00711C94" w:rsidP="00711C94">
      <w:pPr>
        <w:pStyle w:val="CDIfootnotes"/>
        <w:rPr>
          <w:lang w:val="en-GB"/>
        </w:rPr>
      </w:pPr>
      <w:r>
        <w:rPr>
          <w:lang w:val="en-GB"/>
        </w:rPr>
        <w:t>b</w:t>
      </w:r>
      <w:r>
        <w:rPr>
          <w:lang w:val="en-GB"/>
        </w:rPr>
        <w:tab/>
        <w:t>Time since course complete (CC; in weeks) represents the time since dose of Johnson &amp; Johnson, or second dose of Astra Zeneca (n</w:t>
      </w:r>
      <w:r w:rsidR="001C05C3">
        <w:rPr>
          <w:lang w:val="en-GB"/>
        </w:rPr>
        <w:t xml:space="preserve"> </w:t>
      </w:r>
      <w:r>
        <w:rPr>
          <w:lang w:val="en-GB"/>
        </w:rPr>
        <w:t>=</w:t>
      </w:r>
      <w:r w:rsidR="001C05C3">
        <w:rPr>
          <w:lang w:val="en-GB"/>
        </w:rPr>
        <w:t xml:space="preserve"> </w:t>
      </w:r>
      <w:r>
        <w:rPr>
          <w:lang w:val="en-GB"/>
        </w:rPr>
        <w:t>2). Note all Pfizer immunizations were incomplete (only received 1 dose).</w:t>
      </w:r>
    </w:p>
    <w:p w14:paraId="3DF438E5" w14:textId="77777777" w:rsidR="00711C94" w:rsidRDefault="00711C94" w:rsidP="00711C94">
      <w:pPr>
        <w:pStyle w:val="CDIfootnotes"/>
        <w:rPr>
          <w:lang w:val="en-GB"/>
        </w:rPr>
      </w:pPr>
      <w:r>
        <w:rPr>
          <w:lang w:val="en-GB"/>
        </w:rPr>
        <w:t>c</w:t>
      </w:r>
      <w:r>
        <w:rPr>
          <w:lang w:val="en-GB"/>
        </w:rPr>
        <w:tab/>
        <w:t>Not all persons tested positive at each test, hence the missing CT values on each date.</w:t>
      </w:r>
    </w:p>
    <w:p w14:paraId="61E202D8" w14:textId="3471D211" w:rsidR="004E46A7" w:rsidRPr="00AE3F13" w:rsidRDefault="004E46A7" w:rsidP="00AE3F13">
      <w:pPr>
        <w:pStyle w:val="Heading1"/>
      </w:pPr>
      <w:r w:rsidRPr="00AE3F13">
        <w:t xml:space="preserve">Public health response </w:t>
      </w:r>
    </w:p>
    <w:p w14:paraId="36940D22" w14:textId="77777777" w:rsidR="004E46A7" w:rsidRDefault="004E46A7" w:rsidP="00AE3F13">
      <w:r>
        <w:t>Public Health reviewed the vessel’s Outbreak Management plan, which addressed infection control and cleaning and disinfection at a broad level. The local Public Health Unit (PHU) provided additional advice, specific to the environment, on cleaning and disinfection (</w:t>
      </w:r>
      <w:proofErr w:type="gramStart"/>
      <w:r>
        <w:t>e.g.</w:t>
      </w:r>
      <w:proofErr w:type="gramEnd"/>
      <w:r>
        <w:t xml:space="preserve"> soft furnishings, navigation equipment) and on required cleaning techniques. Infection control measures implemented included increased cleaning frequency of </w:t>
      </w:r>
      <w:proofErr w:type="gramStart"/>
      <w:r>
        <w:t>frequently-touched</w:t>
      </w:r>
      <w:proofErr w:type="gramEnd"/>
      <w:r>
        <w:t xml:space="preserve"> surfaces, hand hygiene, use of personal protective equipment (PPE, e.g. masks), crew isolation until deemed </w:t>
      </w:r>
      <w:r>
        <w:lastRenderedPageBreak/>
        <w:t xml:space="preserve">negative and daily symptom monitoring during the outbreak. All SARS-CoV-2 positive crew members were isolated in single cabins which they were not allowed to leave. The remaining crew members were quarantined in single cabins and </w:t>
      </w:r>
      <w:proofErr w:type="gramStart"/>
      <w:r>
        <w:t>were allowed to</w:t>
      </w:r>
      <w:proofErr w:type="gramEnd"/>
      <w:r>
        <w:t xml:space="preserve"> perform essential activities to run the vessel. All meals were delivered to the cabin of the positive crew, left on the floor outside the cabin door so no interaction with other crew occurred, and were consumed within the cabin. Used plates/cutlery were subsequently placed outside the room for collection. Staff collecting plates/cutlery/glasses were wearing appropriate PPE and were instructed to refrain from touching other surfaces of the vessel with contaminated gloves. </w:t>
      </w:r>
    </w:p>
    <w:p w14:paraId="68C8A412" w14:textId="77777777" w:rsidR="004E46A7" w:rsidRDefault="004E46A7" w:rsidP="00AE3F13">
      <w:r>
        <w:t xml:space="preserve">Confirmed cases were assigned a dedicated bathroom for their use with regular cleaning and disinfecting after each use. No additional precautions were recommended for handling standard waste, but those handling healthcare waste were required to use standard precautions. </w:t>
      </w:r>
    </w:p>
    <w:p w14:paraId="744B34C1" w14:textId="77777777" w:rsidR="004E46A7" w:rsidRDefault="004E46A7" w:rsidP="00AE3F13">
      <w:r>
        <w:t xml:space="preserve">Cleaning and disinfection of </w:t>
      </w:r>
      <w:proofErr w:type="gramStart"/>
      <w:r>
        <w:t>frequently-touched</w:t>
      </w:r>
      <w:proofErr w:type="gramEnd"/>
      <w:r>
        <w:t xml:space="preserve"> surfaces was instituted on a daily basis. Later, a full two-step comprehensive </w:t>
      </w:r>
      <w:proofErr w:type="gramStart"/>
      <w:r>
        <w:t>touch-point</w:t>
      </w:r>
      <w:proofErr w:type="gramEnd"/>
      <w:r>
        <w:t xml:space="preserve"> deep clean commenced on 31 August 2021, using a cleaning and disinfection procedure which was methodically undertaken over several days. First, each hard surface was cleaned with a detergent, then followed with a disinfectant 1,000 ppm bleach solution. Specific guidance was provided by the PHU for the cleaning of internal and external surfaces of the ship (</w:t>
      </w:r>
      <w:proofErr w:type="gramStart"/>
      <w:r>
        <w:t>e.g.</w:t>
      </w:r>
      <w:proofErr w:type="gramEnd"/>
      <w:r>
        <w:t xml:space="preserve"> accommodation areas, soft furnishings, handrails, hatches and their closing mechanisms etc.). </w:t>
      </w:r>
    </w:p>
    <w:p w14:paraId="0433D7BD" w14:textId="77777777" w:rsidR="004E46A7" w:rsidRPr="00AE3F13" w:rsidRDefault="004E46A7" w:rsidP="00AE3F13">
      <w:pPr>
        <w:pStyle w:val="Heading1"/>
      </w:pPr>
      <w:r w:rsidRPr="00AE3F13">
        <w:t xml:space="preserve">Discussion </w:t>
      </w:r>
    </w:p>
    <w:p w14:paraId="53E81871" w14:textId="77777777" w:rsidR="004E46A7" w:rsidRDefault="004E46A7" w:rsidP="00AE3F13">
      <w:r>
        <w:t>The attack rate of SARS-CoV-2 Delta variant was 54%, even in a highly vaccinated population; however, in this population, it caused mild disease. Safe manning of the vessel while at anchor was not affected, and transmission onboard was unlikely driven by the catering crew. Vaccines for SARS-CoV-2 used by these crew members have high efficacy rates between 67% and 95%.</w:t>
      </w:r>
      <w:r>
        <w:rPr>
          <w:vertAlign w:val="superscript"/>
        </w:rPr>
        <w:t>5–9</w:t>
      </w:r>
      <w:r>
        <w:t xml:space="preserve"> Here we demonstrated that the combinations of vaccines listed in Table 1 had a VE of 65.3% for symptomatic infection for SARS-CoV-2 Delta variant and 100% against severe infection (</w:t>
      </w:r>
      <w:proofErr w:type="gramStart"/>
      <w:r>
        <w:t>e.g.</w:t>
      </w:r>
      <w:proofErr w:type="gramEnd"/>
      <w:r>
        <w:t xml:space="preserve"> hospitalisation/death). </w:t>
      </w:r>
    </w:p>
    <w:p w14:paraId="09FE9C64" w14:textId="77777777" w:rsidR="004E46A7" w:rsidRDefault="004E46A7" w:rsidP="00AE3F13">
      <w:r>
        <w:t>Outbreaks of SARS-CoV-2 on various types of ships (cargo, navy, cruise ships) and crew numbers (&lt; 50 in cargo ships to &gt; 1000 in cruise ships) have variable attack rates and mortality even in younger populations.</w:t>
      </w:r>
      <w:r>
        <w:rPr>
          <w:vertAlign w:val="superscript"/>
        </w:rPr>
        <w:t>10</w:t>
      </w:r>
      <w:r>
        <w:t xml:space="preserve"> An outbreak with the first strain of SARS-CoV-2 (pre-Variant on Concern (VOC)) on a cruise ship, the MS </w:t>
      </w:r>
      <w:proofErr w:type="spellStart"/>
      <w:r w:rsidRPr="006316A4">
        <w:rPr>
          <w:rStyle w:val="Emphasis"/>
          <w:b w:val="0"/>
          <w:bCs w:val="0"/>
        </w:rPr>
        <w:t>Artania</w:t>
      </w:r>
      <w:proofErr w:type="spellEnd"/>
      <w:r>
        <w:t>, in Perth, Australia resulted in 51 known cases and one death among crew members; among passengers, there were 30 cases and three deaths.</w:t>
      </w:r>
      <w:r>
        <w:rPr>
          <w:vertAlign w:val="superscript"/>
        </w:rPr>
        <w:t>11</w:t>
      </w:r>
      <w:r>
        <w:t xml:space="preserve"> Aboard the </w:t>
      </w:r>
      <w:r w:rsidRPr="006316A4">
        <w:rPr>
          <w:rStyle w:val="Emphasis"/>
          <w:b w:val="0"/>
          <w:bCs w:val="0"/>
        </w:rPr>
        <w:t>Diamond Princess</w:t>
      </w:r>
      <w:r>
        <w:t xml:space="preserve"> cruise ship (2666 passengers, 1045 crew; total 3711), an outbreak with the first strain of SARS-CoV-2 (pre-VOC) resulted in 712 confirmed cases, for an attack rate (AR) of 20%, with 13 deaths.</w:t>
      </w:r>
      <w:r>
        <w:rPr>
          <w:vertAlign w:val="superscript"/>
        </w:rPr>
        <w:t>12</w:t>
      </w:r>
      <w:r>
        <w:t xml:space="preserve"> A 56-day outbreak with the first strain of SARS-CoV-2 (pre-VOC), on the United States Navy aircraft carrier the USS </w:t>
      </w:r>
      <w:r w:rsidRPr="006316A4">
        <w:rPr>
          <w:rStyle w:val="Emphasis"/>
          <w:b w:val="0"/>
          <w:bCs w:val="0"/>
        </w:rPr>
        <w:t>Theodore Roosevelt</w:t>
      </w:r>
      <w:r>
        <w:t xml:space="preserve"> with 4,779 total crew (average age 27 years), resulted in 1,271 confirmed cases, for an AR of 27%; of the confirmed cases, 23 (1.8%) were hospitalised, four (0.3%) received intensive care, and one died.</w:t>
      </w:r>
      <w:r>
        <w:rPr>
          <w:vertAlign w:val="superscript"/>
        </w:rPr>
        <w:t>13</w:t>
      </w:r>
      <w:r>
        <w:t xml:space="preserve"> A SARS-CoV-2 Delta VOC outbreak on a South Korean navy ship with a total of 301 crew resulted in 272 confirmed cases for an AR of 90% in unvaccinated soldiers, of whom 7% (n = 19) were hospitalised,</w:t>
      </w:r>
      <w:r>
        <w:rPr>
          <w:vertAlign w:val="superscript"/>
        </w:rPr>
        <w:t>14</w:t>
      </w:r>
      <w:r>
        <w:t xml:space="preserve"> a substantially higher attack rate than that observed in this outbreak (AR 54% with no hospitalisations). </w:t>
      </w:r>
    </w:p>
    <w:p w14:paraId="07C26D0B" w14:textId="77777777" w:rsidR="004E46A7" w:rsidRDefault="004E46A7" w:rsidP="00AE3F13">
      <w:r>
        <w:t>Although the AR of SARS-CoV-2 Delta strain was high among the vaccinated population aboard the vessel (54%), it was much higher (90%) in the unvaccinated population aboard the South Korean Navy ship.</w:t>
      </w:r>
      <w:r>
        <w:rPr>
          <w:vertAlign w:val="superscript"/>
        </w:rPr>
        <w:t>14</w:t>
      </w:r>
      <w:r>
        <w:t xml:space="preserve"> With heightened public health measures and infection control practices, we were able to declare the outbreak over in 26 days. </w:t>
      </w:r>
    </w:p>
    <w:p w14:paraId="20BF066D" w14:textId="77777777" w:rsidR="0045255E" w:rsidRDefault="0045255E">
      <w:pPr>
        <w:rPr>
          <w:rFonts w:asciiTheme="majorHAnsi" w:eastAsiaTheme="majorEastAsia" w:hAnsiTheme="majorHAnsi" w:cstheme="majorBidi"/>
          <w:b/>
          <w:bCs/>
          <w:sz w:val="32"/>
          <w:szCs w:val="28"/>
        </w:rPr>
      </w:pPr>
      <w:r>
        <w:br w:type="page"/>
      </w:r>
    </w:p>
    <w:p w14:paraId="48DDE1C3" w14:textId="7C88A215" w:rsidR="004E46A7" w:rsidRPr="00AE3F13" w:rsidRDefault="004E46A7" w:rsidP="00AE3F13">
      <w:pPr>
        <w:pStyle w:val="Heading1"/>
      </w:pPr>
      <w:r w:rsidRPr="00AE3F13">
        <w:lastRenderedPageBreak/>
        <w:t xml:space="preserve">Funding </w:t>
      </w:r>
    </w:p>
    <w:p w14:paraId="032ADA79" w14:textId="77777777" w:rsidR="004E46A7" w:rsidRDefault="004E46A7" w:rsidP="00AE3F13">
      <w:r>
        <w:t>This work was supported by a Queensland Advancing Clinical Research Fellowship (PJ-70-405-A034-X000-HE2993) awarded to Prof. Gulam Khandaker by Queensland Health’s Health Innovation, Investment and Research Office (HIRO), Office of the Director-General.</w:t>
      </w:r>
    </w:p>
    <w:p w14:paraId="1E0C0543" w14:textId="77777777" w:rsidR="004E46A7" w:rsidRPr="00AE3F13" w:rsidRDefault="004E46A7" w:rsidP="00AE3F13">
      <w:pPr>
        <w:pStyle w:val="Heading1"/>
      </w:pPr>
      <w:r w:rsidRPr="00AE3F13">
        <w:t xml:space="preserve">Author details </w:t>
      </w:r>
    </w:p>
    <w:p w14:paraId="4E32A2C0" w14:textId="36AB89FC" w:rsidR="004E46A7" w:rsidRDefault="004E46A7" w:rsidP="00AE3F13">
      <w:r>
        <w:t>Nicolas Smoll</w:t>
      </w:r>
      <w:r>
        <w:rPr>
          <w:vertAlign w:val="superscript"/>
        </w:rPr>
        <w:t xml:space="preserve">1 </w:t>
      </w:r>
      <w:r w:rsidR="001C05C3">
        <w:rPr>
          <w:vertAlign w:val="superscript"/>
        </w:rPr>
        <w:br/>
      </w:r>
      <w:r>
        <w:t>Jacina Walker</w:t>
      </w:r>
      <w:r>
        <w:rPr>
          <w:vertAlign w:val="superscript"/>
        </w:rPr>
        <w:t xml:space="preserve">1 </w:t>
      </w:r>
      <w:r w:rsidR="001C05C3">
        <w:rPr>
          <w:vertAlign w:val="superscript"/>
        </w:rPr>
        <w:br/>
      </w:r>
      <w:r w:rsidR="004A6EB5" w:rsidRPr="004A6EB5">
        <w:t>Mahmudul Hassan Al Imam</w:t>
      </w:r>
      <w:r>
        <w:rPr>
          <w:vertAlign w:val="superscript"/>
        </w:rPr>
        <w:t xml:space="preserve">1 </w:t>
      </w:r>
      <w:r w:rsidR="001C05C3">
        <w:rPr>
          <w:vertAlign w:val="superscript"/>
        </w:rPr>
        <w:br/>
      </w:r>
      <w:r>
        <w:t>Jill Auriac</w:t>
      </w:r>
      <w:r>
        <w:rPr>
          <w:vertAlign w:val="superscript"/>
        </w:rPr>
        <w:t xml:space="preserve">1 </w:t>
      </w:r>
      <w:r w:rsidR="001C05C3">
        <w:rPr>
          <w:vertAlign w:val="superscript"/>
        </w:rPr>
        <w:br/>
      </w:r>
      <w:r>
        <w:t>Ross Andrews</w:t>
      </w:r>
      <w:r>
        <w:rPr>
          <w:vertAlign w:val="superscript"/>
        </w:rPr>
        <w:t xml:space="preserve">2 </w:t>
      </w:r>
      <w:r w:rsidR="001C05C3">
        <w:rPr>
          <w:vertAlign w:val="superscript"/>
        </w:rPr>
        <w:br/>
      </w:r>
      <w:r>
        <w:t>Andrew Jeremijenko</w:t>
      </w:r>
      <w:r>
        <w:rPr>
          <w:vertAlign w:val="superscript"/>
        </w:rPr>
        <w:t xml:space="preserve">3 </w:t>
      </w:r>
      <w:r w:rsidR="001C05C3">
        <w:rPr>
          <w:vertAlign w:val="superscript"/>
        </w:rPr>
        <w:br/>
      </w:r>
      <w:r>
        <w:t>Michael Kirk</w:t>
      </w:r>
      <w:r>
        <w:rPr>
          <w:vertAlign w:val="superscript"/>
        </w:rPr>
        <w:t xml:space="preserve">4 </w:t>
      </w:r>
      <w:r w:rsidR="001C05C3">
        <w:rPr>
          <w:vertAlign w:val="superscript"/>
        </w:rPr>
        <w:br/>
      </w:r>
      <w:r>
        <w:t>Gulam Khandaker</w:t>
      </w:r>
      <w:r>
        <w:rPr>
          <w:vertAlign w:val="superscript"/>
        </w:rPr>
        <w:t xml:space="preserve">1,5 </w:t>
      </w:r>
    </w:p>
    <w:p w14:paraId="079A6E34" w14:textId="77777777" w:rsidR="004E46A7" w:rsidRPr="00AE3F13" w:rsidRDefault="004E46A7" w:rsidP="00AE3F13">
      <w:pPr>
        <w:pStyle w:val="ListParagraph"/>
        <w:numPr>
          <w:ilvl w:val="0"/>
          <w:numId w:val="9"/>
        </w:numPr>
        <w:rPr>
          <w:rFonts w:eastAsia="Times New Roman"/>
        </w:rPr>
      </w:pPr>
      <w:r w:rsidRPr="00AE3F13">
        <w:rPr>
          <w:rFonts w:eastAsia="Times New Roman"/>
        </w:rPr>
        <w:t xml:space="preserve">Central Queensland Public Health Unit, Central Queensland Hospital and Health Service, Rockhampton, Australia </w:t>
      </w:r>
    </w:p>
    <w:p w14:paraId="4A827B2F" w14:textId="77777777" w:rsidR="004E46A7" w:rsidRPr="00AE3F13" w:rsidRDefault="004E46A7" w:rsidP="00AE3F13">
      <w:pPr>
        <w:pStyle w:val="ListParagraph"/>
        <w:numPr>
          <w:ilvl w:val="0"/>
          <w:numId w:val="9"/>
        </w:numPr>
        <w:rPr>
          <w:rFonts w:eastAsia="Times New Roman"/>
        </w:rPr>
      </w:pPr>
      <w:r w:rsidRPr="00AE3F13">
        <w:rPr>
          <w:rFonts w:eastAsia="Times New Roman"/>
        </w:rPr>
        <w:t xml:space="preserve">COVID Incident Management Team, COVID Public Health Response Division, Queensland Health, Australia </w:t>
      </w:r>
    </w:p>
    <w:p w14:paraId="0ABCA00E" w14:textId="77777777" w:rsidR="004E46A7" w:rsidRPr="00AE3F13" w:rsidRDefault="004E46A7" w:rsidP="00AE3F13">
      <w:pPr>
        <w:pStyle w:val="ListParagraph"/>
        <w:numPr>
          <w:ilvl w:val="0"/>
          <w:numId w:val="9"/>
        </w:numPr>
        <w:rPr>
          <w:rFonts w:eastAsia="Times New Roman"/>
        </w:rPr>
      </w:pPr>
      <w:r w:rsidRPr="00AE3F13">
        <w:rPr>
          <w:rFonts w:eastAsia="Times New Roman"/>
        </w:rPr>
        <w:t xml:space="preserve">Aspen Medical, 203 Lavarack Avenue, Eagle Farm, Qld 4009, Australia </w:t>
      </w:r>
    </w:p>
    <w:p w14:paraId="0154F4BC" w14:textId="77777777" w:rsidR="004E46A7" w:rsidRPr="00AE3F13" w:rsidRDefault="004E46A7" w:rsidP="00AE3F13">
      <w:pPr>
        <w:pStyle w:val="ListParagraph"/>
        <w:numPr>
          <w:ilvl w:val="0"/>
          <w:numId w:val="9"/>
        </w:numPr>
        <w:rPr>
          <w:rFonts w:eastAsia="Times New Roman"/>
        </w:rPr>
      </w:pPr>
      <w:r w:rsidRPr="00AE3F13">
        <w:rPr>
          <w:rFonts w:eastAsia="Times New Roman"/>
        </w:rPr>
        <w:t xml:space="preserve">Central Queensland Hospital and Health Service, Rockhampton, Australia </w:t>
      </w:r>
    </w:p>
    <w:p w14:paraId="333D73E4" w14:textId="77777777" w:rsidR="004E46A7" w:rsidRPr="00AE3F13" w:rsidRDefault="004E46A7" w:rsidP="00AE3F13">
      <w:pPr>
        <w:pStyle w:val="ListParagraph"/>
        <w:numPr>
          <w:ilvl w:val="0"/>
          <w:numId w:val="9"/>
        </w:numPr>
        <w:rPr>
          <w:rFonts w:eastAsia="Times New Roman"/>
        </w:rPr>
      </w:pPr>
      <w:r w:rsidRPr="00AE3F13">
        <w:rPr>
          <w:rFonts w:eastAsia="Times New Roman"/>
        </w:rPr>
        <w:t>Central Queensland University, Rockhampton, Australia</w:t>
      </w:r>
    </w:p>
    <w:p w14:paraId="5793B005" w14:textId="77777777" w:rsidR="004E46A7" w:rsidRPr="00AE3F13" w:rsidRDefault="004E46A7" w:rsidP="0045255E">
      <w:pPr>
        <w:pStyle w:val="Heading2"/>
        <w:spacing w:after="200"/>
      </w:pPr>
      <w:r w:rsidRPr="00AE3F13">
        <w:t xml:space="preserve">Corresponding author </w:t>
      </w:r>
    </w:p>
    <w:p w14:paraId="57D48C04" w14:textId="77777777" w:rsidR="004E46A7" w:rsidRDefault="004E46A7" w:rsidP="00AE3F13">
      <w:r>
        <w:t xml:space="preserve">Gulam Khandaker </w:t>
      </w:r>
    </w:p>
    <w:p w14:paraId="100C4FAC" w14:textId="77777777" w:rsidR="004E46A7" w:rsidRDefault="004E46A7" w:rsidP="00AE3F13">
      <w:r>
        <w:t xml:space="preserve">Central Queensland Public Health Unit, Central Queensland Hospital and Health Service, Rockhampton, Australia </w:t>
      </w:r>
    </w:p>
    <w:p w14:paraId="43592145" w14:textId="77777777" w:rsidR="004E46A7" w:rsidRDefault="004E46A7" w:rsidP="00AE3F13">
      <w:r>
        <w:t>Email: Gulam.khandaker@health.qld.gov.au</w:t>
      </w:r>
    </w:p>
    <w:p w14:paraId="7FCDF25C" w14:textId="77777777" w:rsidR="0045255E" w:rsidRDefault="0045255E">
      <w:pPr>
        <w:rPr>
          <w:rFonts w:asciiTheme="majorHAnsi" w:eastAsiaTheme="majorEastAsia" w:hAnsiTheme="majorHAnsi" w:cstheme="majorBidi"/>
          <w:b/>
          <w:bCs/>
          <w:sz w:val="32"/>
          <w:szCs w:val="28"/>
        </w:rPr>
      </w:pPr>
      <w:r>
        <w:br w:type="page"/>
      </w:r>
    </w:p>
    <w:p w14:paraId="4D5E3F37" w14:textId="5B6654BE" w:rsidR="004E46A7" w:rsidRPr="00AE3F13" w:rsidRDefault="004E46A7" w:rsidP="00AE3F13">
      <w:pPr>
        <w:pStyle w:val="Heading1"/>
      </w:pPr>
      <w:r w:rsidRPr="00AE3F13">
        <w:lastRenderedPageBreak/>
        <w:t xml:space="preserve">References </w:t>
      </w:r>
    </w:p>
    <w:p w14:paraId="33ABF114"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Fernandes EG, Santos JDS, Sato HK. Outbreak investigation in cargo ship in times of COVID-19 crisis, Port of Santos, Brazil. </w:t>
      </w:r>
      <w:r w:rsidRPr="006316A4">
        <w:rPr>
          <w:rStyle w:val="Emphasis"/>
          <w:rFonts w:eastAsia="Times New Roman"/>
          <w:b w:val="0"/>
          <w:bCs w:val="0"/>
        </w:rPr>
        <w:t xml:space="preserve">Rev </w:t>
      </w:r>
      <w:proofErr w:type="spellStart"/>
      <w:r w:rsidRPr="006316A4">
        <w:rPr>
          <w:rStyle w:val="Emphasis"/>
          <w:rFonts w:eastAsia="Times New Roman"/>
          <w:b w:val="0"/>
          <w:bCs w:val="0"/>
        </w:rPr>
        <w:t>Saude</w:t>
      </w:r>
      <w:proofErr w:type="spellEnd"/>
      <w:r w:rsidRPr="006316A4">
        <w:rPr>
          <w:rStyle w:val="Emphasis"/>
          <w:rFonts w:eastAsia="Times New Roman"/>
          <w:b w:val="0"/>
          <w:bCs w:val="0"/>
        </w:rPr>
        <w:t xml:space="preserve"> Publica</w:t>
      </w:r>
      <w:r w:rsidRPr="00AE3F13">
        <w:rPr>
          <w:rFonts w:eastAsia="Times New Roman"/>
        </w:rPr>
        <w:t xml:space="preserve">. </w:t>
      </w:r>
      <w:proofErr w:type="gramStart"/>
      <w:r w:rsidRPr="00AE3F13">
        <w:rPr>
          <w:rFonts w:eastAsia="Times New Roman"/>
        </w:rPr>
        <w:t>2020;54:34</w:t>
      </w:r>
      <w:proofErr w:type="gramEnd"/>
      <w:r w:rsidRPr="00AE3F13">
        <w:rPr>
          <w:rFonts w:eastAsia="Times New Roman"/>
        </w:rPr>
        <w:t xml:space="preserve">. </w:t>
      </w:r>
      <w:proofErr w:type="spellStart"/>
      <w:r w:rsidRPr="00AE3F13">
        <w:rPr>
          <w:rFonts w:eastAsia="Times New Roman"/>
        </w:rPr>
        <w:t>doi</w:t>
      </w:r>
      <w:proofErr w:type="spellEnd"/>
      <w:r w:rsidRPr="00AE3F13">
        <w:rPr>
          <w:rFonts w:eastAsia="Times New Roman"/>
        </w:rPr>
        <w:t xml:space="preserve">: https://doi.org/10.11606/s1518-8787.2020054002461. </w:t>
      </w:r>
    </w:p>
    <w:p w14:paraId="664C6CC5"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World Health Organization (WHO). </w:t>
      </w:r>
      <w:r w:rsidRPr="006316A4">
        <w:rPr>
          <w:rStyle w:val="Emphasis"/>
          <w:rFonts w:eastAsia="Times New Roman"/>
          <w:b w:val="0"/>
          <w:bCs w:val="0"/>
        </w:rPr>
        <w:t>Evaluation of COVID-19 vaccine effectiveness - interim guidance</w:t>
      </w:r>
      <w:r w:rsidRPr="00AE3F13">
        <w:rPr>
          <w:rFonts w:eastAsia="Times New Roman"/>
        </w:rPr>
        <w:t xml:space="preserve">. Geneva: WHO; 17 March 2021. Available from: https://www.who.int/publications/i/item/WHO-2019-nCoV-vaccine_effectiveness-measurement-2021.1. </w:t>
      </w:r>
    </w:p>
    <w:p w14:paraId="1CF5BFF9"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Torvaldsen</w:t>
      </w:r>
      <w:proofErr w:type="spellEnd"/>
      <w:r w:rsidRPr="00AE3F13">
        <w:rPr>
          <w:rFonts w:eastAsia="Times New Roman"/>
        </w:rPr>
        <w:t xml:space="preserve"> S, McIntyre PB. Observational methods in epidemiologic assessment of vaccine effectiveness. </w:t>
      </w:r>
      <w:proofErr w:type="spellStart"/>
      <w:r w:rsidRPr="006316A4">
        <w:rPr>
          <w:rStyle w:val="Emphasis"/>
          <w:rFonts w:eastAsia="Times New Roman"/>
          <w:b w:val="0"/>
          <w:bCs w:val="0"/>
        </w:rPr>
        <w:t>Commun</w:t>
      </w:r>
      <w:proofErr w:type="spellEnd"/>
      <w:r w:rsidRPr="006316A4">
        <w:rPr>
          <w:rStyle w:val="Emphasis"/>
          <w:rFonts w:eastAsia="Times New Roman"/>
          <w:b w:val="0"/>
          <w:bCs w:val="0"/>
        </w:rPr>
        <w:t xml:space="preserve"> Dis </w:t>
      </w:r>
      <w:proofErr w:type="spellStart"/>
      <w:r w:rsidRPr="006316A4">
        <w:rPr>
          <w:rStyle w:val="Emphasis"/>
          <w:rFonts w:eastAsia="Times New Roman"/>
          <w:b w:val="0"/>
          <w:bCs w:val="0"/>
        </w:rPr>
        <w:t>Intell</w:t>
      </w:r>
      <w:proofErr w:type="spellEnd"/>
      <w:r w:rsidRPr="006316A4">
        <w:rPr>
          <w:rStyle w:val="Emphasis"/>
          <w:rFonts w:eastAsia="Times New Roman"/>
          <w:b w:val="0"/>
          <w:bCs w:val="0"/>
        </w:rPr>
        <w:t xml:space="preserve"> Q Rep</w:t>
      </w:r>
      <w:r w:rsidRPr="00AE3F13">
        <w:rPr>
          <w:rFonts w:eastAsia="Times New Roman"/>
        </w:rPr>
        <w:t xml:space="preserve">. 2002;26(3):451–7. </w:t>
      </w:r>
    </w:p>
    <w:p w14:paraId="1AD27758"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Dhouib</w:t>
      </w:r>
      <w:proofErr w:type="spellEnd"/>
      <w:r w:rsidRPr="00AE3F13">
        <w:rPr>
          <w:rFonts w:eastAsia="Times New Roman"/>
        </w:rPr>
        <w:t xml:space="preserve"> W, </w:t>
      </w:r>
      <w:proofErr w:type="spellStart"/>
      <w:r w:rsidRPr="00AE3F13">
        <w:rPr>
          <w:rFonts w:eastAsia="Times New Roman"/>
        </w:rPr>
        <w:t>Maatoug</w:t>
      </w:r>
      <w:proofErr w:type="spellEnd"/>
      <w:r w:rsidRPr="00AE3F13">
        <w:rPr>
          <w:rFonts w:eastAsia="Times New Roman"/>
        </w:rPr>
        <w:t xml:space="preserve"> J, </w:t>
      </w:r>
      <w:proofErr w:type="spellStart"/>
      <w:r w:rsidRPr="00AE3F13">
        <w:rPr>
          <w:rFonts w:eastAsia="Times New Roman"/>
        </w:rPr>
        <w:t>Ayouni</w:t>
      </w:r>
      <w:proofErr w:type="spellEnd"/>
      <w:r w:rsidRPr="00AE3F13">
        <w:rPr>
          <w:rFonts w:eastAsia="Times New Roman"/>
        </w:rPr>
        <w:t xml:space="preserve"> I, Zammit N, </w:t>
      </w:r>
      <w:proofErr w:type="spellStart"/>
      <w:r w:rsidRPr="00AE3F13">
        <w:rPr>
          <w:rFonts w:eastAsia="Times New Roman"/>
        </w:rPr>
        <w:t>Ghammem</w:t>
      </w:r>
      <w:proofErr w:type="spellEnd"/>
      <w:r w:rsidRPr="00AE3F13">
        <w:rPr>
          <w:rFonts w:eastAsia="Times New Roman"/>
        </w:rPr>
        <w:t xml:space="preserve"> R, Ben </w:t>
      </w:r>
      <w:proofErr w:type="spellStart"/>
      <w:r w:rsidRPr="00AE3F13">
        <w:rPr>
          <w:rFonts w:eastAsia="Times New Roman"/>
        </w:rPr>
        <w:t>Fredj</w:t>
      </w:r>
      <w:proofErr w:type="spellEnd"/>
      <w:r w:rsidRPr="00AE3F13">
        <w:rPr>
          <w:rFonts w:eastAsia="Times New Roman"/>
        </w:rPr>
        <w:t xml:space="preserve"> S et al. The incubation period during the pandemic of COVID-19: a systematic review and meta-analysis. </w:t>
      </w:r>
      <w:r w:rsidRPr="006316A4">
        <w:rPr>
          <w:rStyle w:val="Emphasis"/>
          <w:rFonts w:eastAsia="Times New Roman"/>
          <w:b w:val="0"/>
          <w:bCs w:val="0"/>
        </w:rPr>
        <w:t>Syst Rev</w:t>
      </w:r>
      <w:r w:rsidRPr="00AE3F13">
        <w:rPr>
          <w:rFonts w:eastAsia="Times New Roman"/>
        </w:rPr>
        <w:t xml:space="preserve">. 2021;10(1):101. </w:t>
      </w:r>
      <w:proofErr w:type="spellStart"/>
      <w:r w:rsidRPr="00AE3F13">
        <w:rPr>
          <w:rFonts w:eastAsia="Times New Roman"/>
        </w:rPr>
        <w:t>doi</w:t>
      </w:r>
      <w:proofErr w:type="spellEnd"/>
      <w:r w:rsidRPr="00AE3F13">
        <w:rPr>
          <w:rFonts w:eastAsia="Times New Roman"/>
        </w:rPr>
        <w:t xml:space="preserve">: https://doi.org/10.1186/s13643-021-01648-y. </w:t>
      </w:r>
    </w:p>
    <w:p w14:paraId="1739342D"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Polack FP, Thomas SJ, </w:t>
      </w:r>
      <w:proofErr w:type="spellStart"/>
      <w:r w:rsidRPr="00AE3F13">
        <w:rPr>
          <w:rFonts w:eastAsia="Times New Roman"/>
        </w:rPr>
        <w:t>Kitchin</w:t>
      </w:r>
      <w:proofErr w:type="spellEnd"/>
      <w:r w:rsidRPr="00AE3F13">
        <w:rPr>
          <w:rFonts w:eastAsia="Times New Roman"/>
        </w:rPr>
        <w:t xml:space="preserve"> N, </w:t>
      </w:r>
      <w:proofErr w:type="spellStart"/>
      <w:r w:rsidRPr="00AE3F13">
        <w:rPr>
          <w:rFonts w:eastAsia="Times New Roman"/>
        </w:rPr>
        <w:t>Absalon</w:t>
      </w:r>
      <w:proofErr w:type="spellEnd"/>
      <w:r w:rsidRPr="00AE3F13">
        <w:rPr>
          <w:rFonts w:eastAsia="Times New Roman"/>
        </w:rPr>
        <w:t xml:space="preserve"> J, </w:t>
      </w:r>
      <w:proofErr w:type="spellStart"/>
      <w:r w:rsidRPr="00AE3F13">
        <w:rPr>
          <w:rFonts w:eastAsia="Times New Roman"/>
        </w:rPr>
        <w:t>Gurtman</w:t>
      </w:r>
      <w:proofErr w:type="spellEnd"/>
      <w:r w:rsidRPr="00AE3F13">
        <w:rPr>
          <w:rFonts w:eastAsia="Times New Roman"/>
        </w:rPr>
        <w:t xml:space="preserve"> A, Lockhart S et al. Safety and efficacy of the BNT162b2 mRNA Covid-19 vaccine. </w:t>
      </w:r>
      <w:r w:rsidRPr="006316A4">
        <w:rPr>
          <w:rStyle w:val="Emphasis"/>
          <w:rFonts w:eastAsia="Times New Roman"/>
          <w:b w:val="0"/>
          <w:bCs w:val="0"/>
        </w:rPr>
        <w:t xml:space="preserve">N </w:t>
      </w:r>
      <w:proofErr w:type="spellStart"/>
      <w:r w:rsidRPr="006316A4">
        <w:rPr>
          <w:rStyle w:val="Emphasis"/>
          <w:rFonts w:eastAsia="Times New Roman"/>
          <w:b w:val="0"/>
          <w:bCs w:val="0"/>
        </w:rPr>
        <w:t>Engl</w:t>
      </w:r>
      <w:proofErr w:type="spellEnd"/>
      <w:r w:rsidRPr="006316A4">
        <w:rPr>
          <w:rStyle w:val="Emphasis"/>
          <w:rFonts w:eastAsia="Times New Roman"/>
          <w:b w:val="0"/>
          <w:bCs w:val="0"/>
        </w:rPr>
        <w:t xml:space="preserve"> J Med</w:t>
      </w:r>
      <w:r w:rsidRPr="00AE3F13">
        <w:rPr>
          <w:rFonts w:eastAsia="Times New Roman"/>
        </w:rPr>
        <w:t xml:space="preserve">. 2020;383(25):2603–15. </w:t>
      </w:r>
      <w:proofErr w:type="spellStart"/>
      <w:r w:rsidRPr="00AE3F13">
        <w:rPr>
          <w:rFonts w:eastAsia="Times New Roman"/>
        </w:rPr>
        <w:t>doi</w:t>
      </w:r>
      <w:proofErr w:type="spellEnd"/>
      <w:r w:rsidRPr="00AE3F13">
        <w:rPr>
          <w:rFonts w:eastAsia="Times New Roman"/>
        </w:rPr>
        <w:t xml:space="preserve">: https://doi.org/10.1056/NEJMoa2034577. </w:t>
      </w:r>
    </w:p>
    <w:p w14:paraId="08936796"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Logunov</w:t>
      </w:r>
      <w:proofErr w:type="spellEnd"/>
      <w:r w:rsidRPr="00AE3F13">
        <w:rPr>
          <w:rFonts w:eastAsia="Times New Roman"/>
        </w:rPr>
        <w:t xml:space="preserve"> DY, </w:t>
      </w:r>
      <w:proofErr w:type="spellStart"/>
      <w:r w:rsidRPr="00AE3F13">
        <w:rPr>
          <w:rFonts w:eastAsia="Times New Roman"/>
        </w:rPr>
        <w:t>Dolzhikova</w:t>
      </w:r>
      <w:proofErr w:type="spellEnd"/>
      <w:r w:rsidRPr="00AE3F13">
        <w:rPr>
          <w:rFonts w:eastAsia="Times New Roman"/>
        </w:rPr>
        <w:t xml:space="preserve"> IV, Zubkova OV, </w:t>
      </w:r>
      <w:proofErr w:type="spellStart"/>
      <w:r w:rsidRPr="00AE3F13">
        <w:rPr>
          <w:rFonts w:eastAsia="Times New Roman"/>
        </w:rPr>
        <w:t>Tukhvatullin</w:t>
      </w:r>
      <w:proofErr w:type="spellEnd"/>
      <w:r w:rsidRPr="00AE3F13">
        <w:rPr>
          <w:rFonts w:eastAsia="Times New Roman"/>
        </w:rPr>
        <w:t xml:space="preserve"> AI, </w:t>
      </w:r>
      <w:proofErr w:type="spellStart"/>
      <w:r w:rsidRPr="00AE3F13">
        <w:rPr>
          <w:rFonts w:eastAsia="Times New Roman"/>
        </w:rPr>
        <w:t>Shcheblyakov</w:t>
      </w:r>
      <w:proofErr w:type="spellEnd"/>
      <w:r w:rsidRPr="00AE3F13">
        <w:rPr>
          <w:rFonts w:eastAsia="Times New Roman"/>
        </w:rPr>
        <w:t xml:space="preserve"> DV, </w:t>
      </w:r>
      <w:proofErr w:type="spellStart"/>
      <w:r w:rsidRPr="00AE3F13">
        <w:rPr>
          <w:rFonts w:eastAsia="Times New Roman"/>
        </w:rPr>
        <w:t>Dzharullaeva</w:t>
      </w:r>
      <w:proofErr w:type="spellEnd"/>
      <w:r w:rsidRPr="00AE3F13">
        <w:rPr>
          <w:rFonts w:eastAsia="Times New Roman"/>
        </w:rPr>
        <w:t xml:space="preserve"> AS et al. Safety and immunogenicity of an rAd26 and rAd5 vector-based heterologous prime-boost COVID-19 vaccine in two formulations: two open, non-randomised phase 1/2 studies from Russia. </w:t>
      </w:r>
      <w:r w:rsidRPr="006316A4">
        <w:rPr>
          <w:rStyle w:val="Emphasis"/>
          <w:rFonts w:eastAsia="Times New Roman"/>
          <w:b w:val="0"/>
          <w:bCs w:val="0"/>
        </w:rPr>
        <w:t>Lancet</w:t>
      </w:r>
      <w:r w:rsidRPr="00AE3F13">
        <w:rPr>
          <w:rFonts w:eastAsia="Times New Roman"/>
        </w:rPr>
        <w:t xml:space="preserve">. 2020;396(10255):887–97. </w:t>
      </w:r>
      <w:proofErr w:type="spellStart"/>
      <w:r w:rsidRPr="00AE3F13">
        <w:rPr>
          <w:rFonts w:eastAsia="Times New Roman"/>
        </w:rPr>
        <w:t>doi</w:t>
      </w:r>
      <w:proofErr w:type="spellEnd"/>
      <w:r w:rsidRPr="00AE3F13">
        <w:rPr>
          <w:rFonts w:eastAsia="Times New Roman"/>
        </w:rPr>
        <w:t xml:space="preserve">: https://doi.org/10.1016/S0140-6736(20)31866-3. </w:t>
      </w:r>
    </w:p>
    <w:p w14:paraId="19F992AD"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Voysey</w:t>
      </w:r>
      <w:proofErr w:type="spellEnd"/>
      <w:r w:rsidRPr="00AE3F13">
        <w:rPr>
          <w:rFonts w:eastAsia="Times New Roman"/>
        </w:rPr>
        <w:t xml:space="preserve"> M, Clemens SAC, </w:t>
      </w:r>
      <w:proofErr w:type="spellStart"/>
      <w:r w:rsidRPr="00AE3F13">
        <w:rPr>
          <w:rFonts w:eastAsia="Times New Roman"/>
        </w:rPr>
        <w:t>Madhi</w:t>
      </w:r>
      <w:proofErr w:type="spellEnd"/>
      <w:r w:rsidRPr="00AE3F13">
        <w:rPr>
          <w:rFonts w:eastAsia="Times New Roman"/>
        </w:rPr>
        <w:t xml:space="preserve"> SA, </w:t>
      </w:r>
      <w:proofErr w:type="spellStart"/>
      <w:r w:rsidRPr="00AE3F13">
        <w:rPr>
          <w:rFonts w:eastAsia="Times New Roman"/>
        </w:rPr>
        <w:t>Weckx</w:t>
      </w:r>
      <w:proofErr w:type="spellEnd"/>
      <w:r w:rsidRPr="00AE3F13">
        <w:rPr>
          <w:rFonts w:eastAsia="Times New Roman"/>
        </w:rPr>
        <w:t xml:space="preserve"> LY, </w:t>
      </w:r>
      <w:proofErr w:type="spellStart"/>
      <w:r w:rsidRPr="00AE3F13">
        <w:rPr>
          <w:rFonts w:eastAsia="Times New Roman"/>
        </w:rPr>
        <w:t>Folegatti</w:t>
      </w:r>
      <w:proofErr w:type="spellEnd"/>
      <w:r w:rsidRPr="00AE3F13">
        <w:rPr>
          <w:rFonts w:eastAsia="Times New Roman"/>
        </w:rPr>
        <w:t xml:space="preserve"> PM, </w:t>
      </w:r>
      <w:proofErr w:type="spellStart"/>
      <w:r w:rsidRPr="00AE3F13">
        <w:rPr>
          <w:rFonts w:eastAsia="Times New Roman"/>
        </w:rPr>
        <w:t>Aley</w:t>
      </w:r>
      <w:proofErr w:type="spellEnd"/>
      <w:r w:rsidRPr="00AE3F13">
        <w:rPr>
          <w:rFonts w:eastAsia="Times New Roman"/>
        </w:rPr>
        <w:t xml:space="preserve"> PK et al. Safety and efficacy of the ChAdOx1 nCoV-19 vaccine (AZD1222) against SARS-CoV-2: an interim analysis of four randomised controlled trials in Brazil, South Africa, and the UK. </w:t>
      </w:r>
      <w:r w:rsidRPr="006316A4">
        <w:rPr>
          <w:rStyle w:val="Emphasis"/>
          <w:rFonts w:eastAsia="Times New Roman"/>
          <w:b w:val="0"/>
          <w:bCs w:val="0"/>
        </w:rPr>
        <w:t>Lancet</w:t>
      </w:r>
      <w:r w:rsidRPr="00AE3F13">
        <w:rPr>
          <w:rFonts w:eastAsia="Times New Roman"/>
        </w:rPr>
        <w:t xml:space="preserve">. 2021;397(10269):99–111. </w:t>
      </w:r>
      <w:proofErr w:type="spellStart"/>
      <w:r w:rsidRPr="00AE3F13">
        <w:rPr>
          <w:rFonts w:eastAsia="Times New Roman"/>
        </w:rPr>
        <w:t>doi</w:t>
      </w:r>
      <w:proofErr w:type="spellEnd"/>
      <w:r w:rsidRPr="00AE3F13">
        <w:rPr>
          <w:rFonts w:eastAsia="Times New Roman"/>
        </w:rPr>
        <w:t xml:space="preserve">: https://doi.org/10.1016/S0140-6736(20)32661-1. </w:t>
      </w:r>
    </w:p>
    <w:p w14:paraId="167CBEA2"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Baden LR, El </w:t>
      </w:r>
      <w:proofErr w:type="spellStart"/>
      <w:r w:rsidRPr="00AE3F13">
        <w:rPr>
          <w:rFonts w:eastAsia="Times New Roman"/>
        </w:rPr>
        <w:t>Sahly</w:t>
      </w:r>
      <w:proofErr w:type="spellEnd"/>
      <w:r w:rsidRPr="00AE3F13">
        <w:rPr>
          <w:rFonts w:eastAsia="Times New Roman"/>
        </w:rPr>
        <w:t xml:space="preserve"> HM, </w:t>
      </w:r>
      <w:proofErr w:type="spellStart"/>
      <w:r w:rsidRPr="00AE3F13">
        <w:rPr>
          <w:rFonts w:eastAsia="Times New Roman"/>
        </w:rPr>
        <w:t>Essink</w:t>
      </w:r>
      <w:proofErr w:type="spellEnd"/>
      <w:r w:rsidRPr="00AE3F13">
        <w:rPr>
          <w:rFonts w:eastAsia="Times New Roman"/>
        </w:rPr>
        <w:t xml:space="preserve"> B, </w:t>
      </w:r>
      <w:proofErr w:type="spellStart"/>
      <w:r w:rsidRPr="00AE3F13">
        <w:rPr>
          <w:rFonts w:eastAsia="Times New Roman"/>
        </w:rPr>
        <w:t>Kotloff</w:t>
      </w:r>
      <w:proofErr w:type="spellEnd"/>
      <w:r w:rsidRPr="00AE3F13">
        <w:rPr>
          <w:rFonts w:eastAsia="Times New Roman"/>
        </w:rPr>
        <w:t xml:space="preserve"> K, Frey S, Novak R et al. Efficacy and safety of the mRNA-1273 SARS-CoV-2 vaccine. </w:t>
      </w:r>
      <w:r w:rsidRPr="006316A4">
        <w:rPr>
          <w:rStyle w:val="Emphasis"/>
          <w:rFonts w:eastAsia="Times New Roman"/>
          <w:b w:val="0"/>
          <w:bCs w:val="0"/>
        </w:rPr>
        <w:t xml:space="preserve">N </w:t>
      </w:r>
      <w:proofErr w:type="spellStart"/>
      <w:r w:rsidRPr="006316A4">
        <w:rPr>
          <w:rStyle w:val="Emphasis"/>
          <w:rFonts w:eastAsia="Times New Roman"/>
          <w:b w:val="0"/>
          <w:bCs w:val="0"/>
        </w:rPr>
        <w:t>Engl</w:t>
      </w:r>
      <w:proofErr w:type="spellEnd"/>
      <w:r w:rsidRPr="006316A4">
        <w:rPr>
          <w:rStyle w:val="Emphasis"/>
          <w:rFonts w:eastAsia="Times New Roman"/>
          <w:b w:val="0"/>
          <w:bCs w:val="0"/>
        </w:rPr>
        <w:t xml:space="preserve"> J Med</w:t>
      </w:r>
      <w:r w:rsidRPr="00AE3F13">
        <w:rPr>
          <w:rFonts w:eastAsia="Times New Roman"/>
        </w:rPr>
        <w:t xml:space="preserve">. 2021;384(5):403–16. </w:t>
      </w:r>
      <w:proofErr w:type="spellStart"/>
      <w:r w:rsidRPr="00AE3F13">
        <w:rPr>
          <w:rFonts w:eastAsia="Times New Roman"/>
        </w:rPr>
        <w:t>doi</w:t>
      </w:r>
      <w:proofErr w:type="spellEnd"/>
      <w:r w:rsidRPr="00AE3F13">
        <w:rPr>
          <w:rFonts w:eastAsia="Times New Roman"/>
        </w:rPr>
        <w:t xml:space="preserve">: https://doi.org/10.1056/NEJMoa2035389. </w:t>
      </w:r>
    </w:p>
    <w:p w14:paraId="4AAA00C7"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Sadoff</w:t>
      </w:r>
      <w:proofErr w:type="spellEnd"/>
      <w:r w:rsidRPr="00AE3F13">
        <w:rPr>
          <w:rFonts w:eastAsia="Times New Roman"/>
        </w:rPr>
        <w:t xml:space="preserve"> J, Gray G, </w:t>
      </w:r>
      <w:proofErr w:type="spellStart"/>
      <w:r w:rsidRPr="00AE3F13">
        <w:rPr>
          <w:rFonts w:eastAsia="Times New Roman"/>
        </w:rPr>
        <w:t>Vandebosch</w:t>
      </w:r>
      <w:proofErr w:type="spellEnd"/>
      <w:r w:rsidRPr="00AE3F13">
        <w:rPr>
          <w:rFonts w:eastAsia="Times New Roman"/>
        </w:rPr>
        <w:t xml:space="preserve"> A, Cárdenas V, </w:t>
      </w:r>
      <w:proofErr w:type="spellStart"/>
      <w:r w:rsidRPr="00AE3F13">
        <w:rPr>
          <w:rFonts w:eastAsia="Times New Roman"/>
        </w:rPr>
        <w:t>Shukarev</w:t>
      </w:r>
      <w:proofErr w:type="spellEnd"/>
      <w:r w:rsidRPr="00AE3F13">
        <w:rPr>
          <w:rFonts w:eastAsia="Times New Roman"/>
        </w:rPr>
        <w:t xml:space="preserve"> G, </w:t>
      </w:r>
      <w:proofErr w:type="spellStart"/>
      <w:r w:rsidRPr="00AE3F13">
        <w:rPr>
          <w:rFonts w:eastAsia="Times New Roman"/>
        </w:rPr>
        <w:t>Grinsztejn</w:t>
      </w:r>
      <w:proofErr w:type="spellEnd"/>
      <w:r w:rsidRPr="00AE3F13">
        <w:rPr>
          <w:rFonts w:eastAsia="Times New Roman"/>
        </w:rPr>
        <w:t xml:space="preserve"> B et al. Safety and efficacy of single-dose Ad26.COV</w:t>
      </w:r>
      <w:proofErr w:type="gramStart"/>
      <w:r w:rsidRPr="00AE3F13">
        <w:rPr>
          <w:rFonts w:eastAsia="Times New Roman"/>
        </w:rPr>
        <w:t>2.S</w:t>
      </w:r>
      <w:proofErr w:type="gramEnd"/>
      <w:r w:rsidRPr="00AE3F13">
        <w:rPr>
          <w:rFonts w:eastAsia="Times New Roman"/>
        </w:rPr>
        <w:t xml:space="preserve"> vaccine against Covid-19. </w:t>
      </w:r>
      <w:r w:rsidRPr="006316A4">
        <w:rPr>
          <w:rStyle w:val="Emphasis"/>
          <w:rFonts w:eastAsia="Times New Roman"/>
          <w:b w:val="0"/>
          <w:bCs w:val="0"/>
        </w:rPr>
        <w:t xml:space="preserve">N </w:t>
      </w:r>
      <w:proofErr w:type="spellStart"/>
      <w:r w:rsidRPr="006316A4">
        <w:rPr>
          <w:rStyle w:val="Emphasis"/>
          <w:rFonts w:eastAsia="Times New Roman"/>
          <w:b w:val="0"/>
          <w:bCs w:val="0"/>
        </w:rPr>
        <w:t>Engl</w:t>
      </w:r>
      <w:proofErr w:type="spellEnd"/>
      <w:r w:rsidRPr="006316A4">
        <w:rPr>
          <w:rStyle w:val="Emphasis"/>
          <w:rFonts w:eastAsia="Times New Roman"/>
          <w:b w:val="0"/>
          <w:bCs w:val="0"/>
        </w:rPr>
        <w:t xml:space="preserve"> J Med</w:t>
      </w:r>
      <w:r w:rsidRPr="00AE3F13">
        <w:rPr>
          <w:rFonts w:eastAsia="Times New Roman"/>
        </w:rPr>
        <w:t xml:space="preserve">. 2021;384(23):2187–201. </w:t>
      </w:r>
      <w:proofErr w:type="spellStart"/>
      <w:r w:rsidRPr="00AE3F13">
        <w:rPr>
          <w:rFonts w:eastAsia="Times New Roman"/>
        </w:rPr>
        <w:t>doi</w:t>
      </w:r>
      <w:proofErr w:type="spellEnd"/>
      <w:r w:rsidRPr="00AE3F13">
        <w:rPr>
          <w:rFonts w:eastAsia="Times New Roman"/>
        </w:rPr>
        <w:t xml:space="preserve">: https://doi.org/10.1056/NEJMoa2101544. </w:t>
      </w:r>
    </w:p>
    <w:p w14:paraId="76ECA769"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Kordsmeyer</w:t>
      </w:r>
      <w:proofErr w:type="spellEnd"/>
      <w:r w:rsidRPr="00AE3F13">
        <w:rPr>
          <w:rFonts w:eastAsia="Times New Roman"/>
        </w:rPr>
        <w:t xml:space="preserve"> AC, </w:t>
      </w:r>
      <w:proofErr w:type="spellStart"/>
      <w:r w:rsidRPr="00AE3F13">
        <w:rPr>
          <w:rFonts w:eastAsia="Times New Roman"/>
        </w:rPr>
        <w:t>Mojtahedzadeh</w:t>
      </w:r>
      <w:proofErr w:type="spellEnd"/>
      <w:r w:rsidRPr="00AE3F13">
        <w:rPr>
          <w:rFonts w:eastAsia="Times New Roman"/>
        </w:rPr>
        <w:t xml:space="preserve"> N, Heidrich J, </w:t>
      </w:r>
      <w:proofErr w:type="spellStart"/>
      <w:r w:rsidRPr="00AE3F13">
        <w:rPr>
          <w:rFonts w:eastAsia="Times New Roman"/>
        </w:rPr>
        <w:t>Militzer</w:t>
      </w:r>
      <w:proofErr w:type="spellEnd"/>
      <w:r w:rsidRPr="00AE3F13">
        <w:rPr>
          <w:rFonts w:eastAsia="Times New Roman"/>
        </w:rPr>
        <w:t xml:space="preserve"> K, von Münster T, </w:t>
      </w:r>
      <w:proofErr w:type="spellStart"/>
      <w:r w:rsidRPr="00AE3F13">
        <w:rPr>
          <w:rFonts w:eastAsia="Times New Roman"/>
        </w:rPr>
        <w:t>Belz</w:t>
      </w:r>
      <w:proofErr w:type="spellEnd"/>
      <w:r w:rsidRPr="00AE3F13">
        <w:rPr>
          <w:rFonts w:eastAsia="Times New Roman"/>
        </w:rPr>
        <w:t xml:space="preserve"> L et al. Systematic review on outbreaks of SARS-CoV-2 on cruise, </w:t>
      </w:r>
      <w:proofErr w:type="gramStart"/>
      <w:r w:rsidRPr="00AE3F13">
        <w:rPr>
          <w:rFonts w:eastAsia="Times New Roman"/>
        </w:rPr>
        <w:t>navy</w:t>
      </w:r>
      <w:proofErr w:type="gramEnd"/>
      <w:r w:rsidRPr="00AE3F13">
        <w:rPr>
          <w:rFonts w:eastAsia="Times New Roman"/>
        </w:rPr>
        <w:t xml:space="preserve"> and cargo ships. </w:t>
      </w:r>
      <w:r w:rsidRPr="006316A4">
        <w:rPr>
          <w:rStyle w:val="Emphasis"/>
          <w:rFonts w:eastAsia="Times New Roman"/>
          <w:b w:val="0"/>
          <w:bCs w:val="0"/>
        </w:rPr>
        <w:t>Int J Environ Res Public Health</w:t>
      </w:r>
      <w:r w:rsidRPr="00AE3F13">
        <w:rPr>
          <w:rFonts w:eastAsia="Times New Roman"/>
        </w:rPr>
        <w:t xml:space="preserve">. 2021;18(10):5195. </w:t>
      </w:r>
      <w:proofErr w:type="spellStart"/>
      <w:r w:rsidRPr="00AE3F13">
        <w:rPr>
          <w:rFonts w:eastAsia="Times New Roman"/>
        </w:rPr>
        <w:t>doi</w:t>
      </w:r>
      <w:proofErr w:type="spellEnd"/>
      <w:r w:rsidRPr="00AE3F13">
        <w:rPr>
          <w:rFonts w:eastAsia="Times New Roman"/>
        </w:rPr>
        <w:t xml:space="preserve">: https://doi.org/10.3390/ijerph18105195. </w:t>
      </w:r>
    </w:p>
    <w:p w14:paraId="6FDF4E2B"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Codreanu</w:t>
      </w:r>
      <w:proofErr w:type="spellEnd"/>
      <w:r w:rsidRPr="00AE3F13">
        <w:rPr>
          <w:rFonts w:eastAsia="Times New Roman"/>
        </w:rPr>
        <w:t xml:space="preserve"> TA, </w:t>
      </w:r>
      <w:proofErr w:type="spellStart"/>
      <w:r w:rsidRPr="00AE3F13">
        <w:rPr>
          <w:rFonts w:eastAsia="Times New Roman"/>
        </w:rPr>
        <w:t>Ngeh</w:t>
      </w:r>
      <w:proofErr w:type="spellEnd"/>
      <w:r w:rsidRPr="00AE3F13">
        <w:rPr>
          <w:rFonts w:eastAsia="Times New Roman"/>
        </w:rPr>
        <w:t xml:space="preserve"> S, </w:t>
      </w:r>
      <w:proofErr w:type="spellStart"/>
      <w:r w:rsidRPr="00AE3F13">
        <w:rPr>
          <w:rFonts w:eastAsia="Times New Roman"/>
        </w:rPr>
        <w:t>Trewin</w:t>
      </w:r>
      <w:proofErr w:type="spellEnd"/>
      <w:r w:rsidRPr="00AE3F13">
        <w:rPr>
          <w:rFonts w:eastAsia="Times New Roman"/>
        </w:rPr>
        <w:t xml:space="preserve"> A, Armstrong PK. Successful control of an onboard COVID-19 outbreak using the cruise ship as a quarantine facility, Western Australia, Australia. </w:t>
      </w:r>
      <w:proofErr w:type="spellStart"/>
      <w:r w:rsidRPr="006316A4">
        <w:rPr>
          <w:rStyle w:val="Emphasis"/>
          <w:rFonts w:eastAsia="Times New Roman"/>
          <w:b w:val="0"/>
          <w:bCs w:val="0"/>
        </w:rPr>
        <w:t>Emerg</w:t>
      </w:r>
      <w:proofErr w:type="spellEnd"/>
      <w:r w:rsidRPr="006316A4">
        <w:rPr>
          <w:rStyle w:val="Emphasis"/>
          <w:rFonts w:eastAsia="Times New Roman"/>
          <w:b w:val="0"/>
          <w:bCs w:val="0"/>
        </w:rPr>
        <w:t xml:space="preserve"> Infect Dis</w:t>
      </w:r>
      <w:r w:rsidRPr="00AE3F13">
        <w:rPr>
          <w:rFonts w:eastAsia="Times New Roman"/>
        </w:rPr>
        <w:t xml:space="preserve">. 2021;27(5):1279–87. </w:t>
      </w:r>
      <w:proofErr w:type="spellStart"/>
      <w:r w:rsidRPr="00AE3F13">
        <w:rPr>
          <w:rFonts w:eastAsia="Times New Roman"/>
        </w:rPr>
        <w:t>doi</w:t>
      </w:r>
      <w:proofErr w:type="spellEnd"/>
      <w:r w:rsidRPr="00AE3F13">
        <w:rPr>
          <w:rFonts w:eastAsia="Times New Roman"/>
        </w:rPr>
        <w:t xml:space="preserve">: https://doi.org/10.3201/eid2705.204142. </w:t>
      </w:r>
    </w:p>
    <w:p w14:paraId="64C6BE88" w14:textId="77777777" w:rsidR="004E46A7" w:rsidRPr="00AE3F13" w:rsidRDefault="004E46A7" w:rsidP="00AE3F13">
      <w:pPr>
        <w:pStyle w:val="ListParagraph"/>
        <w:numPr>
          <w:ilvl w:val="0"/>
          <w:numId w:val="10"/>
        </w:numPr>
        <w:rPr>
          <w:rFonts w:eastAsia="Times New Roman"/>
        </w:rPr>
      </w:pPr>
      <w:proofErr w:type="spellStart"/>
      <w:r w:rsidRPr="00AE3F13">
        <w:rPr>
          <w:rFonts w:eastAsia="Times New Roman"/>
        </w:rPr>
        <w:t>Tokuda</w:t>
      </w:r>
      <w:proofErr w:type="spellEnd"/>
      <w:r w:rsidRPr="00AE3F13">
        <w:rPr>
          <w:rFonts w:eastAsia="Times New Roman"/>
        </w:rPr>
        <w:t xml:space="preserve"> Y, </w:t>
      </w:r>
      <w:proofErr w:type="spellStart"/>
      <w:r w:rsidRPr="00AE3F13">
        <w:rPr>
          <w:rFonts w:eastAsia="Times New Roman"/>
        </w:rPr>
        <w:t>Sakihama</w:t>
      </w:r>
      <w:proofErr w:type="spellEnd"/>
      <w:r w:rsidRPr="00AE3F13">
        <w:rPr>
          <w:rFonts w:eastAsia="Times New Roman"/>
        </w:rPr>
        <w:t xml:space="preserve"> T, Aoki M, Taniguchi K, Deshpande GA, Suzuki S et al. COVID-19 outbreak on the </w:t>
      </w:r>
      <w:r w:rsidRPr="006316A4">
        <w:rPr>
          <w:rStyle w:val="Emphasis"/>
          <w:rFonts w:eastAsia="Times New Roman"/>
          <w:b w:val="0"/>
          <w:bCs w:val="0"/>
        </w:rPr>
        <w:t>Diamond Princess</w:t>
      </w:r>
      <w:r w:rsidRPr="00AE3F13">
        <w:rPr>
          <w:rFonts w:eastAsia="Times New Roman"/>
        </w:rPr>
        <w:t xml:space="preserve"> cruise ship in February 2020. </w:t>
      </w:r>
      <w:r w:rsidRPr="006316A4">
        <w:rPr>
          <w:rStyle w:val="Emphasis"/>
          <w:rFonts w:eastAsia="Times New Roman"/>
          <w:b w:val="0"/>
          <w:bCs w:val="0"/>
        </w:rPr>
        <w:t>J Gen Fam Med</w:t>
      </w:r>
      <w:r w:rsidRPr="00AE3F13">
        <w:rPr>
          <w:rFonts w:eastAsia="Times New Roman"/>
        </w:rPr>
        <w:t xml:space="preserve">. 2020;21(4):95–7. </w:t>
      </w:r>
      <w:proofErr w:type="spellStart"/>
      <w:r w:rsidRPr="00AE3F13">
        <w:rPr>
          <w:rFonts w:eastAsia="Times New Roman"/>
        </w:rPr>
        <w:t>doi</w:t>
      </w:r>
      <w:proofErr w:type="spellEnd"/>
      <w:r w:rsidRPr="00AE3F13">
        <w:rPr>
          <w:rFonts w:eastAsia="Times New Roman"/>
        </w:rPr>
        <w:t xml:space="preserve">: https://doi.org/10.1002/jgf2.326. </w:t>
      </w:r>
    </w:p>
    <w:p w14:paraId="37884B70"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Kasper MR, </w:t>
      </w:r>
      <w:proofErr w:type="spellStart"/>
      <w:r w:rsidRPr="00AE3F13">
        <w:rPr>
          <w:rFonts w:eastAsia="Times New Roman"/>
        </w:rPr>
        <w:t>Geibe</w:t>
      </w:r>
      <w:proofErr w:type="spellEnd"/>
      <w:r w:rsidRPr="00AE3F13">
        <w:rPr>
          <w:rFonts w:eastAsia="Times New Roman"/>
        </w:rPr>
        <w:t xml:space="preserve"> JR, Sears CL, </w:t>
      </w:r>
      <w:proofErr w:type="spellStart"/>
      <w:r w:rsidRPr="00AE3F13">
        <w:rPr>
          <w:rFonts w:eastAsia="Times New Roman"/>
        </w:rPr>
        <w:t>Riegodedios</w:t>
      </w:r>
      <w:proofErr w:type="spellEnd"/>
      <w:r w:rsidRPr="00AE3F13">
        <w:rPr>
          <w:rFonts w:eastAsia="Times New Roman"/>
        </w:rPr>
        <w:t xml:space="preserve"> AJ, </w:t>
      </w:r>
      <w:proofErr w:type="spellStart"/>
      <w:r w:rsidRPr="00AE3F13">
        <w:rPr>
          <w:rFonts w:eastAsia="Times New Roman"/>
        </w:rPr>
        <w:t>Luse</w:t>
      </w:r>
      <w:proofErr w:type="spellEnd"/>
      <w:r w:rsidRPr="00AE3F13">
        <w:rPr>
          <w:rFonts w:eastAsia="Times New Roman"/>
        </w:rPr>
        <w:t xml:space="preserve"> T, Von Thun AM et al. An outbreak of Covid-19 on an aircraft carrier. </w:t>
      </w:r>
      <w:r w:rsidRPr="006316A4">
        <w:rPr>
          <w:rStyle w:val="Emphasis"/>
          <w:rFonts w:eastAsia="Times New Roman"/>
          <w:b w:val="0"/>
          <w:bCs w:val="0"/>
        </w:rPr>
        <w:t xml:space="preserve">N </w:t>
      </w:r>
      <w:proofErr w:type="spellStart"/>
      <w:r w:rsidRPr="006316A4">
        <w:rPr>
          <w:rStyle w:val="Emphasis"/>
          <w:rFonts w:eastAsia="Times New Roman"/>
          <w:b w:val="0"/>
          <w:bCs w:val="0"/>
        </w:rPr>
        <w:t>Engl</w:t>
      </w:r>
      <w:proofErr w:type="spellEnd"/>
      <w:r w:rsidRPr="006316A4">
        <w:rPr>
          <w:rStyle w:val="Emphasis"/>
          <w:rFonts w:eastAsia="Times New Roman"/>
          <w:b w:val="0"/>
          <w:bCs w:val="0"/>
        </w:rPr>
        <w:t xml:space="preserve"> J Med</w:t>
      </w:r>
      <w:r w:rsidRPr="00AE3F13">
        <w:rPr>
          <w:rFonts w:eastAsia="Times New Roman"/>
        </w:rPr>
        <w:t xml:space="preserve">. 2020;383(25):2417–26. </w:t>
      </w:r>
      <w:proofErr w:type="spellStart"/>
      <w:r w:rsidRPr="00AE3F13">
        <w:rPr>
          <w:rFonts w:eastAsia="Times New Roman"/>
        </w:rPr>
        <w:t>doi</w:t>
      </w:r>
      <w:proofErr w:type="spellEnd"/>
      <w:r w:rsidRPr="00AE3F13">
        <w:rPr>
          <w:rFonts w:eastAsia="Times New Roman"/>
        </w:rPr>
        <w:t xml:space="preserve">: https://doi.org/10.1056/NEJMoa2019375. </w:t>
      </w:r>
    </w:p>
    <w:p w14:paraId="02C2CDF9" w14:textId="77777777" w:rsidR="004E46A7" w:rsidRPr="00AE3F13" w:rsidRDefault="004E46A7" w:rsidP="00AE3F13">
      <w:pPr>
        <w:pStyle w:val="ListParagraph"/>
        <w:numPr>
          <w:ilvl w:val="0"/>
          <w:numId w:val="10"/>
        </w:numPr>
        <w:rPr>
          <w:rFonts w:eastAsia="Times New Roman"/>
        </w:rPr>
      </w:pPr>
      <w:r w:rsidRPr="00AE3F13">
        <w:rPr>
          <w:rFonts w:eastAsia="Times New Roman"/>
        </w:rPr>
        <w:t xml:space="preserve">Lee BU. A high attack rate of 90% of SARS-CoV-2 Delta variant infections in crew personnel on a single navy ship. </w:t>
      </w:r>
      <w:r w:rsidRPr="006316A4">
        <w:rPr>
          <w:rStyle w:val="Emphasis"/>
          <w:rFonts w:eastAsia="Times New Roman"/>
          <w:b w:val="0"/>
          <w:bCs w:val="0"/>
        </w:rPr>
        <w:t>J Travel Med</w:t>
      </w:r>
      <w:r w:rsidRPr="00AE3F13">
        <w:rPr>
          <w:rFonts w:eastAsia="Times New Roman"/>
        </w:rPr>
        <w:t xml:space="preserve">. </w:t>
      </w:r>
      <w:proofErr w:type="gramStart"/>
      <w:r w:rsidRPr="00AE3F13">
        <w:rPr>
          <w:rFonts w:eastAsia="Times New Roman"/>
        </w:rPr>
        <w:t>2021:taab</w:t>
      </w:r>
      <w:proofErr w:type="gramEnd"/>
      <w:r w:rsidRPr="00AE3F13">
        <w:rPr>
          <w:rFonts w:eastAsia="Times New Roman"/>
        </w:rPr>
        <w:t xml:space="preserve">168. </w:t>
      </w:r>
      <w:proofErr w:type="spellStart"/>
      <w:r w:rsidRPr="00AE3F13">
        <w:rPr>
          <w:rFonts w:eastAsia="Times New Roman"/>
        </w:rPr>
        <w:t>doi</w:t>
      </w:r>
      <w:proofErr w:type="spellEnd"/>
      <w:r w:rsidRPr="00AE3F13">
        <w:rPr>
          <w:rFonts w:eastAsia="Times New Roman"/>
        </w:rPr>
        <w:t>: https://doi.org/10.1093/jtm/taab168.</w:t>
      </w:r>
    </w:p>
    <w:p w14:paraId="392931C4" w14:textId="1AD79E7F" w:rsidR="008B5348" w:rsidRDefault="008B5348">
      <w:pPr>
        <w:rPr>
          <w:rStyle w:val="A10"/>
        </w:rPr>
        <w:sectPr w:rsidR="008B5348" w:rsidSect="00A30C37">
          <w:headerReference w:type="default" r:id="rId11"/>
          <w:footerReference w:type="default" r:id="rId12"/>
          <w:footerReference w:type="first" r:id="rId13"/>
          <w:pgSz w:w="11906" w:h="16838"/>
          <w:pgMar w:top="720" w:right="720" w:bottom="1134" w:left="720" w:header="709" w:footer="284" w:gutter="0"/>
          <w:cols w:space="708"/>
          <w:titlePg/>
          <w:docGrid w:linePitch="360"/>
        </w:sectPr>
      </w:pPr>
      <w:r>
        <w:rPr>
          <w:rStyle w:val="A10"/>
        </w:rPr>
        <w:br w:type="page"/>
      </w:r>
    </w:p>
    <w:p w14:paraId="7C670A9C"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180EFDC8"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122AA5EB" w14:textId="77777777" w:rsidR="000A5F42" w:rsidRPr="000606CC" w:rsidRDefault="000A5F42" w:rsidP="000A5F42">
      <w:pPr>
        <w:pStyle w:val="NoSpacing"/>
        <w:rPr>
          <w:rStyle w:val="URI"/>
          <w:rFonts w:cstheme="minorHAnsi"/>
          <w:sz w:val="20"/>
          <w:szCs w:val="18"/>
        </w:rPr>
      </w:pPr>
    </w:p>
    <w:p w14:paraId="092BEE0F"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75586613" w14:textId="77777777" w:rsidR="000A5F42" w:rsidRPr="000606CC" w:rsidRDefault="000A5F42" w:rsidP="000A5F42">
      <w:pPr>
        <w:pStyle w:val="NoSpacing"/>
        <w:rPr>
          <w:rStyle w:val="Strong"/>
          <w:rFonts w:cstheme="minorHAnsi"/>
          <w:sz w:val="20"/>
          <w:szCs w:val="18"/>
        </w:rPr>
      </w:pPr>
    </w:p>
    <w:p w14:paraId="5B50E2AF"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7E5CA0" w:rsidRPr="007E5CA0">
        <w:rPr>
          <w:rFonts w:cstheme="minorHAnsi"/>
          <w:sz w:val="20"/>
          <w:szCs w:val="18"/>
        </w:rPr>
        <w:t>Noel Lally</w:t>
      </w:r>
    </w:p>
    <w:p w14:paraId="4915301C"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4CE38886"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4FF95B2A"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2C2B35F9" w14:textId="77777777" w:rsidR="000A5F42" w:rsidRPr="000606CC" w:rsidRDefault="000A5F42" w:rsidP="000A5F42">
      <w:pPr>
        <w:pStyle w:val="NoSpacing"/>
        <w:rPr>
          <w:rStyle w:val="Strong"/>
          <w:rFonts w:cstheme="minorHAnsi"/>
          <w:sz w:val="20"/>
          <w:szCs w:val="18"/>
        </w:rPr>
      </w:pPr>
    </w:p>
    <w:p w14:paraId="10C25186" w14:textId="7977ECA2"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09BE40C6" w14:textId="77777777" w:rsidR="000A5F42" w:rsidRPr="000606CC" w:rsidRDefault="000A5F42" w:rsidP="000A5F42">
      <w:pPr>
        <w:pStyle w:val="NoSpacing"/>
        <w:rPr>
          <w:rStyle w:val="Strong"/>
          <w:rFonts w:cstheme="minorHAnsi"/>
          <w:sz w:val="20"/>
          <w:szCs w:val="18"/>
        </w:rPr>
      </w:pPr>
    </w:p>
    <w:p w14:paraId="62C79D28" w14:textId="247B0A34"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CDI is produced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 xml:space="preserve">Office of Health Protection and Response, </w:t>
      </w:r>
      <w:r w:rsidR="008321B1">
        <w:rPr>
          <w:rFonts w:cstheme="minorHAnsi"/>
          <w:sz w:val="20"/>
          <w:szCs w:val="18"/>
        </w:rPr>
        <w:t>Australian Government Department of Health and Aged Care</w:t>
      </w:r>
      <w:r w:rsidR="00E54BBD" w:rsidRPr="00E54BBD">
        <w:rPr>
          <w:rFonts w:cstheme="minorHAnsi"/>
          <w:sz w:val="20"/>
          <w:szCs w:val="18"/>
        </w:rPr>
        <w:t>, GPO Box 9848, (MDP 6) CANBERRA ACT 2601</w:t>
      </w:r>
    </w:p>
    <w:p w14:paraId="1EE4EE56" w14:textId="77777777" w:rsidR="000A5F42" w:rsidRPr="000606CC" w:rsidRDefault="000A5F42" w:rsidP="000A5F42">
      <w:pPr>
        <w:pStyle w:val="NoSpacing"/>
        <w:rPr>
          <w:rStyle w:val="Strong"/>
          <w:rFonts w:cstheme="minorHAnsi"/>
          <w:sz w:val="20"/>
          <w:szCs w:val="18"/>
        </w:rPr>
      </w:pPr>
    </w:p>
    <w:p w14:paraId="4F9814CF" w14:textId="08BE0DD9"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1863328D" w14:textId="77777777" w:rsidR="000A5F42" w:rsidRPr="000606CC" w:rsidRDefault="000A5F42" w:rsidP="000A5F42">
      <w:pPr>
        <w:pStyle w:val="NoSpacing"/>
        <w:rPr>
          <w:rStyle w:val="Strong"/>
          <w:rFonts w:cstheme="minorHAnsi"/>
          <w:sz w:val="20"/>
          <w:szCs w:val="18"/>
        </w:rPr>
      </w:pPr>
    </w:p>
    <w:p w14:paraId="30970D89" w14:textId="7E25EF35"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2DEF1118" w14:textId="1056B8FF"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7" w:history="1">
        <w:r w:rsidRPr="000606CC">
          <w:rPr>
            <w:rStyle w:val="Hyperlink"/>
            <w:rFonts w:cstheme="minorHAnsi"/>
            <w:sz w:val="20"/>
            <w:szCs w:val="18"/>
          </w:rPr>
          <w:t>cdi.editor@health.gov.au</w:t>
        </w:r>
      </w:hyperlink>
      <w:r w:rsidRPr="000606CC">
        <w:rPr>
          <w:rFonts w:cstheme="minorHAnsi"/>
          <w:sz w:val="20"/>
          <w:szCs w:val="18"/>
        </w:rPr>
        <w:t>.</w:t>
      </w:r>
    </w:p>
    <w:p w14:paraId="476F94C5" w14:textId="77777777" w:rsidR="000A5F42" w:rsidRPr="000606CC" w:rsidRDefault="000A5F42" w:rsidP="000A5F42">
      <w:pPr>
        <w:pStyle w:val="NoSpacing"/>
        <w:pBdr>
          <w:bottom w:val="single" w:sz="6" w:space="1" w:color="auto"/>
        </w:pBdr>
        <w:rPr>
          <w:rStyle w:val="Strong"/>
          <w:rFonts w:cstheme="minorHAnsi"/>
          <w:sz w:val="12"/>
          <w:szCs w:val="18"/>
        </w:rPr>
      </w:pPr>
    </w:p>
    <w:p w14:paraId="1EAB153F" w14:textId="77777777" w:rsidR="000A5F42" w:rsidRPr="000606CC" w:rsidRDefault="000A5F42" w:rsidP="000A5F42">
      <w:pPr>
        <w:pStyle w:val="NoSpacing"/>
        <w:rPr>
          <w:rFonts w:cstheme="minorHAnsi"/>
          <w:sz w:val="20"/>
          <w:szCs w:val="18"/>
        </w:rPr>
      </w:pPr>
    </w:p>
    <w:p w14:paraId="245AD6E6"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4BF2F432" w14:textId="77777777" w:rsidR="000A5F42" w:rsidRPr="000606CC" w:rsidRDefault="000A5F42" w:rsidP="000A5F42">
      <w:pPr>
        <w:pStyle w:val="NoSpacing"/>
        <w:rPr>
          <w:rFonts w:cstheme="minorHAnsi"/>
          <w:sz w:val="20"/>
          <w:szCs w:val="18"/>
        </w:rPr>
      </w:pPr>
    </w:p>
    <w:p w14:paraId="428EF64F"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018C0DDE"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852E2B">
        <w:rPr>
          <w:rFonts w:cstheme="minorHAnsi"/>
          <w:sz w:val="20"/>
          <w:szCs w:val="18"/>
        </w:rPr>
        <w:fldChar w:fldCharType="begin"/>
      </w:r>
      <w:r w:rsidR="00852E2B">
        <w:rPr>
          <w:rFonts w:cstheme="minorHAnsi"/>
          <w:sz w:val="20"/>
          <w:szCs w:val="18"/>
        </w:rPr>
        <w:instrText xml:space="preserve"> DOCPROPERTY  Year  \* MERGEFORMAT </w:instrText>
      </w:r>
      <w:r w:rsidR="00852E2B">
        <w:rPr>
          <w:rFonts w:cstheme="minorHAnsi"/>
          <w:sz w:val="20"/>
          <w:szCs w:val="18"/>
        </w:rPr>
        <w:fldChar w:fldCharType="separate"/>
      </w:r>
      <w:r w:rsidR="001C4183">
        <w:rPr>
          <w:rFonts w:cstheme="minorHAnsi"/>
          <w:sz w:val="20"/>
          <w:szCs w:val="18"/>
        </w:rPr>
        <w:t>2022</w:t>
      </w:r>
      <w:r w:rsidR="00852E2B">
        <w:rPr>
          <w:rFonts w:cstheme="minorHAnsi"/>
          <w:sz w:val="20"/>
          <w:szCs w:val="18"/>
        </w:rPr>
        <w:fldChar w:fldCharType="end"/>
      </w:r>
      <w:r w:rsidR="00852E2B">
        <w:rPr>
          <w:rFonts w:cstheme="minorHAnsi"/>
          <w:sz w:val="20"/>
          <w:szCs w:val="18"/>
        </w:rPr>
        <w:t xml:space="preserve"> </w:t>
      </w:r>
      <w:r w:rsidRPr="000606CC">
        <w:rPr>
          <w:rFonts w:cstheme="minorHAnsi"/>
          <w:sz w:val="20"/>
          <w:szCs w:val="18"/>
        </w:rPr>
        <w:t>Commonwealth of Australia as represented by the Department of Health</w:t>
      </w:r>
    </w:p>
    <w:p w14:paraId="74FCB6F7" w14:textId="2D3AA435"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E042037" w14:textId="77777777" w:rsidR="000A5F42" w:rsidRPr="000606CC" w:rsidRDefault="000A5F42" w:rsidP="000A5F42">
      <w:pPr>
        <w:pStyle w:val="NoSpacing"/>
        <w:rPr>
          <w:rFonts w:cstheme="minorHAnsi"/>
          <w:sz w:val="20"/>
          <w:szCs w:val="18"/>
        </w:rPr>
      </w:pPr>
    </w:p>
    <w:p w14:paraId="1F548E03"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09D8CD21" w14:textId="31CDAE2B"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proofErr w:type="gramStart"/>
      <w:r w:rsidRPr="000606CC">
        <w:rPr>
          <w:rStyle w:val="URI"/>
          <w:rFonts w:cstheme="minorHAnsi"/>
          <w:sz w:val="20"/>
          <w:szCs w:val="18"/>
          <w:u w:val="none"/>
        </w:rPr>
        <w:t>)</w:t>
      </w:r>
      <w:r w:rsidRPr="000606CC">
        <w:rPr>
          <w:rFonts w:cstheme="minorHAnsi"/>
          <w:sz w:val="20"/>
          <w:szCs w:val="18"/>
        </w:rPr>
        <w:t>;</w:t>
      </w:r>
      <w:proofErr w:type="gramEnd"/>
      <w:r w:rsidRPr="000606CC">
        <w:rPr>
          <w:rFonts w:cstheme="minorHAnsi"/>
          <w:sz w:val="20"/>
          <w:szCs w:val="18"/>
        </w:rPr>
        <w:t xml:space="preserve">  </w:t>
      </w:r>
    </w:p>
    <w:p w14:paraId="5D421BC4"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4C30118F"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6B1E6F3E"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099E84A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2152C592" w14:textId="77777777" w:rsidR="000A5F42" w:rsidRPr="000606CC" w:rsidRDefault="000A5F42" w:rsidP="000A5F42">
      <w:pPr>
        <w:pStyle w:val="NoSpacing"/>
        <w:rPr>
          <w:rStyle w:val="Strong"/>
          <w:rFonts w:cstheme="minorHAnsi"/>
          <w:sz w:val="20"/>
          <w:szCs w:val="18"/>
        </w:rPr>
      </w:pPr>
    </w:p>
    <w:p w14:paraId="7F72248A" w14:textId="707682B3"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 xml:space="preserve">Opinions expressed in Communicable Diseases Intelligence are those of the authors and not necessarily those of the </w:t>
      </w:r>
      <w:r w:rsidR="008321B1">
        <w:rPr>
          <w:rFonts w:cstheme="minorHAnsi"/>
          <w:sz w:val="20"/>
          <w:szCs w:val="18"/>
        </w:rPr>
        <w:t>Australian Government Department of Health and Aged Care</w:t>
      </w:r>
      <w:r w:rsidRPr="000606CC">
        <w:rPr>
          <w:rFonts w:cstheme="minorHAnsi"/>
          <w:sz w:val="20"/>
          <w:szCs w:val="18"/>
        </w:rPr>
        <w:t xml:space="preserve"> or the Communicable Diseases Network Australia. Data may be subject to revision.</w:t>
      </w:r>
    </w:p>
    <w:p w14:paraId="58F0AC4E" w14:textId="77777777" w:rsidR="000A5F42" w:rsidRPr="000606CC" w:rsidRDefault="000A5F42" w:rsidP="000A5F42">
      <w:pPr>
        <w:pStyle w:val="NoSpacing"/>
        <w:rPr>
          <w:rStyle w:val="Strong"/>
          <w:rFonts w:cstheme="minorHAnsi"/>
          <w:sz w:val="20"/>
          <w:szCs w:val="18"/>
        </w:rPr>
      </w:pPr>
    </w:p>
    <w:p w14:paraId="240F1503" w14:textId="3A9F736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71A5E469" w14:textId="77777777" w:rsidR="000A5F42" w:rsidRPr="000606CC" w:rsidRDefault="000A5F42" w:rsidP="000A5F42">
      <w:pPr>
        <w:pStyle w:val="NoSpacing"/>
        <w:rPr>
          <w:rStyle w:val="URI"/>
          <w:rFonts w:cstheme="minorHAnsi"/>
          <w:sz w:val="20"/>
          <w:szCs w:val="18"/>
        </w:rPr>
      </w:pPr>
    </w:p>
    <w:p w14:paraId="04388590" w14:textId="1219F5DB"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p w14:paraId="07688AB5" w14:textId="77777777" w:rsidR="001B37B8" w:rsidRPr="00E92237" w:rsidRDefault="001B37B8" w:rsidP="001B37B8">
      <w:pPr>
        <w:rPr>
          <w:rFonts w:cs="Myriad Pro"/>
          <w:color w:val="211D1E"/>
          <w:sz w:val="20"/>
          <w:szCs w:val="20"/>
        </w:rPr>
      </w:pPr>
    </w:p>
    <w:sectPr w:rsidR="001B37B8" w:rsidRPr="00E92237" w:rsidSect="002B75A9">
      <w:headerReference w:type="default" r:id="rId22"/>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94F0" w14:textId="77777777" w:rsidR="001C4183" w:rsidRDefault="001C4183" w:rsidP="00E54DBA">
      <w:r>
        <w:separator/>
      </w:r>
    </w:p>
    <w:p w14:paraId="35648225" w14:textId="77777777" w:rsidR="001C4183" w:rsidRDefault="001C4183"/>
    <w:p w14:paraId="6BE19FCD" w14:textId="77777777" w:rsidR="001C4183" w:rsidRDefault="001C4183" w:rsidP="008714B0"/>
  </w:endnote>
  <w:endnote w:type="continuationSeparator" w:id="0">
    <w:p w14:paraId="5F37A9B7" w14:textId="77777777" w:rsidR="001C4183" w:rsidRDefault="001C4183" w:rsidP="00E54DBA">
      <w:r>
        <w:continuationSeparator/>
      </w:r>
    </w:p>
    <w:p w14:paraId="7576A94B" w14:textId="77777777" w:rsidR="001C4183" w:rsidRDefault="001C4183"/>
    <w:p w14:paraId="64499DF3" w14:textId="77777777" w:rsidR="001C4183" w:rsidRDefault="001C418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DC963" w14:textId="2291AB3C"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6316A4">
      <w:rPr>
        <w:i/>
        <w:sz w:val="18"/>
      </w:rPr>
      <w:t>Commun</w:t>
    </w:r>
    <w:proofErr w:type="spellEnd"/>
    <w:r w:rsidR="00CE342B" w:rsidRPr="006316A4">
      <w:rPr>
        <w:i/>
        <w:sz w:val="18"/>
      </w:rPr>
      <w:t xml:space="preserve"> Dis </w:t>
    </w:r>
    <w:proofErr w:type="spellStart"/>
    <w:r w:rsidR="00CE342B" w:rsidRPr="006316A4">
      <w:rPr>
        <w:i/>
        <w:sz w:val="18"/>
      </w:rPr>
      <w:t>Intell</w:t>
    </w:r>
    <w:proofErr w:type="spellEnd"/>
    <w:r w:rsidR="00CE342B" w:rsidRPr="006316A4">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1C4183">
      <w:rPr>
        <w:sz w:val="18"/>
      </w:rPr>
      <w:t>2022</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1C4183">
      <w:rPr>
        <w:sz w:val="18"/>
      </w:rPr>
      <w:t>46</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2A3D29">
      <w:rPr>
        <w:sz w:val="18"/>
      </w:rPr>
      <w:t>https://doi.org/10.33321/cdi.2022.46.40</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9C0648">
      <w:rPr>
        <w:sz w:val="18"/>
      </w:rPr>
      <w:t>18/8/2022</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2F85" w14:textId="346F6F81"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6316A4">
      <w:rPr>
        <w:i/>
        <w:sz w:val="18"/>
      </w:rPr>
      <w:t>Commun</w:t>
    </w:r>
    <w:proofErr w:type="spellEnd"/>
    <w:r w:rsidR="00A164D5" w:rsidRPr="006316A4">
      <w:rPr>
        <w:i/>
        <w:sz w:val="18"/>
      </w:rPr>
      <w:t xml:space="preserve"> Dis </w:t>
    </w:r>
    <w:proofErr w:type="spellStart"/>
    <w:r w:rsidR="00A164D5" w:rsidRPr="006316A4">
      <w:rPr>
        <w:i/>
        <w:sz w:val="18"/>
      </w:rPr>
      <w:t>Intell</w:t>
    </w:r>
    <w:proofErr w:type="spellEnd"/>
    <w:r w:rsidR="00A164D5" w:rsidRPr="006316A4">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1C4183">
      <w:rPr>
        <w:sz w:val="18"/>
      </w:rPr>
      <w:t>2022</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1C4183">
      <w:rPr>
        <w:sz w:val="18"/>
      </w:rPr>
      <w:t>46</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2A3D29">
      <w:rPr>
        <w:sz w:val="18"/>
      </w:rPr>
      <w:t>https://doi.org/10.33321/cdi.2022.46.40</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9C0648">
      <w:rPr>
        <w:sz w:val="18"/>
      </w:rPr>
      <w:t>18/8/2022</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E208" w14:textId="77777777" w:rsidR="001C4183" w:rsidRPr="00B91FB5" w:rsidRDefault="001C4183" w:rsidP="00B91FB5">
      <w:pPr>
        <w:spacing w:after="0" w:line="240" w:lineRule="auto"/>
        <w:rPr>
          <w:sz w:val="18"/>
          <w:szCs w:val="18"/>
        </w:rPr>
      </w:pPr>
      <w:r w:rsidRPr="00B91FB5">
        <w:rPr>
          <w:sz w:val="18"/>
          <w:szCs w:val="18"/>
        </w:rPr>
        <w:separator/>
      </w:r>
    </w:p>
  </w:footnote>
  <w:footnote w:type="continuationSeparator" w:id="0">
    <w:p w14:paraId="5254283D" w14:textId="77777777" w:rsidR="001C4183" w:rsidRDefault="001C4183" w:rsidP="00E54DBA">
      <w:r>
        <w:continuationSeparator/>
      </w:r>
    </w:p>
  </w:footnote>
  <w:footnote w:type="continuationNotice" w:id="1">
    <w:p w14:paraId="56E2F6EF" w14:textId="77777777" w:rsidR="001C4183" w:rsidRPr="00224EFF" w:rsidRDefault="001C4183"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0E9A" w14:textId="3F84B6DD" w:rsidR="00257484" w:rsidRPr="00A153B6" w:rsidRDefault="009C0648"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84768F">
          <w:t>Outbreak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4D9E" w14:textId="30B4D97C" w:rsidR="008B5348" w:rsidRPr="000A5F42" w:rsidRDefault="00E16242" w:rsidP="00E16242">
    <w:pPr>
      <w:pStyle w:val="Header"/>
      <w:spacing w:after="0" w:line="240" w:lineRule="auto"/>
      <w:jc w:val="center"/>
      <w:rPr>
        <w:b/>
      </w:rPr>
    </w:pPr>
    <w:r>
      <w:rPr>
        <w:rFonts w:cs="Myriad Pro"/>
        <w:noProof/>
        <w:color w:val="211D1E"/>
        <w:sz w:val="16"/>
      </w:rPr>
      <w:drawing>
        <wp:inline distT="0" distB="0" distL="0" distR="0" wp14:anchorId="6DB993EF" wp14:editId="2B54BF91">
          <wp:extent cx="1963420" cy="642724"/>
          <wp:effectExtent l="0" t="0" r="0" b="5080"/>
          <wp:docPr id="4" name="Picture 4"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Health and Aged Care"/>
                  <pic:cNvPicPr>
                    <a:picLocks noChangeAspect="1" noChangeArrowheads="1"/>
                  </pic:cNvPicPr>
                </pic:nvPicPr>
                <pic:blipFill rotWithShape="1">
                  <a:blip r:embed="rId1">
                    <a:extLst>
                      <a:ext uri="{28A0092B-C50C-407E-A947-70E740481C1C}">
                        <a14:useLocalDpi xmlns:a14="http://schemas.microsoft.com/office/drawing/2010/main" val="0"/>
                      </a:ext>
                    </a:extLst>
                  </a:blip>
                  <a:srcRect t="11978"/>
                  <a:stretch/>
                </pic:blipFill>
                <pic:spPr bwMode="auto">
                  <a:xfrm>
                    <a:off x="0" y="0"/>
                    <a:ext cx="2142607" cy="7013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7627"/>
    <w:multiLevelType w:val="hybridMultilevel"/>
    <w:tmpl w:val="34062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140D04"/>
    <w:multiLevelType w:val="multilevel"/>
    <w:tmpl w:val="1E24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F548D4"/>
    <w:multiLevelType w:val="hybridMultilevel"/>
    <w:tmpl w:val="5D7CD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320F3"/>
    <w:multiLevelType w:val="multilevel"/>
    <w:tmpl w:val="93F8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7"/>
  </w:num>
  <w:num w:numId="6">
    <w:abstractNumId w:val="9"/>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184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83"/>
    <w:rsid w:val="0000024F"/>
    <w:rsid w:val="00000B5B"/>
    <w:rsid w:val="00001611"/>
    <w:rsid w:val="000104A8"/>
    <w:rsid w:val="0001246E"/>
    <w:rsid w:val="000124B1"/>
    <w:rsid w:val="00016FE6"/>
    <w:rsid w:val="00031064"/>
    <w:rsid w:val="00031692"/>
    <w:rsid w:val="00032531"/>
    <w:rsid w:val="000325A0"/>
    <w:rsid w:val="000471BF"/>
    <w:rsid w:val="00047B68"/>
    <w:rsid w:val="00052600"/>
    <w:rsid w:val="0005643C"/>
    <w:rsid w:val="0006264A"/>
    <w:rsid w:val="00065057"/>
    <w:rsid w:val="00073D77"/>
    <w:rsid w:val="00081655"/>
    <w:rsid w:val="000864E0"/>
    <w:rsid w:val="000969B3"/>
    <w:rsid w:val="000A2E0C"/>
    <w:rsid w:val="000A5F42"/>
    <w:rsid w:val="000D4B4D"/>
    <w:rsid w:val="00113D58"/>
    <w:rsid w:val="001200CB"/>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5C3"/>
    <w:rsid w:val="001C0893"/>
    <w:rsid w:val="001C1303"/>
    <w:rsid w:val="001C4183"/>
    <w:rsid w:val="001C70B2"/>
    <w:rsid w:val="001D37C7"/>
    <w:rsid w:val="001D6888"/>
    <w:rsid w:val="00224EFF"/>
    <w:rsid w:val="00226316"/>
    <w:rsid w:val="002276DC"/>
    <w:rsid w:val="00227E00"/>
    <w:rsid w:val="002307CB"/>
    <w:rsid w:val="00231046"/>
    <w:rsid w:val="00234F21"/>
    <w:rsid w:val="00242659"/>
    <w:rsid w:val="002428F7"/>
    <w:rsid w:val="0024315F"/>
    <w:rsid w:val="0024631C"/>
    <w:rsid w:val="00252C9A"/>
    <w:rsid w:val="00256309"/>
    <w:rsid w:val="00257484"/>
    <w:rsid w:val="00260636"/>
    <w:rsid w:val="00275C78"/>
    <w:rsid w:val="00280594"/>
    <w:rsid w:val="00281EE3"/>
    <w:rsid w:val="00284E4A"/>
    <w:rsid w:val="002A3799"/>
    <w:rsid w:val="002A3BCC"/>
    <w:rsid w:val="002A3D29"/>
    <w:rsid w:val="002A4516"/>
    <w:rsid w:val="002A569F"/>
    <w:rsid w:val="002A7066"/>
    <w:rsid w:val="002B001E"/>
    <w:rsid w:val="002B09B7"/>
    <w:rsid w:val="002B75A9"/>
    <w:rsid w:val="002C21B0"/>
    <w:rsid w:val="002E2FB3"/>
    <w:rsid w:val="002F327B"/>
    <w:rsid w:val="00301626"/>
    <w:rsid w:val="003059EC"/>
    <w:rsid w:val="00315240"/>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4141"/>
    <w:rsid w:val="004164BB"/>
    <w:rsid w:val="0042000E"/>
    <w:rsid w:val="00421ECE"/>
    <w:rsid w:val="00422FEB"/>
    <w:rsid w:val="0042435E"/>
    <w:rsid w:val="004315F5"/>
    <w:rsid w:val="00433456"/>
    <w:rsid w:val="00433DFA"/>
    <w:rsid w:val="00435D67"/>
    <w:rsid w:val="00446C8E"/>
    <w:rsid w:val="0045255E"/>
    <w:rsid w:val="00455510"/>
    <w:rsid w:val="00464A58"/>
    <w:rsid w:val="00473D2D"/>
    <w:rsid w:val="004A2125"/>
    <w:rsid w:val="004A38F6"/>
    <w:rsid w:val="004A6EB5"/>
    <w:rsid w:val="004B4EB6"/>
    <w:rsid w:val="004C083C"/>
    <w:rsid w:val="004C67C6"/>
    <w:rsid w:val="004D29DE"/>
    <w:rsid w:val="004E46A7"/>
    <w:rsid w:val="00510EAC"/>
    <w:rsid w:val="00542A57"/>
    <w:rsid w:val="00565974"/>
    <w:rsid w:val="005732C0"/>
    <w:rsid w:val="0057336D"/>
    <w:rsid w:val="0057489A"/>
    <w:rsid w:val="00574ACF"/>
    <w:rsid w:val="00581588"/>
    <w:rsid w:val="0058540B"/>
    <w:rsid w:val="00587C87"/>
    <w:rsid w:val="00590B80"/>
    <w:rsid w:val="005B3134"/>
    <w:rsid w:val="005B4B58"/>
    <w:rsid w:val="005B4E61"/>
    <w:rsid w:val="005B595A"/>
    <w:rsid w:val="005B66C2"/>
    <w:rsid w:val="005C66A6"/>
    <w:rsid w:val="005D2465"/>
    <w:rsid w:val="005E33DD"/>
    <w:rsid w:val="005E4229"/>
    <w:rsid w:val="005E540E"/>
    <w:rsid w:val="005E55FB"/>
    <w:rsid w:val="005F16BB"/>
    <w:rsid w:val="00607115"/>
    <w:rsid w:val="006131CB"/>
    <w:rsid w:val="00620768"/>
    <w:rsid w:val="0062594B"/>
    <w:rsid w:val="00631406"/>
    <w:rsid w:val="006316A4"/>
    <w:rsid w:val="006324FF"/>
    <w:rsid w:val="006351D6"/>
    <w:rsid w:val="00636E0D"/>
    <w:rsid w:val="0064142F"/>
    <w:rsid w:val="00643CB4"/>
    <w:rsid w:val="00656427"/>
    <w:rsid w:val="00660255"/>
    <w:rsid w:val="00663EA5"/>
    <w:rsid w:val="006971F3"/>
    <w:rsid w:val="006C74A3"/>
    <w:rsid w:val="006D1381"/>
    <w:rsid w:val="006D31BC"/>
    <w:rsid w:val="006E7943"/>
    <w:rsid w:val="006F24EA"/>
    <w:rsid w:val="00704CA9"/>
    <w:rsid w:val="0071048D"/>
    <w:rsid w:val="00710F86"/>
    <w:rsid w:val="007111A8"/>
    <w:rsid w:val="00711C94"/>
    <w:rsid w:val="00731BC3"/>
    <w:rsid w:val="00741192"/>
    <w:rsid w:val="00743A33"/>
    <w:rsid w:val="00746080"/>
    <w:rsid w:val="0075144A"/>
    <w:rsid w:val="00786329"/>
    <w:rsid w:val="00792C7D"/>
    <w:rsid w:val="00794A4D"/>
    <w:rsid w:val="007A5234"/>
    <w:rsid w:val="007B7854"/>
    <w:rsid w:val="007C56A1"/>
    <w:rsid w:val="007C6454"/>
    <w:rsid w:val="007E01E0"/>
    <w:rsid w:val="007E5CA0"/>
    <w:rsid w:val="007F0B93"/>
    <w:rsid w:val="007F2ECA"/>
    <w:rsid w:val="00811708"/>
    <w:rsid w:val="0081321D"/>
    <w:rsid w:val="00816B90"/>
    <w:rsid w:val="00817799"/>
    <w:rsid w:val="00822F5F"/>
    <w:rsid w:val="00824FD3"/>
    <w:rsid w:val="00826589"/>
    <w:rsid w:val="008321B1"/>
    <w:rsid w:val="00834BCC"/>
    <w:rsid w:val="0084768F"/>
    <w:rsid w:val="00850D54"/>
    <w:rsid w:val="00852E2B"/>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7410"/>
    <w:rsid w:val="00967D73"/>
    <w:rsid w:val="0098119A"/>
    <w:rsid w:val="00984AAF"/>
    <w:rsid w:val="00991B09"/>
    <w:rsid w:val="00993CB2"/>
    <w:rsid w:val="00995EE7"/>
    <w:rsid w:val="009A5166"/>
    <w:rsid w:val="009A76F8"/>
    <w:rsid w:val="009B2B83"/>
    <w:rsid w:val="009C0648"/>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6708F"/>
    <w:rsid w:val="00A71BF6"/>
    <w:rsid w:val="00A72AF9"/>
    <w:rsid w:val="00A86F9A"/>
    <w:rsid w:val="00AA35E6"/>
    <w:rsid w:val="00AA50B6"/>
    <w:rsid w:val="00AB3472"/>
    <w:rsid w:val="00AD0762"/>
    <w:rsid w:val="00AE3DCF"/>
    <w:rsid w:val="00AE3F13"/>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91FB5"/>
    <w:rsid w:val="00BA4697"/>
    <w:rsid w:val="00BB5378"/>
    <w:rsid w:val="00BC0BD3"/>
    <w:rsid w:val="00BD0107"/>
    <w:rsid w:val="00BE0C33"/>
    <w:rsid w:val="00BE262C"/>
    <w:rsid w:val="00BE4C25"/>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841C0"/>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160D0"/>
    <w:rsid w:val="00D25896"/>
    <w:rsid w:val="00D373A1"/>
    <w:rsid w:val="00D37C0F"/>
    <w:rsid w:val="00D45661"/>
    <w:rsid w:val="00D45943"/>
    <w:rsid w:val="00D47D22"/>
    <w:rsid w:val="00D51865"/>
    <w:rsid w:val="00D51D0C"/>
    <w:rsid w:val="00D74140"/>
    <w:rsid w:val="00DA6E56"/>
    <w:rsid w:val="00DC24E5"/>
    <w:rsid w:val="00DC6705"/>
    <w:rsid w:val="00DD2DE8"/>
    <w:rsid w:val="00DE38B4"/>
    <w:rsid w:val="00DE5D02"/>
    <w:rsid w:val="00E005A9"/>
    <w:rsid w:val="00E1166E"/>
    <w:rsid w:val="00E16242"/>
    <w:rsid w:val="00E24DC0"/>
    <w:rsid w:val="00E2519C"/>
    <w:rsid w:val="00E25F2A"/>
    <w:rsid w:val="00E41455"/>
    <w:rsid w:val="00E42AD2"/>
    <w:rsid w:val="00E50856"/>
    <w:rsid w:val="00E538CC"/>
    <w:rsid w:val="00E54BBD"/>
    <w:rsid w:val="00E54DBA"/>
    <w:rsid w:val="00E63D7C"/>
    <w:rsid w:val="00E640D5"/>
    <w:rsid w:val="00E66E2E"/>
    <w:rsid w:val="00E67691"/>
    <w:rsid w:val="00E7268B"/>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2006"/>
    <w:rsid w:val="00F13443"/>
    <w:rsid w:val="00F14B89"/>
    <w:rsid w:val="00F14F3B"/>
    <w:rsid w:val="00F16362"/>
    <w:rsid w:val="00F207C7"/>
    <w:rsid w:val="00F36B6D"/>
    <w:rsid w:val="00F37124"/>
    <w:rsid w:val="00F43FA3"/>
    <w:rsid w:val="00F55648"/>
    <w:rsid w:val="00F70046"/>
    <w:rsid w:val="00F748C2"/>
    <w:rsid w:val="00F74958"/>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A05D3A"/>
  <w15:docId w15:val="{76F67535-D8B8-4BE7-8DAA-B8A63C7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42000E"/>
    <w:pPr>
      <w:spacing w:after="0" w:line="240" w:lineRule="auto"/>
    </w:pPr>
    <w:rPr>
      <w:rFonts w:ascii="Calibri" w:hAnsi="Calibri"/>
    </w:rPr>
    <w:tblPr>
      <w:tblStyleRowBandSize w:val="1"/>
      <w:tblCellMar>
        <w:top w:w="57" w:type="dxa"/>
        <w:left w:w="57" w:type="dxa"/>
        <w:bottom w:w="57" w:type="dxa"/>
        <w:right w:w="57" w:type="dxa"/>
      </w:tblCellMar>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CommentReference">
    <w:name w:val="annotation reference"/>
    <w:basedOn w:val="DefaultParagraphFont"/>
    <w:uiPriority w:val="99"/>
    <w:semiHidden/>
    <w:unhideWhenUsed/>
    <w:rsid w:val="001C05C3"/>
    <w:rPr>
      <w:sz w:val="16"/>
      <w:szCs w:val="16"/>
    </w:rPr>
  </w:style>
  <w:style w:type="paragraph" w:styleId="CommentText">
    <w:name w:val="annotation text"/>
    <w:basedOn w:val="Normal"/>
    <w:link w:val="CommentTextChar"/>
    <w:uiPriority w:val="99"/>
    <w:semiHidden/>
    <w:unhideWhenUsed/>
    <w:rsid w:val="001C05C3"/>
    <w:pPr>
      <w:spacing w:line="240" w:lineRule="auto"/>
    </w:pPr>
    <w:rPr>
      <w:sz w:val="20"/>
      <w:szCs w:val="20"/>
    </w:rPr>
  </w:style>
  <w:style w:type="character" w:customStyle="1" w:styleId="CommentTextChar">
    <w:name w:val="Comment Text Char"/>
    <w:basedOn w:val="DefaultParagraphFont"/>
    <w:link w:val="CommentText"/>
    <w:uiPriority w:val="99"/>
    <w:semiHidden/>
    <w:rsid w:val="001C05C3"/>
    <w:rPr>
      <w:sz w:val="20"/>
      <w:szCs w:val="20"/>
    </w:rPr>
  </w:style>
  <w:style w:type="paragraph" w:styleId="CommentSubject">
    <w:name w:val="annotation subject"/>
    <w:basedOn w:val="CommentText"/>
    <w:next w:val="CommentText"/>
    <w:link w:val="CommentSubjectChar"/>
    <w:uiPriority w:val="99"/>
    <w:semiHidden/>
    <w:unhideWhenUsed/>
    <w:rsid w:val="001C05C3"/>
    <w:rPr>
      <w:b/>
      <w:bCs/>
    </w:rPr>
  </w:style>
  <w:style w:type="character" w:customStyle="1" w:styleId="CommentSubjectChar">
    <w:name w:val="Comment Subject Char"/>
    <w:basedOn w:val="CommentTextChar"/>
    <w:link w:val="CommentSubject"/>
    <w:uiPriority w:val="99"/>
    <w:semiHidden/>
    <w:rsid w:val="001C0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2712</Words>
  <Characters>16313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Communicable Diseases Intelligence 2022 - Outbreak of SARS-CoV-2 Delta variant on a single liquified natural gas (LNG) vessel, with estimates of vaccine effectiveness</vt:lpstr>
    </vt:vector>
  </TitlesOfParts>
  <Company>Australian Government, Department of Health</Company>
  <LinksUpToDate>false</LinksUpToDate>
  <CharactersWithSpaces>18988</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2022 - Outbreak of SARS-CoV-2 Delta variant on a single liquified natural gas (LNG) vessel, with estimates of vaccine effectiveness</dc:title>
  <dc:subject>This outbreak report describes an August 2021 SARS-CoV-2 Delta variant outbreak aboard an international liquified natural gas vessel offshore to Gladstone, Queensland, with a discussion of attack rate and vaccine effectiveness, and a description of public health measures applied to contain the outbreak.</dc:subject>
  <dc:creator>Nicolas Smoll; Jacina Walker;Mahmudul Hassan Al Imam; Jill Auriac; Ross Andrews; Andrew Jeremijenko; Michael Kirk; Gulam Khandaker</dc:creator>
  <dc:description>© Commonwealth of Australia CC BY-NC-ND ISSN: 2209-6051 (Online)</dc:description>
  <cp:lastModifiedBy>YOUSEFI, Kasra</cp:lastModifiedBy>
  <cp:revision>20</cp:revision>
  <cp:lastPrinted>2018-05-10T02:19:00Z</cp:lastPrinted>
  <dcterms:created xsi:type="dcterms:W3CDTF">2022-05-25T05:15:00Z</dcterms:created>
  <dcterms:modified xsi:type="dcterms:W3CDTF">2022-08-15T06:09:00Z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2022</vt:lpwstr>
  </property>
  <property fmtid="{D5CDD505-2E9C-101B-9397-08002B2CF9AE}" pid="3" name="Vol">
    <vt:i4>46</vt:i4>
  </property>
  <property fmtid="{D5CDD505-2E9C-101B-9397-08002B2CF9AE}" pid="4" name="ePubDate">
    <vt:lpwstr>18/8/2022</vt:lpwstr>
  </property>
  <property fmtid="{D5CDD505-2E9C-101B-9397-08002B2CF9AE}" pid="5" name="DOI">
    <vt:lpwstr>https://doi.org/10.33321/cdi.2022.46.40</vt:lpwstr>
  </property>
</Properties>
</file>