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60AC67FB" w:rsidR="00B50D8D" w:rsidRPr="00341720" w:rsidRDefault="009533E1" w:rsidP="00341720">
      <w:pPr>
        <w:pStyle w:val="CDIDOIInformation"/>
      </w:pPr>
      <w:r w:rsidRPr="00341720">
        <w:fldChar w:fldCharType="begin"/>
      </w:r>
      <w:r w:rsidRPr="00341720">
        <w:instrText xml:space="preserve"> DOCPROPERTY  Year  \* MERGEFORMAT </w:instrText>
      </w:r>
      <w:r w:rsidRPr="00341720">
        <w:fldChar w:fldCharType="separate"/>
      </w:r>
      <w:r w:rsidR="00C47780" w:rsidRPr="00341720">
        <w:t>2024</w:t>
      </w:r>
      <w:r w:rsidRPr="00341720">
        <w:fldChar w:fldCharType="end"/>
      </w:r>
      <w:r w:rsidR="00A623E8" w:rsidRPr="00341720">
        <w:t xml:space="preserve"> • </w:t>
      </w:r>
      <w:r w:rsidR="00B50D8D" w:rsidRPr="00341720">
        <w:t xml:space="preserve">Volume </w:t>
      </w:r>
      <w:fldSimple w:instr=" DOCPROPERTY  Vol  \* MERGEFORMAT ">
        <w:r w:rsidR="00C47780" w:rsidRPr="00341720">
          <w:t>48</w:t>
        </w:r>
      </w:fldSimple>
      <w:r w:rsidR="00725C33" w:rsidRPr="00341720">
        <w:t xml:space="preserve"> </w:t>
      </w:r>
      <w:r w:rsidR="008E3F81" w:rsidRPr="00341720">
        <w:t>•</w:t>
      </w:r>
      <w:r w:rsidR="00725C33" w:rsidRPr="00341720">
        <w:t xml:space="preserve"> </w:t>
      </w:r>
      <w:fldSimple w:instr=" DOCPROPERTY  DOI  \* MERGEFORMAT ">
        <w:r w:rsidR="009857F2">
          <w:t>https://doi.org/10.33321/cdi.2024.48.17</w:t>
        </w:r>
      </w:fldSimple>
      <w:r w:rsidR="00725C33" w:rsidRPr="00341720">
        <w:t xml:space="preserve"> </w:t>
      </w:r>
      <w:r w:rsidR="00D20FB5" w:rsidRPr="00341720">
        <w:t>•</w:t>
      </w:r>
      <w:r w:rsidR="00D20FB5">
        <w:t xml:space="preserve"> </w:t>
      </w:r>
      <w:r w:rsidR="00D20FB5" w:rsidRPr="00341720">
        <w:t xml:space="preserve">Electronic publication date: </w:t>
      </w:r>
      <w:r w:rsidR="003B4C32">
        <w:fldChar w:fldCharType="begin"/>
      </w:r>
      <w:r w:rsidR="003B4C32">
        <w:instrText xml:space="preserve"> DOCPROPERTY  ePubDate  \* MERGEFORMAT </w:instrText>
      </w:r>
      <w:r w:rsidR="003B4C32">
        <w:fldChar w:fldCharType="separate"/>
      </w:r>
      <w:r w:rsidR="003B4C32">
        <w:t>10/04/2024</w:t>
      </w:r>
      <w:r w:rsidR="003B4C32">
        <w:fldChar w:fldCharType="end"/>
      </w:r>
    </w:p>
    <w:p w14:paraId="26760D42" w14:textId="6670F924" w:rsidR="005572D3" w:rsidRPr="005572D3" w:rsidRDefault="00EE4AE4" w:rsidP="005572D3">
      <w:pPr>
        <w:pStyle w:val="Title"/>
        <w:divId w:val="935526654"/>
      </w:pPr>
      <w:r w:rsidRPr="00EE4AE4">
        <w:t>The first confirmed outbreak of chikungunya reported in Timor-Leste, 2024</w:t>
      </w:r>
    </w:p>
    <w:p w14:paraId="6DC80116" w14:textId="2FCAF995" w:rsidR="005572D3" w:rsidRPr="005572D3" w:rsidRDefault="00EE4AE4" w:rsidP="005572D3">
      <w:pPr>
        <w:pStyle w:val="Subtitle"/>
        <w:divId w:val="935526654"/>
      </w:pPr>
      <w:r w:rsidRPr="00EE4AE4">
        <w:t xml:space="preserve">Filipe de Neri Machado, Anthony DK Draper, </w:t>
      </w:r>
      <w:proofErr w:type="spellStart"/>
      <w:r w:rsidRPr="00EE4AE4">
        <w:t>Anferida</w:t>
      </w:r>
      <w:proofErr w:type="spellEnd"/>
      <w:r w:rsidRPr="00EE4AE4">
        <w:t xml:space="preserve"> Monteiro Fernandes, </w:t>
      </w:r>
      <w:proofErr w:type="spellStart"/>
      <w:r w:rsidRPr="00EE4AE4">
        <w:t>Frederico</w:t>
      </w:r>
      <w:proofErr w:type="spellEnd"/>
      <w:r>
        <w:t> </w:t>
      </w:r>
      <w:r w:rsidRPr="00EE4AE4">
        <w:t>Bosco</w:t>
      </w:r>
      <w:r>
        <w:t> </w:t>
      </w:r>
      <w:r w:rsidRPr="00EE4AE4">
        <w:t>Alves</w:t>
      </w:r>
      <w:r>
        <w:t> </w:t>
      </w:r>
      <w:r w:rsidRPr="00EE4AE4">
        <w:t xml:space="preserve">dos Santos, Marcelo Amaral Mali, Ari J Pereira Tilman, </w:t>
      </w:r>
      <w:proofErr w:type="spellStart"/>
      <w:r w:rsidRPr="00EE4AE4">
        <w:t>Endang</w:t>
      </w:r>
      <w:proofErr w:type="spellEnd"/>
      <w:r>
        <w:t> </w:t>
      </w:r>
      <w:r w:rsidRPr="00EE4AE4">
        <w:t>Soares</w:t>
      </w:r>
      <w:r>
        <w:t> </w:t>
      </w:r>
      <w:r w:rsidRPr="00EE4AE4">
        <w:t>da</w:t>
      </w:r>
      <w:r>
        <w:t> </w:t>
      </w:r>
      <w:r w:rsidRPr="00EE4AE4">
        <w:t xml:space="preserve">Silva, Elizabeth </w:t>
      </w:r>
      <w:proofErr w:type="spellStart"/>
      <w:r w:rsidRPr="00EE4AE4">
        <w:t>Hornay</w:t>
      </w:r>
      <w:proofErr w:type="spellEnd"/>
      <w:r w:rsidRPr="00EE4AE4">
        <w:t xml:space="preserve">, Antonio Salles de Sousa, Tessa Oakley, </w:t>
      </w:r>
      <w:proofErr w:type="spellStart"/>
      <w:r w:rsidRPr="00EE4AE4">
        <w:t>Edinha</w:t>
      </w:r>
      <w:proofErr w:type="spellEnd"/>
      <w:r w:rsidRPr="00EE4AE4">
        <w:t xml:space="preserve"> da Cruz, </w:t>
      </w:r>
      <w:proofErr w:type="spellStart"/>
      <w:r w:rsidRPr="00EE4AE4">
        <w:t>Nevio</w:t>
      </w:r>
      <w:proofErr w:type="spellEnd"/>
      <w:r w:rsidRPr="00EE4AE4">
        <w:t xml:space="preserve"> </w:t>
      </w:r>
      <w:proofErr w:type="spellStart"/>
      <w:r w:rsidRPr="00EE4AE4">
        <w:t>Sarmento</w:t>
      </w:r>
      <w:proofErr w:type="spellEnd"/>
      <w:r w:rsidRPr="00EE4AE4">
        <w:t xml:space="preserve">, Maria AV </w:t>
      </w:r>
      <w:proofErr w:type="spellStart"/>
      <w:r w:rsidRPr="00EE4AE4">
        <w:t>Niha</w:t>
      </w:r>
      <w:proofErr w:type="spellEnd"/>
      <w:r w:rsidRPr="00EE4AE4">
        <w:t xml:space="preserve">, Ana Fatima Soares, Eva </w:t>
      </w:r>
      <w:proofErr w:type="spellStart"/>
      <w:r w:rsidRPr="00EE4AE4">
        <w:t>Estrelita</w:t>
      </w:r>
      <w:proofErr w:type="spellEnd"/>
      <w:r w:rsidRPr="00EE4AE4">
        <w:t xml:space="preserve"> Cardoso Gomes, Jose</w:t>
      </w:r>
      <w:r>
        <w:t> </w:t>
      </w:r>
      <w:r w:rsidRPr="00EE4AE4">
        <w:t>de</w:t>
      </w:r>
      <w:r>
        <w:t> </w:t>
      </w:r>
      <w:r w:rsidRPr="00EE4AE4">
        <w:t>Deus</w:t>
      </w:r>
      <w:r>
        <w:t> </w:t>
      </w:r>
      <w:r w:rsidRPr="00EE4AE4">
        <w:t xml:space="preserve">Alves, Jose Paulo Soares, Joshua R Francis, Jennifer Yan, </w:t>
      </w:r>
      <w:proofErr w:type="spellStart"/>
      <w:r w:rsidRPr="00EE4AE4">
        <w:t>Merita</w:t>
      </w:r>
      <w:proofErr w:type="spellEnd"/>
      <w:r w:rsidRPr="00EE4AE4">
        <w:t xml:space="preserve"> Antonio Monteiro</w:t>
      </w:r>
    </w:p>
    <w:p w14:paraId="61A61F67" w14:textId="12AE9D41" w:rsidR="004C6855" w:rsidRDefault="004C6855" w:rsidP="003F5172">
      <w:pPr>
        <w:pStyle w:val="Heading1"/>
        <w:divId w:val="935526654"/>
      </w:pPr>
      <w:r>
        <w:t>Abstract</w:t>
      </w:r>
    </w:p>
    <w:p w14:paraId="5A6AC5F2" w14:textId="77777777" w:rsidR="00EE4AE4" w:rsidRDefault="00EE4AE4" w:rsidP="00EE4AE4">
      <w:pPr>
        <w:divId w:val="935526654"/>
      </w:pPr>
      <w:r>
        <w:t xml:space="preserve">Timor-Leste is a mountainous, half-island nation with a population of 1.3 million, which shares a land border with Indonesia and is 550 km from Darwin, Australia. Since independence in 2002, Timor-Leste has achieved significant development; however, high levels of poverty remain. Chikungunya virus (CHIKV) is endemic in over 100 countries in Africa, Asia, Europe and in the Americas. It is transmitted by the bite of infected </w:t>
      </w:r>
      <w:r>
        <w:rPr>
          <w:rStyle w:val="Italic"/>
        </w:rPr>
        <w:t>Aedes aegypti</w:t>
      </w:r>
      <w:r>
        <w:t xml:space="preserve"> or </w:t>
      </w:r>
      <w:r>
        <w:rPr>
          <w:rStyle w:val="Italic"/>
        </w:rPr>
        <w:t>Ae. albopictus</w:t>
      </w:r>
      <w:r>
        <w:t xml:space="preserve"> mosquitoes, which are present in </w:t>
      </w:r>
      <w:proofErr w:type="gramStart"/>
      <w:r>
        <w:t>Timor-Leste</w:t>
      </w:r>
      <w:proofErr w:type="gramEnd"/>
      <w:r>
        <w:t xml:space="preserve"> and which contribute to annual rainy-season dengue virus (DENV) outbreaks. Symptomatic people typically suffer from acute onset of fever, usually accompanied by severe arthritis or arthralgia. Joint pain can be debilitating for several days, and may sometimes last for weeks, months or years. Unlike DENV infection which has significant mortality, most people recover completely. Between 2002 and 2023, there were 26 cases of CHIKV notified in Australia who acquired their infection in Timor-Leste; however, laboratory testing capability for CHIKV in Timor-Leste only became available in 2021 using polymerase chain reaction (PCR).  The first locally diagnosed case was notified in November 2023. In January 2024, an outbreak of CHIKV was recognised in Timor-Leste for the first time, with 195 outbreak cases reported during 1–31 January 2024; all were PCR positive. There were no cases hospitalised, and no deaths. The median age of cases was 17 years (range 1–76 years); 51% were males. Cases were reported across the country; most (88/195) were from Dili, although the highest incidence was seen in the neighbouring municipality of </w:t>
      </w:r>
      <w:proofErr w:type="spellStart"/>
      <w:r>
        <w:t>Ermera</w:t>
      </w:r>
      <w:proofErr w:type="spellEnd"/>
      <w:r>
        <w:t xml:space="preserve"> (monthly incidence rate of 58.8 cases per 100,000 population).</w:t>
      </w:r>
    </w:p>
    <w:p w14:paraId="4D38B4BF" w14:textId="77777777" w:rsidR="00EE4AE4" w:rsidRDefault="00EE4AE4" w:rsidP="00EE4AE4">
      <w:pPr>
        <w:divId w:val="935526654"/>
      </w:pPr>
      <w:r>
        <w:t xml:space="preserve">This first reported outbreak of CHIKV in Timor-Leste highlights the need for improved mosquito-borne illness control and response strategies, including minimising breeding sites and promoting early presentation for treatment and differential diagnosis from DENV, and consideration of the deployment of </w:t>
      </w:r>
      <w:r>
        <w:rPr>
          <w:rStyle w:val="Italic"/>
        </w:rPr>
        <w:lastRenderedPageBreak/>
        <w:t>Wolbachia</w:t>
      </w:r>
      <w:r>
        <w:t>-infected mosquitoes, particularly as they have shown to reduce the transmission of CHIKV, DENV and Zika virus, all of which pose threats in Timor-Leste.</w:t>
      </w:r>
    </w:p>
    <w:p w14:paraId="40D1DC3A" w14:textId="137AE971" w:rsidR="004C6855" w:rsidRDefault="00EE4AE4" w:rsidP="00EE4AE4">
      <w:pPr>
        <w:pStyle w:val="CDIBoxTextGreen"/>
        <w:divId w:val="935526654"/>
      </w:pPr>
      <w:r>
        <w:t>Keywords: chikungunya; arbovirus; mosquito-borne disease; surveillance; Timor-Leste; outbreak; low-resource setting</w:t>
      </w:r>
    </w:p>
    <w:p w14:paraId="1C4D91E2" w14:textId="168E526C" w:rsidR="00E30C30" w:rsidRDefault="004C6855" w:rsidP="003F5172">
      <w:pPr>
        <w:pStyle w:val="Heading1"/>
        <w:divId w:val="935526654"/>
      </w:pPr>
      <w:r>
        <w:t>Background</w:t>
      </w:r>
    </w:p>
    <w:p w14:paraId="45C07ECF" w14:textId="31EBF8F3" w:rsidR="00EE4AE4" w:rsidRDefault="00EE4AE4" w:rsidP="00EE4AE4">
      <w:pPr>
        <w:divId w:val="935526654"/>
        <w:rPr>
          <w:rStyle w:val="Superscript"/>
        </w:rPr>
      </w:pPr>
      <w:r>
        <w:t>Timor-Leste is a mountainous, half-island nation with a population of 1.3 million,</w:t>
      </w:r>
      <w:r>
        <w:rPr>
          <w:rStyle w:val="Superscript"/>
        </w:rPr>
        <w:t>1</w:t>
      </w:r>
      <w:r>
        <w:t xml:space="preserve"> which shares a land border with Indonesia and is 550 km from Darwin, Australia.</w:t>
      </w:r>
      <w:r>
        <w:rPr>
          <w:rStyle w:val="Superscript"/>
        </w:rPr>
        <w:t>2</w:t>
      </w:r>
      <w:r>
        <w:t xml:space="preserve"> Since independence in 2002, Timor-Leste has achieved significant development; however, high levels of poverty remain.</w:t>
      </w:r>
      <w:r>
        <w:rPr>
          <w:rStyle w:val="Superscript"/>
        </w:rPr>
        <w:t>1</w:t>
      </w:r>
      <w:r>
        <w:t xml:space="preserve"> Timor-Leste consists of 13</w:t>
      </w:r>
      <w:r w:rsidR="005F26D8">
        <w:t> </w:t>
      </w:r>
      <w:r>
        <w:t>municipalities, the most populous of which is the municipality of Dili which includes the capital city, Dili (Figure 1).</w:t>
      </w:r>
      <w:r>
        <w:rPr>
          <w:rStyle w:val="Superscript"/>
        </w:rPr>
        <w:t>3</w:t>
      </w:r>
      <w:r>
        <w:t xml:space="preserve"> The majority of the population (71.2%) lives in rural areas and 64.6% of the population is aged less than 30 years.</w:t>
      </w:r>
      <w:r>
        <w:rPr>
          <w:rStyle w:val="Superscript"/>
        </w:rPr>
        <w:t>4</w:t>
      </w:r>
    </w:p>
    <w:p w14:paraId="3ADB729A" w14:textId="77777777" w:rsidR="005F26D8" w:rsidRDefault="00EE4AE4" w:rsidP="00301F48">
      <w:pPr>
        <w:pStyle w:val="CDIFigure-Table-Title"/>
        <w:divId w:val="935526654"/>
      </w:pPr>
      <w:r>
        <w:t>Figure</w:t>
      </w:r>
      <w:r w:rsidRPr="00F804EC">
        <w:t xml:space="preserve"> </w:t>
      </w:r>
      <w:r>
        <w:t>1</w:t>
      </w:r>
      <w:r w:rsidRPr="00F804EC">
        <w:t xml:space="preserve">: </w:t>
      </w:r>
      <w:r w:rsidR="005F26D8">
        <w:t xml:space="preserve">Map of Timor-Leste showing the 13 </w:t>
      </w:r>
      <w:proofErr w:type="gramStart"/>
      <w:r w:rsidR="005F26D8">
        <w:t>municipalities</w:t>
      </w:r>
      <w:proofErr w:type="gramEnd"/>
    </w:p>
    <w:p w14:paraId="4CD47667" w14:textId="77777777" w:rsidR="00EE4AE4" w:rsidRPr="004C6855" w:rsidRDefault="00EE4AE4" w:rsidP="00EE4AE4">
      <w:pPr>
        <w:pStyle w:val="CDIFigure-Table-ImagePlaceholder"/>
        <w:divId w:val="935526654"/>
      </w:pPr>
      <w:r>
        <w:rPr>
          <w:noProof/>
          <w14:ligatures w14:val="none"/>
        </w:rPr>
        <w:drawing>
          <wp:inline distT="0" distB="0" distL="0" distR="0" wp14:anchorId="612189A0" wp14:editId="7C53EAE9">
            <wp:extent cx="5266800" cy="3685090"/>
            <wp:effectExtent l="0" t="0" r="0" b="0"/>
            <wp:docPr id="1" name="Picture 1" descr="Figure 1 shows a map of Timor-Leste which is shaded in orange with the neighbouring country of Indonesia shaded in grey. The map shows the 13 municipalities of Timor-Le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a map of Timor-Leste which is shaded in orange with the neighbouring country of Indonesia shaded in grey. The map shows the 13 municipalities of Timor-Leste. "/>
                    <pic:cNvPicPr/>
                  </pic:nvPicPr>
                  <pic:blipFill>
                    <a:blip r:embed="rId9">
                      <a:extLst>
                        <a:ext uri="{28A0092B-C50C-407E-A947-70E740481C1C}">
                          <a14:useLocalDpi xmlns:a14="http://schemas.microsoft.com/office/drawing/2010/main" val="0"/>
                        </a:ext>
                      </a:extLst>
                    </a:blip>
                    <a:stretch>
                      <a:fillRect/>
                    </a:stretch>
                  </pic:blipFill>
                  <pic:spPr>
                    <a:xfrm>
                      <a:off x="0" y="0"/>
                      <a:ext cx="5266800" cy="3685090"/>
                    </a:xfrm>
                    <a:prstGeom prst="rect">
                      <a:avLst/>
                    </a:prstGeom>
                  </pic:spPr>
                </pic:pic>
              </a:graphicData>
            </a:graphic>
          </wp:inline>
        </w:drawing>
      </w:r>
    </w:p>
    <w:p w14:paraId="04CD92AF" w14:textId="77777777" w:rsidR="00EE4AE4" w:rsidRDefault="00EE4AE4" w:rsidP="00EE4AE4">
      <w:pPr>
        <w:divId w:val="935526654"/>
      </w:pPr>
      <w:r>
        <w:t>Timor-Leste experiences a tropical climate with a dry season (May–November) and a rainy season (December–April).</w:t>
      </w:r>
      <w:r>
        <w:rPr>
          <w:rStyle w:val="Superscript"/>
        </w:rPr>
        <w:t>5</w:t>
      </w:r>
      <w:r>
        <w:t xml:space="preserve"> This provides ideal breeding conditions for </w:t>
      </w:r>
      <w:r>
        <w:rPr>
          <w:rStyle w:val="Italic"/>
        </w:rPr>
        <w:t>Aedes aegypti</w:t>
      </w:r>
      <w:r>
        <w:t xml:space="preserve"> and </w:t>
      </w:r>
      <w:r>
        <w:rPr>
          <w:rStyle w:val="Italic"/>
        </w:rPr>
        <w:t>Ae. albopictus</w:t>
      </w:r>
      <w:r>
        <w:t xml:space="preserve"> mosquitoes which can transmit both chikungunya virus (CHIKV) and dengue virus (DENV).</w:t>
      </w:r>
      <w:r>
        <w:rPr>
          <w:rStyle w:val="Superscript"/>
        </w:rPr>
        <w:t>6</w:t>
      </w:r>
    </w:p>
    <w:p w14:paraId="5D8101FD" w14:textId="77777777" w:rsidR="00EE4AE4" w:rsidRDefault="00EE4AE4" w:rsidP="00EE4AE4">
      <w:pPr>
        <w:divId w:val="935526654"/>
      </w:pPr>
      <w:r>
        <w:t xml:space="preserve">The first isolation of CHIKV was in Tanzania in 1952; it has since been detected in over 100 countries in Africa, Asia, </w:t>
      </w:r>
      <w:proofErr w:type="gramStart"/>
      <w:r>
        <w:t>Europe</w:t>
      </w:r>
      <w:proofErr w:type="gramEnd"/>
      <w:r>
        <w:t xml:space="preserve"> and the Americas.</w:t>
      </w:r>
      <w:r>
        <w:rPr>
          <w:rStyle w:val="Superscript"/>
        </w:rPr>
        <w:t>7</w:t>
      </w:r>
      <w:r w:rsidRPr="005F257D">
        <w:t xml:space="preserve"> </w:t>
      </w:r>
      <w:r>
        <w:t>People who develop symptomatic infection typically do so 4–8 days (range: 1–12 days) after being bitten by an infected mosquito.</w:t>
      </w:r>
      <w:r>
        <w:rPr>
          <w:rStyle w:val="Superscript"/>
        </w:rPr>
        <w:t>7</w:t>
      </w:r>
      <w:r>
        <w:t xml:space="preserve"> Typical symptomology includes acute onset of fever, usually accompanied by severe arthritis or arthralgia. This joint pain can be </w:t>
      </w:r>
      <w:proofErr w:type="gramStart"/>
      <w:r>
        <w:t>debilitating</w:t>
      </w:r>
      <w:proofErr w:type="gramEnd"/>
      <w:r>
        <w:t xml:space="preserve"> and it usually lasts a few days. However, sometimes this pain can last for weeks, months or years.</w:t>
      </w:r>
      <w:r>
        <w:rPr>
          <w:rStyle w:val="Superscript"/>
        </w:rPr>
        <w:t>8</w:t>
      </w:r>
      <w:r>
        <w:t xml:space="preserve"> Unlike DENV, </w:t>
      </w:r>
      <w:r>
        <w:lastRenderedPageBreak/>
        <w:t>which causes up to 40,000 deaths globally each year,</w:t>
      </w:r>
      <w:r>
        <w:rPr>
          <w:rStyle w:val="Superscript"/>
        </w:rPr>
        <w:t>9</w:t>
      </w:r>
      <w:r>
        <w:t xml:space="preserve"> most people infected with CHIKV fully recover; however, there have been occasional reports of eye, heart, and neurological complications.</w:t>
      </w:r>
      <w:r>
        <w:rPr>
          <w:rStyle w:val="Superscript"/>
        </w:rPr>
        <w:t>7</w:t>
      </w:r>
      <w:r>
        <w:t xml:space="preserve"> Vertical transmission between mother and neonate has also been observed, resulting in neonatal CHIKV infection.</w:t>
      </w:r>
      <w:r>
        <w:rPr>
          <w:rStyle w:val="Superscript"/>
        </w:rPr>
        <w:t>10</w:t>
      </w:r>
    </w:p>
    <w:p w14:paraId="39362C83" w14:textId="77777777" w:rsidR="00EE4AE4" w:rsidRDefault="00EE4AE4" w:rsidP="00EE4AE4">
      <w:pPr>
        <w:divId w:val="935526654"/>
      </w:pPr>
      <w:r>
        <w:t>In Timor-Leste, CHIKV has been a notifiable condition since 2018;</w:t>
      </w:r>
      <w:r>
        <w:rPr>
          <w:rStyle w:val="Superscript"/>
        </w:rPr>
        <w:t>11</w:t>
      </w:r>
      <w:r>
        <w:t xml:space="preserve"> however, there has not been the laboratory capability in Timor-Leste to test for it. In 2021, Timor-Leste began using the </w:t>
      </w:r>
      <w:proofErr w:type="spellStart"/>
      <w:r>
        <w:t>Ausdiagnostics</w:t>
      </w:r>
      <w:proofErr w:type="spellEnd"/>
      <w:r>
        <w:t xml:space="preserve"> mosquito-borne disease multiplex polymerase chain reaction (PCR) panel, in the context of ongoing investment in laboratory strengthening, supported by the Australian Government.</w:t>
      </w:r>
      <w:r>
        <w:rPr>
          <w:rStyle w:val="Superscript"/>
        </w:rPr>
        <w:t>12,13</w:t>
      </w:r>
      <w:r>
        <w:t xml:space="preserve"> The first case of CHIKV notified in Timor-Leste was in November 2023. However, evidence of CHIKV in Timor-Leste has been present since independence in 2002. Between 2002 and 2023, there were 26 cases of CHIKV notified in Australia who acquired their infection in Timor-Leste.</w:t>
      </w:r>
      <w:r>
        <w:rPr>
          <w:rStyle w:val="Superscript"/>
        </w:rPr>
        <w:t>14</w:t>
      </w:r>
      <w:r>
        <w:t xml:space="preserve"> This includes seven travellers who were notified in the Northern Territory, which has close links to Timor-Leste.</w:t>
      </w:r>
      <w:r>
        <w:rPr>
          <w:rStyle w:val="Superscript"/>
        </w:rPr>
        <w:t>15,16</w:t>
      </w:r>
      <w:r>
        <w:t xml:space="preserve"> Routine surveillance detected an outbreak of CHIKV in January 2024.</w:t>
      </w:r>
    </w:p>
    <w:p w14:paraId="6E56831D" w14:textId="77777777" w:rsidR="00EE4AE4" w:rsidRDefault="00EE4AE4" w:rsidP="00EE4AE4">
      <w:pPr>
        <w:divId w:val="935526654"/>
      </w:pPr>
      <w:r>
        <w:t>We briefly describe the first confirmed outbreak of CHIKV in Timor-Leste in 2024.</w:t>
      </w:r>
    </w:p>
    <w:p w14:paraId="260F2CEE" w14:textId="2DC0FB77" w:rsidR="00006910" w:rsidRDefault="00006910" w:rsidP="00006910">
      <w:pPr>
        <w:pStyle w:val="Heading1"/>
        <w:divId w:val="935526654"/>
      </w:pPr>
      <w:r>
        <w:t>Methods</w:t>
      </w:r>
    </w:p>
    <w:p w14:paraId="0DBC9F28" w14:textId="77777777" w:rsidR="00301F48" w:rsidRDefault="00301F48" w:rsidP="00301F48">
      <w:pPr>
        <w:divId w:val="935526654"/>
      </w:pPr>
      <w:r>
        <w:t>A confirmed outbreak case was defined as any person in Timor-Leste who tested positive to CHIKV by PCR and was notified to the surveillance department, with specimen collection date after 1 January 2024.</w:t>
      </w:r>
      <w:r>
        <w:rPr>
          <w:rStyle w:val="Superscript"/>
        </w:rPr>
        <w:t>11</w:t>
      </w:r>
      <w:r w:rsidRPr="00301F48">
        <w:t xml:space="preserve"> </w:t>
      </w:r>
      <w:r>
        <w:t>A probable outbreak case was defined as any person in Timor-Leste notified to the surveillance department, who in the absence of PCR test for CHIKV, had acute onset of fever AND either severe arthralgia or severe arthritis, since 1 January 2024, and with these symptoms not explained by another diagnosis.</w:t>
      </w:r>
      <w:r>
        <w:rPr>
          <w:rStyle w:val="Superscript"/>
        </w:rPr>
        <w:t>17</w:t>
      </w:r>
      <w:r w:rsidRPr="00301F48">
        <w:t xml:space="preserve"> </w:t>
      </w:r>
      <w:r>
        <w:t>Laboratory testing was undertaken on ethylenediaminetetraacetic acid (EDTA) anti-coagulated whole blood samples at the National Health Laboratory in Dili. Specimens were transported to Dili from other municipalities using government vehicle, ambulance, mini-bus (</w:t>
      </w:r>
      <w:proofErr w:type="spellStart"/>
      <w:r>
        <w:rPr>
          <w:rStyle w:val="Italic"/>
        </w:rPr>
        <w:t>mikrolet</w:t>
      </w:r>
      <w:proofErr w:type="spellEnd"/>
      <w:r>
        <w:t xml:space="preserve">) or motorcycle. </w:t>
      </w:r>
    </w:p>
    <w:p w14:paraId="18326DAB" w14:textId="77777777" w:rsidR="00301F48" w:rsidRDefault="00301F48" w:rsidP="00301F48">
      <w:pPr>
        <w:divId w:val="935526654"/>
      </w:pPr>
      <w:r>
        <w:t xml:space="preserve">Case demographic information was collected using a standardised case questionnaire form also used for DENV notifications. Data was entered into Microsoft Excel 2016 (Microsoft, USA), which was also used to perform descriptive analysis and produce graphs. </w:t>
      </w:r>
    </w:p>
    <w:p w14:paraId="61A5EC12" w14:textId="77777777" w:rsidR="00301F48" w:rsidRDefault="00301F48" w:rsidP="00301F48">
      <w:pPr>
        <w:divId w:val="935526654"/>
      </w:pPr>
      <w:r>
        <w:t>Ethics approval was not required, as this outbreak investigation was conducted under the auspices of routine communicable disease surveillance and response activity.</w:t>
      </w:r>
    </w:p>
    <w:p w14:paraId="48C9FADA" w14:textId="4ACB3EBE" w:rsidR="005572D3" w:rsidRDefault="00006910" w:rsidP="005572D3">
      <w:pPr>
        <w:pStyle w:val="Heading1"/>
        <w:divId w:val="935526654"/>
      </w:pPr>
      <w:r>
        <w:t>Results</w:t>
      </w:r>
    </w:p>
    <w:p w14:paraId="143B1235" w14:textId="77777777" w:rsidR="00301F48" w:rsidRDefault="00301F48" w:rsidP="00301F48">
      <w:pPr>
        <w:divId w:val="935526654"/>
      </w:pPr>
      <w:r>
        <w:t xml:space="preserve">During 1–31 January 2024 there were 195 outbreak cases (Figure 2); 195 confirmed and 0 probable; no cases were hospitalised; there were no deaths; 52% of cases were male. The highest number of cases (88 cases, incidence rate 26.3 cases per 100,000) was notified in Dili municipality; the highest incidence rate of disease was in the neighbouring municipality of </w:t>
      </w:r>
      <w:proofErr w:type="spellStart"/>
      <w:r>
        <w:t>Ermera</w:t>
      </w:r>
      <w:proofErr w:type="spellEnd"/>
      <w:r>
        <w:t>, with a monthly incidence rate of 58.8 cases per 100,000 (Table 1).  The median age of cases was 17 years (range: 1–76 years). All laboratory-confirmed cases were detected using PCR. Cases of CHIKV were notified from five of the 13 municipalities in Timor-Leste.</w:t>
      </w:r>
    </w:p>
    <w:p w14:paraId="11624E9D" w14:textId="5EF92405" w:rsidR="00301F48" w:rsidRDefault="00006910" w:rsidP="00301F48">
      <w:pPr>
        <w:pStyle w:val="CDIFigure-Table-Title"/>
        <w:divId w:val="935526654"/>
      </w:pPr>
      <w:r>
        <w:lastRenderedPageBreak/>
        <w:t>Figure</w:t>
      </w:r>
      <w:r w:rsidRPr="00F804EC">
        <w:t xml:space="preserve"> </w:t>
      </w:r>
      <w:r>
        <w:t>2</w:t>
      </w:r>
      <w:r w:rsidRPr="00F804EC">
        <w:t xml:space="preserve">: </w:t>
      </w:r>
      <w:r w:rsidR="00301F48">
        <w:t>Epidemic curve of outbreak cases by diagnosis date (specimen collection date for confirmed cases or onset date for probable cases), 1–31 January 2024</w:t>
      </w:r>
      <w:r w:rsidR="00A80166">
        <w:t>, Timor-Leste</w:t>
      </w:r>
    </w:p>
    <w:p w14:paraId="214F346B" w14:textId="37A2E9FC" w:rsidR="00006910" w:rsidRDefault="00301F48" w:rsidP="00301F48">
      <w:pPr>
        <w:pStyle w:val="CDIFigure-Table-ImagePlaceholder"/>
        <w:spacing w:after="360"/>
        <w:divId w:val="935526654"/>
      </w:pPr>
      <w:r>
        <w:rPr>
          <w:noProof/>
          <w14:ligatures w14:val="none"/>
        </w:rPr>
        <w:drawing>
          <wp:inline distT="0" distB="0" distL="0" distR="0" wp14:anchorId="7FF73DBD" wp14:editId="3A67D7DE">
            <wp:extent cx="5931420" cy="3227839"/>
            <wp:effectExtent l="0" t="0" r="0" b="0"/>
            <wp:docPr id="3" name="Picture 3" descr="Figure 2 shows the number of chikungunya virus outbreak cases infection cases diagnosed per day in Timor-Leste, between 1-31 January 2024. It shows that the first cases were diagnosed on 12 January 2024, with a peak of 40 cases on 16 January 2024. There were no cases diagnosed after 25 January as limited supplies of testing reagents were exhausted, rather than an end of transmission occur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shows the number of chikungunya virus outbreak cases infection cases diagnosed per day in Timor-Leste, between 1-31 January 2024. It shows that the first cases were diagnosed on 12 January 2024, with a peak of 40 cases on 16 January 2024. There were no cases diagnosed after 25 January as limited supplies of testing reagents were exhausted, rather than an end of transmission occurring.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1420" cy="3227839"/>
                    </a:xfrm>
                    <a:prstGeom prst="rect">
                      <a:avLst/>
                    </a:prstGeom>
                  </pic:spPr>
                </pic:pic>
              </a:graphicData>
            </a:graphic>
          </wp:inline>
        </w:drawing>
      </w:r>
    </w:p>
    <w:p w14:paraId="582479A9" w14:textId="77777777" w:rsidR="00301F48" w:rsidRPr="00301F48" w:rsidRDefault="00301F48" w:rsidP="00301F48">
      <w:pPr>
        <w:pStyle w:val="CDIFigure-Table-Title"/>
        <w:divId w:val="935526654"/>
      </w:pPr>
      <w:r w:rsidRPr="00301F48">
        <w:t>Table 1: Number of chikungunya outbreak cases (confirmed and probable) and monthly incidence rate (per 100,000 population), by municipality, Timor-Leste, 1–31 January 2024</w:t>
      </w:r>
    </w:p>
    <w:tbl>
      <w:tblPr>
        <w:tblStyle w:val="CDI-StandardTable"/>
        <w:tblW w:w="0" w:type="auto"/>
        <w:tblLayout w:type="fixed"/>
        <w:tblLook w:val="0060" w:firstRow="1" w:lastRow="1" w:firstColumn="0" w:lastColumn="0" w:noHBand="0" w:noVBand="0"/>
        <w:tblDescription w:val="Table 1 shows the number of outbreak cases (confirmed and probable combined) in each of Timor-Leste’s 13 Municipalities between 1-31 January 2024 and the associated monthly incidence rate per 100,000 population. It shows that the highest number of cases occurred in the Municipality of Dili with 88 cases (monthly incidence rate 26.3 cases per 100,000 population), and the highest incidence rate occurred in the neighbouring Municipality of Ermera with 81 cases and a monthly incidence rate of 58.8 cases per 100,000 population."/>
      </w:tblPr>
      <w:tblGrid>
        <w:gridCol w:w="2665"/>
        <w:gridCol w:w="2267"/>
        <w:gridCol w:w="4706"/>
      </w:tblGrid>
      <w:tr w:rsidR="00301F48" w:rsidRPr="00301F48" w14:paraId="569C52F5" w14:textId="77777777" w:rsidTr="001F4A66">
        <w:trPr>
          <w:cnfStyle w:val="100000000000" w:firstRow="1" w:lastRow="0" w:firstColumn="0" w:lastColumn="0" w:oddVBand="0" w:evenVBand="0" w:oddHBand="0" w:evenHBand="0" w:firstRowFirstColumn="0" w:firstRowLastColumn="0" w:lastRowFirstColumn="0" w:lastRowLastColumn="0"/>
          <w:divId w:val="935526654"/>
          <w:trHeight w:val="60"/>
          <w:tblHeader/>
        </w:trPr>
        <w:tc>
          <w:tcPr>
            <w:tcW w:w="2665" w:type="dxa"/>
          </w:tcPr>
          <w:p w14:paraId="0A5C2CA7" w14:textId="77777777" w:rsidR="00301F48" w:rsidRPr="00301F48" w:rsidRDefault="00301F48" w:rsidP="00301F48">
            <w:pPr>
              <w:jc w:val="left"/>
            </w:pPr>
            <w:r w:rsidRPr="00301F48">
              <w:t>Municipality</w:t>
            </w:r>
          </w:p>
        </w:tc>
        <w:tc>
          <w:tcPr>
            <w:tcW w:w="2267" w:type="dxa"/>
          </w:tcPr>
          <w:p w14:paraId="0D29B77F" w14:textId="77777777" w:rsidR="00301F48" w:rsidRPr="00301F48" w:rsidRDefault="00301F48" w:rsidP="00301F48">
            <w:r w:rsidRPr="00301F48">
              <w:t>Cases</w:t>
            </w:r>
          </w:p>
        </w:tc>
        <w:tc>
          <w:tcPr>
            <w:tcW w:w="4706" w:type="dxa"/>
          </w:tcPr>
          <w:p w14:paraId="147138CA" w14:textId="77777777" w:rsidR="00301F48" w:rsidRPr="00301F48" w:rsidRDefault="00301F48" w:rsidP="00301F48">
            <w:r w:rsidRPr="00301F48">
              <w:t>Incidence rate (per 100,000 population)</w:t>
            </w:r>
          </w:p>
        </w:tc>
      </w:tr>
      <w:tr w:rsidR="00301F48" w:rsidRPr="00301F48" w14:paraId="1D9264A4"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462755F9" w14:textId="77777777" w:rsidR="00301F48" w:rsidRPr="00301F48" w:rsidRDefault="00301F48" w:rsidP="00301F48">
            <w:pPr>
              <w:jc w:val="left"/>
            </w:pPr>
            <w:proofErr w:type="spellStart"/>
            <w:r w:rsidRPr="00301F48">
              <w:t>Aileu</w:t>
            </w:r>
            <w:proofErr w:type="spellEnd"/>
          </w:p>
        </w:tc>
        <w:tc>
          <w:tcPr>
            <w:tcW w:w="2267" w:type="dxa"/>
          </w:tcPr>
          <w:p w14:paraId="6E1A0A8B" w14:textId="77777777" w:rsidR="00301F48" w:rsidRPr="00301F48" w:rsidRDefault="00301F48" w:rsidP="00301F48">
            <w:r w:rsidRPr="00301F48">
              <w:t>0</w:t>
            </w:r>
          </w:p>
        </w:tc>
        <w:tc>
          <w:tcPr>
            <w:tcW w:w="4706" w:type="dxa"/>
          </w:tcPr>
          <w:p w14:paraId="78137592" w14:textId="77777777" w:rsidR="00301F48" w:rsidRPr="00301F48" w:rsidRDefault="00301F48" w:rsidP="00301F48">
            <w:r w:rsidRPr="00301F48">
              <w:t>0</w:t>
            </w:r>
          </w:p>
        </w:tc>
      </w:tr>
      <w:tr w:rsidR="00301F48" w:rsidRPr="00301F48" w14:paraId="3884B167"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142BB223" w14:textId="77777777" w:rsidR="00301F48" w:rsidRPr="00301F48" w:rsidRDefault="00301F48" w:rsidP="00301F48">
            <w:pPr>
              <w:jc w:val="left"/>
            </w:pPr>
            <w:proofErr w:type="spellStart"/>
            <w:r w:rsidRPr="00301F48">
              <w:t>Ainaro</w:t>
            </w:r>
            <w:proofErr w:type="spellEnd"/>
          </w:p>
        </w:tc>
        <w:tc>
          <w:tcPr>
            <w:tcW w:w="2267" w:type="dxa"/>
          </w:tcPr>
          <w:p w14:paraId="6B5D91EC" w14:textId="77777777" w:rsidR="00301F48" w:rsidRPr="00301F48" w:rsidRDefault="00301F48" w:rsidP="00301F48">
            <w:r w:rsidRPr="00301F48">
              <w:t>0</w:t>
            </w:r>
          </w:p>
        </w:tc>
        <w:tc>
          <w:tcPr>
            <w:tcW w:w="4706" w:type="dxa"/>
          </w:tcPr>
          <w:p w14:paraId="7FB40730" w14:textId="77777777" w:rsidR="00301F48" w:rsidRPr="00301F48" w:rsidRDefault="00301F48" w:rsidP="00301F48">
            <w:r w:rsidRPr="00301F48">
              <w:t>0</w:t>
            </w:r>
          </w:p>
        </w:tc>
      </w:tr>
      <w:tr w:rsidR="00301F48" w:rsidRPr="00301F48" w14:paraId="14266B72"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559684B9" w14:textId="77777777" w:rsidR="00301F48" w:rsidRPr="00301F48" w:rsidRDefault="00301F48" w:rsidP="00301F48">
            <w:pPr>
              <w:jc w:val="left"/>
            </w:pPr>
            <w:proofErr w:type="spellStart"/>
            <w:r w:rsidRPr="00301F48">
              <w:t>Baucau</w:t>
            </w:r>
            <w:proofErr w:type="spellEnd"/>
          </w:p>
        </w:tc>
        <w:tc>
          <w:tcPr>
            <w:tcW w:w="2267" w:type="dxa"/>
          </w:tcPr>
          <w:p w14:paraId="0A6E91EA" w14:textId="77777777" w:rsidR="00301F48" w:rsidRPr="00301F48" w:rsidRDefault="00301F48" w:rsidP="00301F48">
            <w:r w:rsidRPr="00301F48">
              <w:t>0</w:t>
            </w:r>
          </w:p>
        </w:tc>
        <w:tc>
          <w:tcPr>
            <w:tcW w:w="4706" w:type="dxa"/>
          </w:tcPr>
          <w:p w14:paraId="4EE07647" w14:textId="77777777" w:rsidR="00301F48" w:rsidRPr="00301F48" w:rsidRDefault="00301F48" w:rsidP="00301F48">
            <w:r w:rsidRPr="00301F48">
              <w:t>0</w:t>
            </w:r>
          </w:p>
        </w:tc>
      </w:tr>
      <w:tr w:rsidR="00301F48" w:rsidRPr="00301F48" w14:paraId="6E54CED0"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20F4AC3D" w14:textId="77777777" w:rsidR="00301F48" w:rsidRPr="00301F48" w:rsidRDefault="00301F48" w:rsidP="00301F48">
            <w:pPr>
              <w:jc w:val="left"/>
            </w:pPr>
            <w:proofErr w:type="spellStart"/>
            <w:r w:rsidRPr="00301F48">
              <w:t>Bobonaro</w:t>
            </w:r>
            <w:proofErr w:type="spellEnd"/>
          </w:p>
        </w:tc>
        <w:tc>
          <w:tcPr>
            <w:tcW w:w="2267" w:type="dxa"/>
          </w:tcPr>
          <w:p w14:paraId="65805FFF" w14:textId="77777777" w:rsidR="00301F48" w:rsidRPr="00301F48" w:rsidRDefault="00301F48" w:rsidP="00301F48">
            <w:r w:rsidRPr="00301F48">
              <w:t>5</w:t>
            </w:r>
          </w:p>
        </w:tc>
        <w:tc>
          <w:tcPr>
            <w:tcW w:w="4706" w:type="dxa"/>
          </w:tcPr>
          <w:p w14:paraId="08EFB08D" w14:textId="77777777" w:rsidR="00301F48" w:rsidRPr="00301F48" w:rsidRDefault="00301F48" w:rsidP="00301F48">
            <w:r w:rsidRPr="00301F48">
              <w:t>4.7</w:t>
            </w:r>
          </w:p>
        </w:tc>
      </w:tr>
      <w:tr w:rsidR="00301F48" w:rsidRPr="00301F48" w14:paraId="73A4E689"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468EE73D" w14:textId="77777777" w:rsidR="00301F48" w:rsidRPr="00301F48" w:rsidRDefault="00301F48" w:rsidP="00301F48">
            <w:pPr>
              <w:jc w:val="left"/>
            </w:pPr>
            <w:proofErr w:type="spellStart"/>
            <w:r w:rsidRPr="00301F48">
              <w:t>Covalima</w:t>
            </w:r>
            <w:proofErr w:type="spellEnd"/>
          </w:p>
        </w:tc>
        <w:tc>
          <w:tcPr>
            <w:tcW w:w="2267" w:type="dxa"/>
          </w:tcPr>
          <w:p w14:paraId="7349FBBA" w14:textId="77777777" w:rsidR="00301F48" w:rsidRPr="00301F48" w:rsidRDefault="00301F48" w:rsidP="00301F48">
            <w:r w:rsidRPr="00301F48">
              <w:t>0</w:t>
            </w:r>
          </w:p>
        </w:tc>
        <w:tc>
          <w:tcPr>
            <w:tcW w:w="4706" w:type="dxa"/>
          </w:tcPr>
          <w:p w14:paraId="784B1656" w14:textId="77777777" w:rsidR="00301F48" w:rsidRPr="00301F48" w:rsidRDefault="00301F48" w:rsidP="00301F48">
            <w:r w:rsidRPr="00301F48">
              <w:t>0</w:t>
            </w:r>
          </w:p>
        </w:tc>
      </w:tr>
      <w:tr w:rsidR="00301F48" w:rsidRPr="00301F48" w14:paraId="2C3129F4"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182D1B5F" w14:textId="77777777" w:rsidR="00301F48" w:rsidRPr="00301F48" w:rsidRDefault="00301F48" w:rsidP="00301F48">
            <w:pPr>
              <w:jc w:val="left"/>
            </w:pPr>
            <w:r w:rsidRPr="00301F48">
              <w:t>Dili</w:t>
            </w:r>
          </w:p>
        </w:tc>
        <w:tc>
          <w:tcPr>
            <w:tcW w:w="2267" w:type="dxa"/>
          </w:tcPr>
          <w:p w14:paraId="157FB9E5" w14:textId="77777777" w:rsidR="00301F48" w:rsidRPr="00301F48" w:rsidRDefault="00301F48" w:rsidP="00301F48">
            <w:r w:rsidRPr="00301F48">
              <w:t>88</w:t>
            </w:r>
          </w:p>
        </w:tc>
        <w:tc>
          <w:tcPr>
            <w:tcW w:w="4706" w:type="dxa"/>
          </w:tcPr>
          <w:p w14:paraId="600B4A60" w14:textId="77777777" w:rsidR="00301F48" w:rsidRPr="00301F48" w:rsidRDefault="00301F48" w:rsidP="00301F48">
            <w:r w:rsidRPr="00301F48">
              <w:t>26.3</w:t>
            </w:r>
          </w:p>
        </w:tc>
      </w:tr>
      <w:tr w:rsidR="00301F48" w:rsidRPr="00301F48" w14:paraId="346B1452"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752350C0" w14:textId="77777777" w:rsidR="00301F48" w:rsidRPr="00301F48" w:rsidRDefault="00301F48" w:rsidP="00301F48">
            <w:pPr>
              <w:jc w:val="left"/>
            </w:pPr>
            <w:proofErr w:type="spellStart"/>
            <w:r w:rsidRPr="00301F48">
              <w:t>Ermera</w:t>
            </w:r>
            <w:proofErr w:type="spellEnd"/>
          </w:p>
        </w:tc>
        <w:tc>
          <w:tcPr>
            <w:tcW w:w="2267" w:type="dxa"/>
          </w:tcPr>
          <w:p w14:paraId="66DDD128" w14:textId="77777777" w:rsidR="00301F48" w:rsidRPr="00301F48" w:rsidRDefault="00301F48" w:rsidP="00301F48">
            <w:r w:rsidRPr="00301F48">
              <w:t>81</w:t>
            </w:r>
          </w:p>
        </w:tc>
        <w:tc>
          <w:tcPr>
            <w:tcW w:w="4706" w:type="dxa"/>
          </w:tcPr>
          <w:p w14:paraId="66ADCBAA" w14:textId="77777777" w:rsidR="00301F48" w:rsidRPr="00301F48" w:rsidRDefault="00301F48" w:rsidP="00301F48">
            <w:r w:rsidRPr="00301F48">
              <w:t>58.8</w:t>
            </w:r>
          </w:p>
        </w:tc>
      </w:tr>
      <w:tr w:rsidR="00301F48" w:rsidRPr="00301F48" w14:paraId="104D6619"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0AF76648" w14:textId="77777777" w:rsidR="00301F48" w:rsidRPr="00301F48" w:rsidRDefault="00301F48" w:rsidP="00301F48">
            <w:pPr>
              <w:jc w:val="left"/>
            </w:pPr>
            <w:proofErr w:type="spellStart"/>
            <w:r w:rsidRPr="00301F48">
              <w:t>Lautem</w:t>
            </w:r>
            <w:proofErr w:type="spellEnd"/>
          </w:p>
        </w:tc>
        <w:tc>
          <w:tcPr>
            <w:tcW w:w="2267" w:type="dxa"/>
          </w:tcPr>
          <w:p w14:paraId="501B9F7D" w14:textId="77777777" w:rsidR="00301F48" w:rsidRPr="00301F48" w:rsidRDefault="00301F48" w:rsidP="00301F48">
            <w:r w:rsidRPr="00301F48">
              <w:t>7</w:t>
            </w:r>
          </w:p>
        </w:tc>
        <w:tc>
          <w:tcPr>
            <w:tcW w:w="4706" w:type="dxa"/>
          </w:tcPr>
          <w:p w14:paraId="4EC25540" w14:textId="77777777" w:rsidR="00301F48" w:rsidRPr="00301F48" w:rsidRDefault="00301F48" w:rsidP="00301F48">
            <w:r w:rsidRPr="00301F48">
              <w:t>10.0</w:t>
            </w:r>
          </w:p>
        </w:tc>
      </w:tr>
      <w:tr w:rsidR="00301F48" w:rsidRPr="00301F48" w14:paraId="6B9C3412"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04528B80" w14:textId="77777777" w:rsidR="00301F48" w:rsidRPr="00301F48" w:rsidRDefault="00301F48" w:rsidP="00301F48">
            <w:pPr>
              <w:jc w:val="left"/>
            </w:pPr>
            <w:proofErr w:type="spellStart"/>
            <w:r w:rsidRPr="00301F48">
              <w:t>Liqui</w:t>
            </w:r>
            <w:r w:rsidRPr="00301F48">
              <w:rPr>
                <w:rFonts w:hint="eastAsia"/>
              </w:rPr>
              <w:t>ḉ</w:t>
            </w:r>
            <w:r w:rsidRPr="00301F48">
              <w:t>a</w:t>
            </w:r>
            <w:proofErr w:type="spellEnd"/>
          </w:p>
        </w:tc>
        <w:tc>
          <w:tcPr>
            <w:tcW w:w="2267" w:type="dxa"/>
          </w:tcPr>
          <w:p w14:paraId="6DBE6CBD" w14:textId="77777777" w:rsidR="00301F48" w:rsidRPr="00301F48" w:rsidRDefault="00301F48" w:rsidP="00301F48">
            <w:r w:rsidRPr="00301F48">
              <w:t>14</w:t>
            </w:r>
          </w:p>
        </w:tc>
        <w:tc>
          <w:tcPr>
            <w:tcW w:w="4706" w:type="dxa"/>
          </w:tcPr>
          <w:p w14:paraId="3D5E7430" w14:textId="77777777" w:rsidR="00301F48" w:rsidRPr="00301F48" w:rsidRDefault="00301F48" w:rsidP="00301F48">
            <w:r w:rsidRPr="00301F48">
              <w:t>16.7</w:t>
            </w:r>
          </w:p>
        </w:tc>
      </w:tr>
      <w:tr w:rsidR="00301F48" w:rsidRPr="00301F48" w14:paraId="0AFF2410"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62868030" w14:textId="77777777" w:rsidR="00301F48" w:rsidRPr="00301F48" w:rsidRDefault="00301F48" w:rsidP="00301F48">
            <w:pPr>
              <w:jc w:val="left"/>
            </w:pPr>
            <w:proofErr w:type="spellStart"/>
            <w:r w:rsidRPr="00301F48">
              <w:t>Manatuto</w:t>
            </w:r>
            <w:proofErr w:type="spellEnd"/>
          </w:p>
        </w:tc>
        <w:tc>
          <w:tcPr>
            <w:tcW w:w="2267" w:type="dxa"/>
          </w:tcPr>
          <w:p w14:paraId="5CF08FC5" w14:textId="77777777" w:rsidR="00301F48" w:rsidRPr="00301F48" w:rsidRDefault="00301F48" w:rsidP="00301F48">
            <w:r w:rsidRPr="00301F48">
              <w:t>0</w:t>
            </w:r>
          </w:p>
        </w:tc>
        <w:tc>
          <w:tcPr>
            <w:tcW w:w="4706" w:type="dxa"/>
          </w:tcPr>
          <w:p w14:paraId="13C86CB5" w14:textId="77777777" w:rsidR="00301F48" w:rsidRPr="00301F48" w:rsidRDefault="00301F48" w:rsidP="00301F48">
            <w:r w:rsidRPr="00301F48">
              <w:t>0</w:t>
            </w:r>
          </w:p>
        </w:tc>
      </w:tr>
      <w:tr w:rsidR="00301F48" w:rsidRPr="00301F48" w14:paraId="793D3B50"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79173826" w14:textId="77777777" w:rsidR="00301F48" w:rsidRPr="00301F48" w:rsidRDefault="00301F48" w:rsidP="00301F48">
            <w:pPr>
              <w:jc w:val="left"/>
            </w:pPr>
            <w:r w:rsidRPr="00301F48">
              <w:t>Manufahi</w:t>
            </w:r>
          </w:p>
        </w:tc>
        <w:tc>
          <w:tcPr>
            <w:tcW w:w="2267" w:type="dxa"/>
          </w:tcPr>
          <w:p w14:paraId="0AD20ECE" w14:textId="77777777" w:rsidR="00301F48" w:rsidRPr="00301F48" w:rsidRDefault="00301F48" w:rsidP="00301F48">
            <w:r w:rsidRPr="00301F48">
              <w:t>0</w:t>
            </w:r>
          </w:p>
        </w:tc>
        <w:tc>
          <w:tcPr>
            <w:tcW w:w="4706" w:type="dxa"/>
          </w:tcPr>
          <w:p w14:paraId="378EB833" w14:textId="77777777" w:rsidR="00301F48" w:rsidRPr="00301F48" w:rsidRDefault="00301F48" w:rsidP="00301F48">
            <w:r w:rsidRPr="00301F48">
              <w:t>0</w:t>
            </w:r>
          </w:p>
        </w:tc>
      </w:tr>
      <w:tr w:rsidR="00301F48" w:rsidRPr="00301F48" w14:paraId="295E5920" w14:textId="77777777" w:rsidTr="00301F48">
        <w:trPr>
          <w:cnfStyle w:val="000000010000" w:firstRow="0" w:lastRow="0" w:firstColumn="0" w:lastColumn="0" w:oddVBand="0" w:evenVBand="0" w:oddHBand="0" w:evenHBand="1" w:firstRowFirstColumn="0" w:firstRowLastColumn="0" w:lastRowFirstColumn="0" w:lastRowLastColumn="0"/>
          <w:divId w:val="935526654"/>
          <w:trHeight w:val="60"/>
        </w:trPr>
        <w:tc>
          <w:tcPr>
            <w:tcW w:w="2665" w:type="dxa"/>
          </w:tcPr>
          <w:p w14:paraId="3D197482" w14:textId="77777777" w:rsidR="00301F48" w:rsidRPr="00301F48" w:rsidRDefault="00301F48" w:rsidP="00301F48">
            <w:pPr>
              <w:jc w:val="left"/>
            </w:pPr>
            <w:proofErr w:type="spellStart"/>
            <w:r w:rsidRPr="00301F48">
              <w:t>Oecusse</w:t>
            </w:r>
            <w:proofErr w:type="spellEnd"/>
          </w:p>
        </w:tc>
        <w:tc>
          <w:tcPr>
            <w:tcW w:w="2267" w:type="dxa"/>
          </w:tcPr>
          <w:p w14:paraId="1497703A" w14:textId="77777777" w:rsidR="00301F48" w:rsidRPr="00301F48" w:rsidRDefault="00301F48" w:rsidP="00301F48">
            <w:r w:rsidRPr="00301F48">
              <w:t>0</w:t>
            </w:r>
          </w:p>
        </w:tc>
        <w:tc>
          <w:tcPr>
            <w:tcW w:w="4706" w:type="dxa"/>
          </w:tcPr>
          <w:p w14:paraId="10B9221C" w14:textId="77777777" w:rsidR="00301F48" w:rsidRPr="00301F48" w:rsidRDefault="00301F48" w:rsidP="00301F48">
            <w:r w:rsidRPr="00301F48">
              <w:t>0</w:t>
            </w:r>
          </w:p>
        </w:tc>
      </w:tr>
      <w:tr w:rsidR="00301F48" w:rsidRPr="00301F48" w14:paraId="774018AD" w14:textId="77777777" w:rsidTr="00301F48">
        <w:trPr>
          <w:cnfStyle w:val="000000100000" w:firstRow="0" w:lastRow="0" w:firstColumn="0" w:lastColumn="0" w:oddVBand="0" w:evenVBand="0" w:oddHBand="1" w:evenHBand="0" w:firstRowFirstColumn="0" w:firstRowLastColumn="0" w:lastRowFirstColumn="0" w:lastRowLastColumn="0"/>
          <w:divId w:val="935526654"/>
          <w:trHeight w:val="60"/>
        </w:trPr>
        <w:tc>
          <w:tcPr>
            <w:tcW w:w="2665" w:type="dxa"/>
          </w:tcPr>
          <w:p w14:paraId="238DE902" w14:textId="77777777" w:rsidR="00301F48" w:rsidRPr="00301F48" w:rsidRDefault="00301F48" w:rsidP="00301F48">
            <w:pPr>
              <w:jc w:val="left"/>
            </w:pPr>
            <w:proofErr w:type="spellStart"/>
            <w:r w:rsidRPr="00301F48">
              <w:t>Viqueque</w:t>
            </w:r>
            <w:proofErr w:type="spellEnd"/>
          </w:p>
        </w:tc>
        <w:tc>
          <w:tcPr>
            <w:tcW w:w="2267" w:type="dxa"/>
          </w:tcPr>
          <w:p w14:paraId="1630B70A" w14:textId="77777777" w:rsidR="00301F48" w:rsidRPr="00301F48" w:rsidRDefault="00301F48" w:rsidP="00301F48">
            <w:r w:rsidRPr="00301F48">
              <w:t>0</w:t>
            </w:r>
          </w:p>
        </w:tc>
        <w:tc>
          <w:tcPr>
            <w:tcW w:w="4706" w:type="dxa"/>
          </w:tcPr>
          <w:p w14:paraId="65EAAEC8" w14:textId="77777777" w:rsidR="00301F48" w:rsidRPr="00301F48" w:rsidRDefault="00301F48" w:rsidP="00301F48">
            <w:r w:rsidRPr="00301F48">
              <w:t>0</w:t>
            </w:r>
          </w:p>
        </w:tc>
      </w:tr>
      <w:tr w:rsidR="00301F48" w:rsidRPr="00301F48" w14:paraId="6AABC2BC" w14:textId="77777777" w:rsidTr="00301F48">
        <w:trPr>
          <w:cnfStyle w:val="010000000000" w:firstRow="0" w:lastRow="1" w:firstColumn="0" w:lastColumn="0" w:oddVBand="0" w:evenVBand="0" w:oddHBand="0" w:evenHBand="0" w:firstRowFirstColumn="0" w:firstRowLastColumn="0" w:lastRowFirstColumn="0" w:lastRowLastColumn="0"/>
          <w:divId w:val="935526654"/>
          <w:trHeight w:val="60"/>
        </w:trPr>
        <w:tc>
          <w:tcPr>
            <w:tcW w:w="2665" w:type="dxa"/>
          </w:tcPr>
          <w:p w14:paraId="70FFA5DF" w14:textId="77777777" w:rsidR="00301F48" w:rsidRPr="00301F48" w:rsidRDefault="00301F48" w:rsidP="00301F48">
            <w:pPr>
              <w:jc w:val="left"/>
            </w:pPr>
            <w:r w:rsidRPr="00301F48">
              <w:t>Total</w:t>
            </w:r>
          </w:p>
        </w:tc>
        <w:tc>
          <w:tcPr>
            <w:tcW w:w="2267" w:type="dxa"/>
          </w:tcPr>
          <w:p w14:paraId="1A8B5420" w14:textId="77777777" w:rsidR="00301F48" w:rsidRPr="00301F48" w:rsidRDefault="00301F48" w:rsidP="00301F48">
            <w:r w:rsidRPr="00301F48">
              <w:t>195</w:t>
            </w:r>
          </w:p>
        </w:tc>
        <w:tc>
          <w:tcPr>
            <w:tcW w:w="4706" w:type="dxa"/>
          </w:tcPr>
          <w:p w14:paraId="6E2709B1" w14:textId="77777777" w:rsidR="00301F48" w:rsidRPr="00301F48" w:rsidRDefault="00301F48" w:rsidP="00301F48">
            <w:r w:rsidRPr="00301F48">
              <w:t>14.5</w:t>
            </w:r>
          </w:p>
        </w:tc>
      </w:tr>
    </w:tbl>
    <w:p w14:paraId="177E4CD5" w14:textId="036CCF74" w:rsidR="002C3003" w:rsidRDefault="00006910" w:rsidP="002C3003">
      <w:pPr>
        <w:pStyle w:val="Heading1"/>
        <w:divId w:val="935526654"/>
      </w:pPr>
      <w:r>
        <w:lastRenderedPageBreak/>
        <w:t>D</w:t>
      </w:r>
      <w:r w:rsidR="005572D3">
        <w:t>iscussion</w:t>
      </w:r>
    </w:p>
    <w:p w14:paraId="4B5AD716" w14:textId="77777777" w:rsidR="00301F48" w:rsidRDefault="00301F48" w:rsidP="009857F2">
      <w:pPr>
        <w:keepLines/>
        <w:divId w:val="935526654"/>
      </w:pPr>
      <w:r>
        <w:t xml:space="preserve">This paper presents the first confirmed outbreak of CHIKV in Timor-Leste, although the existence of the virus in the country has been demonstrated since at least 2002. This could represent the first outbreak of </w:t>
      </w:r>
      <w:proofErr w:type="gramStart"/>
      <w:r>
        <w:t>CHIKV</w:t>
      </w:r>
      <w:proofErr w:type="gramEnd"/>
      <w:r>
        <w:t xml:space="preserve"> or it could represent improved case ascertainment during a time of peak transmission. It is likely that the true incidence of CHIKV over the past two decades was high, despite very few notifications from Timor-Leste during this period. Many people only experience mild </w:t>
      </w:r>
      <w:proofErr w:type="gramStart"/>
      <w:r>
        <w:t>symptoms, and</w:t>
      </w:r>
      <w:proofErr w:type="gramEnd"/>
      <w:r>
        <w:t xml:space="preserve"> are thus unlikely to present to health centres and health posts for treatment and subsequent PCR testing.</w:t>
      </w:r>
      <w:r>
        <w:rPr>
          <w:rStyle w:val="Superscript"/>
        </w:rPr>
        <w:t>7</w:t>
      </w:r>
      <w:r>
        <w:t xml:space="preserve"> </w:t>
      </w:r>
    </w:p>
    <w:p w14:paraId="33A85B96" w14:textId="77777777" w:rsidR="00301F48" w:rsidRDefault="00301F48" w:rsidP="00301F48">
      <w:pPr>
        <w:divId w:val="935526654"/>
      </w:pPr>
      <w:r>
        <w:t>Also, since the symptoms of DENV and CHIKV overlap somewhat, there is the chance that some cases of CHIKV were considered as suspected DENV</w:t>
      </w:r>
      <w:r>
        <w:rPr>
          <w:rStyle w:val="Superscript"/>
        </w:rPr>
        <w:t>7</w:t>
      </w:r>
      <w:r>
        <w:t xml:space="preserve"> cases by clinicians and only tested for DENV, given the high incidence of DENV and the ready availability of DENV rapid test kits even at remote health posts. The multiplex PCR testing platform used to test for CHIKV has only been available at the National Health Laboratory in the capital of Dili since 2021. It was introduced in the context of investments in laboratory strengthening which have been supported by the Australian Government.</w:t>
      </w:r>
      <w:r>
        <w:rPr>
          <w:rStyle w:val="Superscript"/>
        </w:rPr>
        <w:t>18</w:t>
      </w:r>
      <w:r>
        <w:t xml:space="preserve"> The lack of notified cases after 25 January coincided with the exhaustion of the limited supplies of the reagents, rather than an end of transmission. Challenges in specimen transport may have provided a disincentive to collecting and sending samples for testing. Likewise, although public and clinician awareness of DENV in Timor-Leste was and remains high, there has been limited information on the incidence of CHIKV in the country and limited awareness of the ability to test for CHIKV as a differential diagnosis. Human resource constraints, particularly in remote areas, may have contributed to the absence of reports of cases that met the probable case definition. Likewise, the relatively low severity of CHIKV symptoms means that the true number of cases in the outbreak is likely much higher than the confirmed cases reported. This outbreak report highlights that public and clinician awareness of CHIKV should be heightened.</w:t>
      </w:r>
    </w:p>
    <w:p w14:paraId="5CCE5CF6" w14:textId="12C6B593" w:rsidR="00301F48" w:rsidRDefault="00301F48" w:rsidP="00301F48">
      <w:pPr>
        <w:divId w:val="935526654"/>
      </w:pPr>
      <w:r>
        <w:t xml:space="preserve">The virus is transmitted by the same </w:t>
      </w:r>
      <w:r>
        <w:rPr>
          <w:rStyle w:val="Italic"/>
        </w:rPr>
        <w:t>Aedes</w:t>
      </w:r>
      <w:r>
        <w:t xml:space="preserve"> spp. vectors that transmit Zika virus and DENV. In Timor-Leste, DENV results in significant morbidity and mortality, particularly during annual wet season outbreaks. Health promotion messages that encourage people with suspected arboviral infection to present early for treatment should continue, as an accurate diagnosis can guide appropriate care to reduce morbidity and prevent deaths.</w:t>
      </w:r>
    </w:p>
    <w:p w14:paraId="73D1308A" w14:textId="77777777" w:rsidR="00301F48" w:rsidRDefault="00301F48" w:rsidP="00301F48">
      <w:pPr>
        <w:divId w:val="935526654"/>
      </w:pPr>
      <w:r>
        <w:t>Strategies for mosquito control in Timor-Leste currently focus on fogging and applying larvicides around locations where cases of DENV or CHIKV are notified. DENV-focused public health messaging occurs, which encourages community members to minimise breeding sites and larval habitats by encouraging proper rubbish disposal and removing items that can pool water such as old tyres, cans, bottles, and other receptacles.</w:t>
      </w:r>
      <w:r>
        <w:rPr>
          <w:rStyle w:val="Superscript"/>
        </w:rPr>
        <w:t>19</w:t>
      </w:r>
      <w:r>
        <w:t xml:space="preserve"> Many government agencies, private companies and other volunteer groups regularly collect rubbish in public spaces each Friday in an activity known as </w:t>
      </w:r>
      <w:r>
        <w:rPr>
          <w:rStyle w:val="Italic"/>
        </w:rPr>
        <w:t>‘limpeza’</w:t>
      </w:r>
      <w:r>
        <w:t>.</w:t>
      </w:r>
      <w:r>
        <w:rPr>
          <w:rStyle w:val="Superscript"/>
        </w:rPr>
        <w:t>20</w:t>
      </w:r>
      <w:r>
        <w:t xml:space="preserve"> The focus of public health messaging during the rainy season is on: </w:t>
      </w:r>
    </w:p>
    <w:p w14:paraId="3B4022E8" w14:textId="77777777" w:rsidR="00301F48" w:rsidRDefault="00301F48" w:rsidP="00301F48">
      <w:pPr>
        <w:pStyle w:val="CDIBulletsL1"/>
        <w:divId w:val="935526654"/>
      </w:pPr>
      <w:r>
        <w:t xml:space="preserve">covering up, especially during the day-time biting hours of the </w:t>
      </w:r>
      <w:proofErr w:type="gramStart"/>
      <w:r>
        <w:t>mosquito;</w:t>
      </w:r>
      <w:proofErr w:type="gramEnd"/>
      <w:r>
        <w:t xml:space="preserve"> </w:t>
      </w:r>
    </w:p>
    <w:p w14:paraId="2687F307" w14:textId="77777777" w:rsidR="00301F48" w:rsidRDefault="00301F48" w:rsidP="00301F48">
      <w:pPr>
        <w:pStyle w:val="CDIBulletsL1"/>
        <w:divId w:val="935526654"/>
      </w:pPr>
      <w:r w:rsidRPr="006518FE">
        <w:t xml:space="preserve">looking for water reservoirs around the home and </w:t>
      </w:r>
      <w:r>
        <w:t xml:space="preserve">tipping them out to prevent breeding sites; and </w:t>
      </w:r>
    </w:p>
    <w:p w14:paraId="488317BA" w14:textId="77777777" w:rsidR="00301F48" w:rsidRDefault="00301F48" w:rsidP="00301F48">
      <w:pPr>
        <w:pStyle w:val="CDIBulletsL1"/>
        <w:divId w:val="935526654"/>
      </w:pPr>
      <w:r>
        <w:t>covering containers and other receptacles where adult mosquitoes live.</w:t>
      </w:r>
      <w:r>
        <w:rPr>
          <w:rStyle w:val="Superscript"/>
        </w:rPr>
        <w:t>21</w:t>
      </w:r>
    </w:p>
    <w:p w14:paraId="68321FA5" w14:textId="77777777" w:rsidR="00301F48" w:rsidRDefault="00301F48" w:rsidP="00301F48">
      <w:pPr>
        <w:divId w:val="935526654"/>
      </w:pPr>
      <w:r>
        <w:t xml:space="preserve">Despite constant vector control and sanitation efforts, the incidence of diseases transmitted by </w:t>
      </w:r>
      <w:r>
        <w:rPr>
          <w:rStyle w:val="Italic"/>
        </w:rPr>
        <w:t>Aedes</w:t>
      </w:r>
      <w:r>
        <w:t xml:space="preserve"> spp. mosquitoes remains high in Timor-Leste.</w:t>
      </w:r>
      <w:r>
        <w:rPr>
          <w:rStyle w:val="Superscript"/>
        </w:rPr>
        <w:t>22,23</w:t>
      </w:r>
      <w:r>
        <w:t xml:space="preserve"> Introduction of </w:t>
      </w:r>
      <w:r>
        <w:rPr>
          <w:rStyle w:val="Italic"/>
        </w:rPr>
        <w:t>Wolbachia</w:t>
      </w:r>
      <w:r>
        <w:t xml:space="preserve">-infected </w:t>
      </w:r>
      <w:r>
        <w:rPr>
          <w:rStyle w:val="Italic"/>
        </w:rPr>
        <w:t xml:space="preserve">Ae. aegypti </w:t>
      </w:r>
      <w:r>
        <w:t xml:space="preserve">mosquitoes is </w:t>
      </w:r>
      <w:r>
        <w:lastRenderedPageBreak/>
        <w:t>a public health strategy that has had marked effects on the transmission of DENV, Zika and CHIKV in other nations including Australia, Indonesia and Brazil, and which would be anticipated to be similarly effective in urbanised settings within Timor-Leste.</w:t>
      </w:r>
      <w:r>
        <w:rPr>
          <w:rStyle w:val="Superscript"/>
        </w:rPr>
        <w:t>24,25,26,27,</w:t>
      </w:r>
      <w:proofErr w:type="gramStart"/>
      <w:r>
        <w:rPr>
          <w:rStyle w:val="Superscript"/>
        </w:rPr>
        <w:t>28</w:t>
      </w:r>
      <w:proofErr w:type="gramEnd"/>
    </w:p>
    <w:p w14:paraId="25A8F364" w14:textId="102DB4C8" w:rsidR="00006910" w:rsidRDefault="00006910" w:rsidP="00006910">
      <w:pPr>
        <w:pStyle w:val="Heading1"/>
        <w:divId w:val="935526654"/>
      </w:pPr>
      <w:r>
        <w:t>Conclusion</w:t>
      </w:r>
    </w:p>
    <w:p w14:paraId="7982C67D" w14:textId="77777777" w:rsidR="00907058" w:rsidRDefault="00907058" w:rsidP="00907058">
      <w:pPr>
        <w:divId w:val="935526654"/>
      </w:pPr>
      <w:r>
        <w:t xml:space="preserve">This first confirmed outbreak of CHIKV in Timor-Leste demonstrates that CHIKV is endemic in the country and outbreaks can occur. The availability and use of improved diagnostic tests (particularly PCR) improves the understanding of the epidemiology of CHIKV and other mosquito-borne diseases. Current conditions in Timor-Leste provide favourable conditions for </w:t>
      </w:r>
      <w:r>
        <w:rPr>
          <w:rStyle w:val="Italic"/>
        </w:rPr>
        <w:t>Aedes</w:t>
      </w:r>
      <w:r>
        <w:t xml:space="preserve"> spp. mosquitoes and existing strategies for vector control are not sufficiently mitigating the transmission of DENV and CHIKV to prevent outbreaks. The deployment of </w:t>
      </w:r>
      <w:r>
        <w:rPr>
          <w:rStyle w:val="Italic"/>
        </w:rPr>
        <w:t>Wolbachia</w:t>
      </w:r>
      <w:r>
        <w:t>-infected mosquitoes should be considered in Timor-Leste, particularly in Dili, as it has been shown to reduce transmission of CHIKV, DENV and Zika virus.</w:t>
      </w:r>
    </w:p>
    <w:p w14:paraId="6FD09BC2" w14:textId="31CDECC2" w:rsidR="00EA1A80" w:rsidRDefault="00006910" w:rsidP="001258DC">
      <w:pPr>
        <w:pStyle w:val="Heading1"/>
        <w:divId w:val="935526654"/>
      </w:pPr>
      <w:r>
        <w:t>Acknowledgements</w:t>
      </w:r>
    </w:p>
    <w:p w14:paraId="19444625" w14:textId="77777777" w:rsidR="00006910" w:rsidRDefault="00006910" w:rsidP="00006910">
      <w:pPr>
        <w:divId w:val="935526654"/>
      </w:pPr>
      <w:r>
        <w:t>We acknowledge the workers in the Timor-Leste Ministry of Health.</w:t>
      </w:r>
    </w:p>
    <w:p w14:paraId="44F11C43" w14:textId="43EE64F2" w:rsidR="00E30C30" w:rsidRDefault="00E30C30" w:rsidP="003F5172">
      <w:pPr>
        <w:pStyle w:val="Heading1"/>
        <w:divId w:val="935526654"/>
      </w:pPr>
      <w:r>
        <w:t>Author details</w:t>
      </w:r>
    </w:p>
    <w:p w14:paraId="62760142" w14:textId="44CA262A" w:rsidR="00EB7C53" w:rsidRPr="00EB7C53" w:rsidRDefault="00EB7C53" w:rsidP="00907058">
      <w:pPr>
        <w:divId w:val="935526654"/>
      </w:pPr>
      <w:r w:rsidRPr="00EB7C53">
        <w:t>Filipe de Neri Machado,</w:t>
      </w:r>
      <w:r w:rsidRPr="00EB7C53">
        <w:rPr>
          <w:rStyle w:val="Superscript"/>
        </w:rPr>
        <w:t>1</w:t>
      </w:r>
    </w:p>
    <w:p w14:paraId="641B2DB2" w14:textId="1A270468" w:rsidR="00EB7C53" w:rsidRDefault="00EB7C53" w:rsidP="00907058">
      <w:pPr>
        <w:spacing w:before="120"/>
        <w:divId w:val="935526654"/>
        <w:rPr>
          <w:rStyle w:val="Superscript"/>
        </w:rPr>
      </w:pPr>
      <w:r w:rsidRPr="00EB7C53">
        <w:t>Anthony DK Draper,</w:t>
      </w:r>
      <w:r w:rsidRPr="00EB7C53">
        <w:rPr>
          <w:rStyle w:val="Superscript"/>
        </w:rPr>
        <w:t>2,3,4</w:t>
      </w:r>
    </w:p>
    <w:p w14:paraId="52DA66AE" w14:textId="77777777" w:rsidR="00907058" w:rsidRDefault="00907058" w:rsidP="00907058">
      <w:pPr>
        <w:spacing w:before="120"/>
        <w:divId w:val="935526654"/>
      </w:pPr>
      <w:proofErr w:type="spellStart"/>
      <w:r>
        <w:t>Anferida</w:t>
      </w:r>
      <w:proofErr w:type="spellEnd"/>
      <w:r>
        <w:t xml:space="preserve"> Monteiro Fernandes,</w:t>
      </w:r>
      <w:r>
        <w:rPr>
          <w:rStyle w:val="Superscript"/>
        </w:rPr>
        <w:t>2</w:t>
      </w:r>
    </w:p>
    <w:p w14:paraId="01B4F503" w14:textId="65E0D9E1" w:rsidR="00EB7C53" w:rsidRPr="00EB7C53" w:rsidRDefault="00EB7C53" w:rsidP="00907058">
      <w:pPr>
        <w:spacing w:before="120"/>
        <w:divId w:val="935526654"/>
      </w:pPr>
      <w:proofErr w:type="spellStart"/>
      <w:r w:rsidRPr="00EB7C53">
        <w:t>Frederico</w:t>
      </w:r>
      <w:proofErr w:type="spellEnd"/>
      <w:r w:rsidRPr="00EB7C53">
        <w:t xml:space="preserve"> Bosco Alves dos Santos,</w:t>
      </w:r>
      <w:r w:rsidRPr="00EB7C53">
        <w:rPr>
          <w:rStyle w:val="Superscript"/>
        </w:rPr>
        <w:t>1</w:t>
      </w:r>
    </w:p>
    <w:p w14:paraId="1628246C" w14:textId="7E136D3E" w:rsidR="00EB7C53" w:rsidRPr="00EB7C53" w:rsidRDefault="00EB7C53" w:rsidP="00907058">
      <w:pPr>
        <w:spacing w:before="120"/>
        <w:divId w:val="935526654"/>
      </w:pPr>
      <w:r w:rsidRPr="00EB7C53">
        <w:t>Marcelo Amaral Mali,</w:t>
      </w:r>
      <w:r w:rsidRPr="00EB7C53">
        <w:rPr>
          <w:rStyle w:val="Superscript"/>
        </w:rPr>
        <w:t>1</w:t>
      </w:r>
    </w:p>
    <w:p w14:paraId="1D09FCC9" w14:textId="4A52E1ED" w:rsidR="00EB7C53" w:rsidRPr="00EB7C53" w:rsidRDefault="00EB7C53" w:rsidP="00907058">
      <w:pPr>
        <w:spacing w:before="120"/>
        <w:divId w:val="935526654"/>
      </w:pPr>
      <w:r w:rsidRPr="00EB7C53">
        <w:t>Ari J Pereira Tilman,</w:t>
      </w:r>
      <w:r w:rsidRPr="00EB7C53">
        <w:rPr>
          <w:rStyle w:val="Superscript"/>
        </w:rPr>
        <w:t>5</w:t>
      </w:r>
    </w:p>
    <w:p w14:paraId="23336252" w14:textId="68B22B6B" w:rsidR="00EB7C53" w:rsidRDefault="00EB7C53" w:rsidP="00907058">
      <w:pPr>
        <w:spacing w:before="120"/>
        <w:divId w:val="935526654"/>
        <w:rPr>
          <w:rStyle w:val="Superscript"/>
        </w:rPr>
      </w:pPr>
      <w:proofErr w:type="spellStart"/>
      <w:r w:rsidRPr="00EB7C53">
        <w:t>Endang</w:t>
      </w:r>
      <w:proofErr w:type="spellEnd"/>
      <w:r w:rsidRPr="00EB7C53">
        <w:t xml:space="preserve"> Soares da Silva,</w:t>
      </w:r>
      <w:r w:rsidRPr="00EB7C53">
        <w:rPr>
          <w:rStyle w:val="Superscript"/>
        </w:rPr>
        <w:t>5</w:t>
      </w:r>
    </w:p>
    <w:p w14:paraId="6CD991CC" w14:textId="77777777" w:rsidR="00907058" w:rsidRDefault="00907058" w:rsidP="00907058">
      <w:pPr>
        <w:spacing w:before="120"/>
        <w:divId w:val="935526654"/>
      </w:pPr>
      <w:r>
        <w:t>Elizabeth Hornay,</w:t>
      </w:r>
      <w:r>
        <w:rPr>
          <w:rStyle w:val="Superscript"/>
        </w:rPr>
        <w:t>5</w:t>
      </w:r>
    </w:p>
    <w:p w14:paraId="328E3774" w14:textId="77777777" w:rsidR="00907058" w:rsidRPr="006518FE" w:rsidRDefault="00907058" w:rsidP="006518FE">
      <w:pPr>
        <w:spacing w:before="120"/>
        <w:divId w:val="935526654"/>
      </w:pPr>
      <w:r>
        <w:t>Antonio Salles de Sousa,</w:t>
      </w:r>
      <w:r>
        <w:rPr>
          <w:rStyle w:val="Superscript"/>
        </w:rPr>
        <w:t>2,5</w:t>
      </w:r>
      <w:r w:rsidRPr="006518FE">
        <w:t xml:space="preserve"> </w:t>
      </w:r>
    </w:p>
    <w:p w14:paraId="14F23B7A" w14:textId="77777777" w:rsidR="00907058" w:rsidRDefault="00907058" w:rsidP="00907058">
      <w:pPr>
        <w:spacing w:before="120"/>
        <w:divId w:val="935526654"/>
      </w:pPr>
      <w:r>
        <w:t>Tessa Oakley,</w:t>
      </w:r>
      <w:r>
        <w:rPr>
          <w:rStyle w:val="Superscript"/>
        </w:rPr>
        <w:t>2,5</w:t>
      </w:r>
      <w:r>
        <w:t xml:space="preserve"> </w:t>
      </w:r>
    </w:p>
    <w:p w14:paraId="2BE08519" w14:textId="77777777" w:rsidR="00907058" w:rsidRDefault="00907058" w:rsidP="00907058">
      <w:pPr>
        <w:spacing w:before="120"/>
        <w:divId w:val="935526654"/>
      </w:pPr>
      <w:proofErr w:type="spellStart"/>
      <w:r>
        <w:t>Edinha</w:t>
      </w:r>
      <w:proofErr w:type="spellEnd"/>
      <w:r>
        <w:t xml:space="preserve"> da Cruz,</w:t>
      </w:r>
      <w:r>
        <w:rPr>
          <w:rStyle w:val="Superscript"/>
        </w:rPr>
        <w:t>6</w:t>
      </w:r>
    </w:p>
    <w:p w14:paraId="59B59A03" w14:textId="1521E343" w:rsidR="00EB7C53" w:rsidRPr="00EB7C53" w:rsidRDefault="00EB7C53" w:rsidP="00907058">
      <w:pPr>
        <w:spacing w:before="120"/>
        <w:divId w:val="935526654"/>
      </w:pPr>
      <w:proofErr w:type="spellStart"/>
      <w:r w:rsidRPr="00EB7C53">
        <w:t>Nevio</w:t>
      </w:r>
      <w:proofErr w:type="spellEnd"/>
      <w:r w:rsidRPr="00EB7C53">
        <w:t xml:space="preserve"> Sarmento,</w:t>
      </w:r>
      <w:r w:rsidRPr="00EB7C53">
        <w:rPr>
          <w:rStyle w:val="Superscript"/>
        </w:rPr>
        <w:t>2</w:t>
      </w:r>
    </w:p>
    <w:p w14:paraId="26E2466C" w14:textId="50182EE5" w:rsidR="00EB7C53" w:rsidRPr="00EB7C53" w:rsidRDefault="00EB7C53" w:rsidP="00907058">
      <w:pPr>
        <w:spacing w:before="120"/>
        <w:divId w:val="935526654"/>
      </w:pPr>
      <w:r w:rsidRPr="00EB7C53">
        <w:t>Maria AV Niha,</w:t>
      </w:r>
      <w:r w:rsidRPr="00EB7C53">
        <w:rPr>
          <w:rStyle w:val="Superscript"/>
        </w:rPr>
        <w:t>7,8</w:t>
      </w:r>
    </w:p>
    <w:p w14:paraId="51B47533" w14:textId="4ACBF1D0" w:rsidR="00EB7C53" w:rsidRDefault="00EB7C53" w:rsidP="00907058">
      <w:pPr>
        <w:spacing w:before="120"/>
        <w:divId w:val="935526654"/>
        <w:rPr>
          <w:rStyle w:val="Superscript"/>
        </w:rPr>
      </w:pPr>
      <w:r w:rsidRPr="00EB7C53">
        <w:t>Ana Fatima Soares,</w:t>
      </w:r>
      <w:r w:rsidRPr="00EB7C53">
        <w:rPr>
          <w:rStyle w:val="Superscript"/>
        </w:rPr>
        <w:t>7</w:t>
      </w:r>
    </w:p>
    <w:p w14:paraId="525BD4B3" w14:textId="77777777" w:rsidR="00907058" w:rsidRDefault="00907058" w:rsidP="00907058">
      <w:pPr>
        <w:spacing w:before="120"/>
        <w:divId w:val="935526654"/>
      </w:pPr>
      <w:r>
        <w:t xml:space="preserve">Eva </w:t>
      </w:r>
      <w:proofErr w:type="spellStart"/>
      <w:r>
        <w:t>Estrelita</w:t>
      </w:r>
      <w:proofErr w:type="spellEnd"/>
      <w:r>
        <w:t xml:space="preserve"> Cardoso Gomes,</w:t>
      </w:r>
      <w:r>
        <w:rPr>
          <w:rStyle w:val="Superscript"/>
        </w:rPr>
        <w:t>8</w:t>
      </w:r>
      <w:r>
        <w:t xml:space="preserve"> </w:t>
      </w:r>
    </w:p>
    <w:p w14:paraId="27FBC240" w14:textId="77777777" w:rsidR="00907058" w:rsidRDefault="00907058" w:rsidP="00907058">
      <w:pPr>
        <w:spacing w:before="120"/>
        <w:divId w:val="935526654"/>
      </w:pPr>
      <w:r>
        <w:t>Jose de Deus Alves,</w:t>
      </w:r>
      <w:r>
        <w:rPr>
          <w:rStyle w:val="Superscript"/>
        </w:rPr>
        <w:t>9</w:t>
      </w:r>
      <w:r>
        <w:t xml:space="preserve"> </w:t>
      </w:r>
    </w:p>
    <w:p w14:paraId="0057E852" w14:textId="77777777" w:rsidR="00907058" w:rsidRDefault="00907058" w:rsidP="00907058">
      <w:pPr>
        <w:spacing w:before="120"/>
        <w:divId w:val="935526654"/>
      </w:pPr>
      <w:r>
        <w:lastRenderedPageBreak/>
        <w:t>Jose Paulo Soares,</w:t>
      </w:r>
      <w:r>
        <w:rPr>
          <w:rStyle w:val="Superscript"/>
        </w:rPr>
        <w:t>6</w:t>
      </w:r>
    </w:p>
    <w:p w14:paraId="29BBBA87" w14:textId="1F9FCBAA" w:rsidR="00EB7C53" w:rsidRPr="00EB7C53" w:rsidRDefault="00EB7C53" w:rsidP="00907058">
      <w:pPr>
        <w:spacing w:before="120"/>
        <w:divId w:val="935526654"/>
      </w:pPr>
      <w:r w:rsidRPr="00EB7C53">
        <w:t>Joshua R Francis,</w:t>
      </w:r>
      <w:r w:rsidRPr="00EB7C53">
        <w:rPr>
          <w:rStyle w:val="Superscript"/>
        </w:rPr>
        <w:t>2</w:t>
      </w:r>
    </w:p>
    <w:p w14:paraId="21EF91E7" w14:textId="50550E2D" w:rsidR="00EB7C53" w:rsidRPr="00EB7C53" w:rsidRDefault="00EB7C53" w:rsidP="00907058">
      <w:pPr>
        <w:spacing w:before="120"/>
        <w:divId w:val="935526654"/>
      </w:pPr>
      <w:r w:rsidRPr="00EB7C53">
        <w:t>Jennifer Yan,</w:t>
      </w:r>
      <w:r w:rsidRPr="00EB7C53">
        <w:rPr>
          <w:rStyle w:val="Superscript"/>
        </w:rPr>
        <w:t>2</w:t>
      </w:r>
    </w:p>
    <w:p w14:paraId="15E1B93F" w14:textId="77777777" w:rsidR="00907058" w:rsidRDefault="00907058" w:rsidP="00907058">
      <w:pPr>
        <w:spacing w:before="120"/>
        <w:divId w:val="935526654"/>
        <w:rPr>
          <w:rStyle w:val="Superscript"/>
        </w:rPr>
      </w:pPr>
      <w:proofErr w:type="spellStart"/>
      <w:r>
        <w:t>Merita</w:t>
      </w:r>
      <w:proofErr w:type="spellEnd"/>
      <w:r>
        <w:t xml:space="preserve"> Antonio Monteiro</w:t>
      </w:r>
      <w:r>
        <w:rPr>
          <w:rStyle w:val="Superscript"/>
        </w:rPr>
        <w:t>1</w:t>
      </w:r>
    </w:p>
    <w:p w14:paraId="6A3C6714" w14:textId="77777777" w:rsidR="00907058" w:rsidRDefault="00907058" w:rsidP="00907058">
      <w:pPr>
        <w:pStyle w:val="CDINumberedList1L1"/>
        <w:divId w:val="935526654"/>
      </w:pPr>
      <w:r>
        <w:t xml:space="preserve">Instituto Nacional de </w:t>
      </w:r>
      <w:proofErr w:type="spellStart"/>
      <w:r>
        <w:t>Saúde</w:t>
      </w:r>
      <w:proofErr w:type="spellEnd"/>
      <w:r>
        <w:t xml:space="preserve"> </w:t>
      </w:r>
      <w:proofErr w:type="spellStart"/>
      <w:r>
        <w:t>Pública</w:t>
      </w:r>
      <w:proofErr w:type="spellEnd"/>
      <w:r>
        <w:t xml:space="preserve"> de Timor-Leste, Comoro, Timor-Leste </w:t>
      </w:r>
    </w:p>
    <w:p w14:paraId="2A4B5065" w14:textId="77777777" w:rsidR="00907058" w:rsidRDefault="00907058" w:rsidP="00907058">
      <w:pPr>
        <w:pStyle w:val="CDINumberedList1L1"/>
        <w:divId w:val="935526654"/>
      </w:pPr>
      <w:r>
        <w:t>Menzies School of Health Research, Charles Darwin University, Dili, Timor-Leste.</w:t>
      </w:r>
    </w:p>
    <w:p w14:paraId="2657FC46" w14:textId="77777777" w:rsidR="00907058" w:rsidRDefault="00907058" w:rsidP="00907058">
      <w:pPr>
        <w:pStyle w:val="CDINumberedList1L1"/>
        <w:divId w:val="935526654"/>
      </w:pPr>
      <w:r>
        <w:t>National Centre for Epidemiology and Population Health, Australian National University, Canberra, Australia</w:t>
      </w:r>
    </w:p>
    <w:p w14:paraId="1875CB25" w14:textId="77777777" w:rsidR="00907058" w:rsidRDefault="00907058" w:rsidP="00907058">
      <w:pPr>
        <w:pStyle w:val="CDINumberedList1L1"/>
        <w:divId w:val="935526654"/>
      </w:pPr>
      <w:r>
        <w:t>Centre for Disease Control, Public Health Unit, Top End Health Service, Northern Territory Government Department of Health, Darwin, Northern Territory, Australia.</w:t>
      </w:r>
    </w:p>
    <w:p w14:paraId="79FF0961" w14:textId="77777777" w:rsidR="00907058" w:rsidRDefault="00907058" w:rsidP="00907058">
      <w:pPr>
        <w:pStyle w:val="CDINumberedList1L1"/>
        <w:divId w:val="935526654"/>
      </w:pPr>
      <w:proofErr w:type="spellStart"/>
      <w:r>
        <w:t>Laboratorio</w:t>
      </w:r>
      <w:proofErr w:type="spellEnd"/>
      <w:r>
        <w:t xml:space="preserve"> Nacional da </w:t>
      </w:r>
      <w:proofErr w:type="spellStart"/>
      <w:r>
        <w:t>Saude</w:t>
      </w:r>
      <w:proofErr w:type="spellEnd"/>
      <w:r>
        <w:t xml:space="preserve">, </w:t>
      </w:r>
      <w:proofErr w:type="spellStart"/>
      <w:r>
        <w:t>Bidau</w:t>
      </w:r>
      <w:proofErr w:type="spellEnd"/>
      <w:r>
        <w:t>, Timor-Leste</w:t>
      </w:r>
    </w:p>
    <w:p w14:paraId="4817BE42" w14:textId="77777777" w:rsidR="00907058" w:rsidRDefault="00907058" w:rsidP="00907058">
      <w:pPr>
        <w:pStyle w:val="CDINumberedList1L1"/>
        <w:divId w:val="935526654"/>
      </w:pPr>
      <w:r>
        <w:t xml:space="preserve">Centro de </w:t>
      </w:r>
      <w:proofErr w:type="spellStart"/>
      <w:r>
        <w:t>Saude</w:t>
      </w:r>
      <w:proofErr w:type="spellEnd"/>
      <w:r>
        <w:t xml:space="preserve"> </w:t>
      </w:r>
      <w:proofErr w:type="spellStart"/>
      <w:r>
        <w:t>Internamento</w:t>
      </w:r>
      <w:proofErr w:type="spellEnd"/>
      <w:r>
        <w:t xml:space="preserve">, </w:t>
      </w:r>
      <w:proofErr w:type="spellStart"/>
      <w:r>
        <w:t>Ermera</w:t>
      </w:r>
      <w:proofErr w:type="spellEnd"/>
      <w:r>
        <w:t>, Timor-Leste</w:t>
      </w:r>
    </w:p>
    <w:p w14:paraId="51EAB2BB" w14:textId="77777777" w:rsidR="00907058" w:rsidRDefault="00907058" w:rsidP="00907058">
      <w:pPr>
        <w:pStyle w:val="CDINumberedList1L1"/>
        <w:divId w:val="935526654"/>
      </w:pPr>
      <w:r>
        <w:t>Surveillance Department, Ministry of Health, Comoro, Timor-Leste</w:t>
      </w:r>
    </w:p>
    <w:p w14:paraId="33D79816" w14:textId="77777777" w:rsidR="00907058" w:rsidRDefault="00907058" w:rsidP="00907058">
      <w:pPr>
        <w:pStyle w:val="CDINumberedList1L1"/>
        <w:divId w:val="935526654"/>
      </w:pPr>
      <w:r>
        <w:t xml:space="preserve">World Health Organization, Timor-Leste Office, </w:t>
      </w:r>
      <w:proofErr w:type="spellStart"/>
      <w:r>
        <w:t>Caicoli</w:t>
      </w:r>
      <w:proofErr w:type="spellEnd"/>
      <w:r>
        <w:t>, Timor-Leste</w:t>
      </w:r>
    </w:p>
    <w:p w14:paraId="70F249E6" w14:textId="77777777" w:rsidR="00907058" w:rsidRDefault="00907058" w:rsidP="00907058">
      <w:pPr>
        <w:pStyle w:val="CDINumberedList1L1"/>
        <w:divId w:val="935526654"/>
        <w:rPr>
          <w:rStyle w:val="Italic"/>
        </w:rPr>
      </w:pPr>
      <w:r>
        <w:t xml:space="preserve">Centro de </w:t>
      </w:r>
      <w:proofErr w:type="spellStart"/>
      <w:r>
        <w:t>Saude</w:t>
      </w:r>
      <w:proofErr w:type="spellEnd"/>
      <w:r>
        <w:t xml:space="preserve"> Comoro, Comoro, Timor-Leste</w:t>
      </w:r>
    </w:p>
    <w:p w14:paraId="70D613D9" w14:textId="624A8687" w:rsidR="00E30C30" w:rsidRPr="00780C3D" w:rsidRDefault="00E30C30" w:rsidP="007E6297">
      <w:pPr>
        <w:divId w:val="935526654"/>
        <w:rPr>
          <w:rStyle w:val="Bold"/>
        </w:rPr>
      </w:pPr>
      <w:r w:rsidRPr="00780C3D">
        <w:rPr>
          <w:rStyle w:val="Bold"/>
        </w:rPr>
        <w:t>Corresponding author</w:t>
      </w:r>
    </w:p>
    <w:p w14:paraId="3B8C33DA" w14:textId="77777777" w:rsidR="00006910" w:rsidRPr="00006910" w:rsidRDefault="00006910" w:rsidP="00006910">
      <w:pPr>
        <w:divId w:val="935526654"/>
      </w:pPr>
      <w:r w:rsidRPr="00006910">
        <w:t>Anthony Draper</w:t>
      </w:r>
    </w:p>
    <w:p w14:paraId="0CAE10E8" w14:textId="77777777" w:rsidR="00006910" w:rsidRPr="00006910" w:rsidRDefault="00006910" w:rsidP="004C6855">
      <w:pPr>
        <w:spacing w:before="120"/>
        <w:divId w:val="935526654"/>
      </w:pPr>
      <w:r w:rsidRPr="00006910">
        <w:t>Centre for Disease Control, Public Health Division, Northern Territory Government Department of Health, PO Box 45096, Casuarina NT 0811.</w:t>
      </w:r>
    </w:p>
    <w:p w14:paraId="0CCB5E8A" w14:textId="77777777" w:rsidR="00006910" w:rsidRPr="00006910" w:rsidRDefault="00006910" w:rsidP="004C6855">
      <w:pPr>
        <w:spacing w:before="120"/>
        <w:divId w:val="935526654"/>
      </w:pPr>
      <w:r w:rsidRPr="00006910">
        <w:t>Telephone: +61 8 8922 7635.</w:t>
      </w:r>
    </w:p>
    <w:p w14:paraId="70F687D5" w14:textId="77777777" w:rsidR="00006910" w:rsidRPr="00006910" w:rsidRDefault="00006910" w:rsidP="004C6855">
      <w:pPr>
        <w:spacing w:before="120"/>
        <w:divId w:val="935526654"/>
      </w:pPr>
      <w:r w:rsidRPr="00006910">
        <w:t>Facsimile: +61 8 8922 8310.</w:t>
      </w:r>
    </w:p>
    <w:p w14:paraId="6687B64E" w14:textId="294EA093" w:rsidR="00E30C30" w:rsidRPr="00006910" w:rsidRDefault="00006910" w:rsidP="004C6855">
      <w:pPr>
        <w:spacing w:before="120"/>
        <w:divId w:val="935526654"/>
      </w:pPr>
      <w:r w:rsidRPr="00006910">
        <w:t>Email: anthony.draper@nt.gov.au</w:t>
      </w:r>
    </w:p>
    <w:p w14:paraId="65B84AE3" w14:textId="7D19E18F" w:rsidR="00AA78FF" w:rsidRPr="007A2D74" w:rsidRDefault="00AA78FF" w:rsidP="007A2D74">
      <w:r w:rsidRPr="007A2D74">
        <w:br w:type="page"/>
      </w:r>
    </w:p>
    <w:p w14:paraId="7F69A938" w14:textId="78EA142D" w:rsidR="00E30C30" w:rsidRDefault="00E30C30" w:rsidP="003F5172">
      <w:pPr>
        <w:pStyle w:val="Heading1"/>
        <w:divId w:val="935526654"/>
      </w:pPr>
      <w:r>
        <w:lastRenderedPageBreak/>
        <w:t>References</w:t>
      </w:r>
    </w:p>
    <w:p w14:paraId="7C0011BD" w14:textId="23A01FD0" w:rsidR="00907058" w:rsidRDefault="00907058" w:rsidP="00907058">
      <w:pPr>
        <w:pStyle w:val="CDINumberedList1L1"/>
        <w:numPr>
          <w:ilvl w:val="0"/>
          <w:numId w:val="22"/>
        </w:numPr>
        <w:divId w:val="935526654"/>
      </w:pPr>
      <w:r>
        <w:t>World Bank. The World Bank in Timor-Leste: Overview. [Internet.] Washington DC: World Bank; April 2022. Available from: https://www.worldbank.org/en/country/timor-leste/overview.</w:t>
      </w:r>
    </w:p>
    <w:p w14:paraId="29B56BA2" w14:textId="77777777" w:rsidR="00907058" w:rsidRDefault="00907058" w:rsidP="00907058">
      <w:pPr>
        <w:pStyle w:val="CDINumberedList1L1"/>
        <w:divId w:val="935526654"/>
      </w:pPr>
      <w:r>
        <w:t>Government of Timor-Leste. About Timor-Leste. [Internet.] Dili: Government of Timor-Leste; 2022. Available from: http://timor-leste.gov.tl/?p=547&amp;lang=en.</w:t>
      </w:r>
    </w:p>
    <w:p w14:paraId="2FEEF5F4" w14:textId="77777777" w:rsidR="00907058" w:rsidRDefault="00907058" w:rsidP="00907058">
      <w:pPr>
        <w:pStyle w:val="CDINumberedList1L1"/>
        <w:divId w:val="935526654"/>
      </w:pPr>
      <w:r w:rsidRPr="006518FE">
        <w:t>Government of Timor-Leste. Administrative Division. [Internet.] Dili: Government of Timor-Leste; 2022</w:t>
      </w:r>
      <w:r>
        <w:t xml:space="preserve">. Available from: http://timor-leste.gov.tl/?p=91&amp;lang=en. </w:t>
      </w:r>
    </w:p>
    <w:p w14:paraId="7D5E4BC8" w14:textId="77777777" w:rsidR="00907058" w:rsidRDefault="00907058" w:rsidP="00907058">
      <w:pPr>
        <w:pStyle w:val="CDINumberedList1L1"/>
        <w:divId w:val="935526654"/>
      </w:pPr>
      <w:r>
        <w:t xml:space="preserve">Government of Timor-Leste. </w:t>
      </w:r>
      <w:r>
        <w:rPr>
          <w:rStyle w:val="Italic"/>
        </w:rPr>
        <w:t>Timor-Leste Population and Housing Census 2022: Preliminary Results</w:t>
      </w:r>
      <w:r>
        <w:t>. Dili: Government of Timor-Leste, United Nations Population Fund (UNFPA); November 2022. Available from: https://timor-leste.unfpa.org/sites/default/files/pub-pdf/censuspreliminaryresults2022_4.pdf.</w:t>
      </w:r>
    </w:p>
    <w:p w14:paraId="258E3610" w14:textId="77777777" w:rsidR="00907058" w:rsidRDefault="00907058" w:rsidP="00907058">
      <w:pPr>
        <w:pStyle w:val="CDINumberedList1L1"/>
        <w:divId w:val="935526654"/>
      </w:pPr>
      <w:r>
        <w:t xml:space="preserve">Government of Timor-Leste. About Timor-Leste: Geography and Climate. [Webpage.] Dili: Government of Timor-Leste; 2023. Available from https://www.timorleste.tl/east-timor/about/geography-climate. </w:t>
      </w:r>
    </w:p>
    <w:p w14:paraId="5BBCC7C5" w14:textId="77777777" w:rsidR="00907058" w:rsidRDefault="00907058" w:rsidP="00907058">
      <w:pPr>
        <w:pStyle w:val="CDINumberedList1L1"/>
        <w:divId w:val="935526654"/>
      </w:pPr>
      <w:proofErr w:type="spellStart"/>
      <w:r>
        <w:t>Wangdi</w:t>
      </w:r>
      <w:proofErr w:type="spellEnd"/>
      <w:r>
        <w:t xml:space="preserve"> K, Clements ACA, Du T, Nery SV. Spatial and temporal patterns of dengue infections in Timor-Leste, 2005–2013. </w:t>
      </w:r>
      <w:proofErr w:type="spellStart"/>
      <w:r>
        <w:rPr>
          <w:rStyle w:val="Italic"/>
        </w:rPr>
        <w:t>Parasit</w:t>
      </w:r>
      <w:proofErr w:type="spellEnd"/>
      <w:r>
        <w:rPr>
          <w:rStyle w:val="Italic"/>
        </w:rPr>
        <w:t xml:space="preserve"> Vectors</w:t>
      </w:r>
      <w:r>
        <w:t xml:space="preserve">. 2018;11(1):9. doi: https://doi.org/10.1186/s13071-017-2588-4. </w:t>
      </w:r>
    </w:p>
    <w:p w14:paraId="7448C71A" w14:textId="77777777" w:rsidR="00907058" w:rsidRDefault="00907058" w:rsidP="00907058">
      <w:pPr>
        <w:pStyle w:val="CDINumberedList1L1"/>
        <w:divId w:val="935526654"/>
      </w:pPr>
      <w:r>
        <w:t xml:space="preserve">World Health Organization (WHO). Chikungunya. [Webpage.] Geneva: WHO; 8 December 2022. Available from: https://www.who.int/en/news-room/fact-sheets/detail/chikungunya. </w:t>
      </w:r>
    </w:p>
    <w:p w14:paraId="270B17EC" w14:textId="77777777" w:rsidR="00907058" w:rsidRDefault="00907058" w:rsidP="00907058">
      <w:pPr>
        <w:pStyle w:val="CDINumberedList1L1"/>
        <w:divId w:val="935526654"/>
      </w:pPr>
      <w:r>
        <w:t xml:space="preserve">Staples E, Powers A. Arboviral arthritis and rash. In </w:t>
      </w:r>
      <w:proofErr w:type="spellStart"/>
      <w:r>
        <w:t>Heymann</w:t>
      </w:r>
      <w:proofErr w:type="spellEnd"/>
      <w:r>
        <w:t xml:space="preserve"> DL, ed. </w:t>
      </w:r>
      <w:r>
        <w:rPr>
          <w:rStyle w:val="Italic"/>
        </w:rPr>
        <w:t>Control of Communicable Diseases Manual</w:t>
      </w:r>
      <w:r>
        <w:t>. 20th ed. Fort Worth: American Public Health Association, APHA Press, 2015.</w:t>
      </w:r>
    </w:p>
    <w:p w14:paraId="6FA18CBA" w14:textId="77777777" w:rsidR="00907058" w:rsidRDefault="00907058" w:rsidP="00907058">
      <w:pPr>
        <w:pStyle w:val="CDINumberedList1L1"/>
        <w:divId w:val="935526654"/>
      </w:pPr>
      <w:proofErr w:type="spellStart"/>
      <w:r>
        <w:t>Centers</w:t>
      </w:r>
      <w:proofErr w:type="spellEnd"/>
      <w:r>
        <w:t xml:space="preserve"> for Disease Control and Prevention (CDC). About dengue: what you need to know. [Webpage.] Atlanta: Government of the United States of America, Department of Health and Human Services, CDC; 14 June 2023. Available from https://www.cdc.gov/dengue/about/index.html.</w:t>
      </w:r>
    </w:p>
    <w:p w14:paraId="23A0AD2A" w14:textId="2C739F62" w:rsidR="00907058" w:rsidRDefault="00907058" w:rsidP="00907058">
      <w:pPr>
        <w:pStyle w:val="CDINumberedList1L1"/>
        <w:divId w:val="935526654"/>
      </w:pPr>
      <w:r>
        <w:t xml:space="preserve">Ferreira FCPADM, da Silva ASV, </w:t>
      </w:r>
      <w:proofErr w:type="spellStart"/>
      <w:r>
        <w:t>Recht</w:t>
      </w:r>
      <w:proofErr w:type="spellEnd"/>
      <w:r>
        <w:t xml:space="preserve"> J, </w:t>
      </w:r>
      <w:proofErr w:type="spellStart"/>
      <w:r>
        <w:t>Guaraldo</w:t>
      </w:r>
      <w:proofErr w:type="spellEnd"/>
      <w:r>
        <w:t xml:space="preserve"> L, Moreira MEL, de Siqueira AM et al. Vertical transmission of chikungunya virus: a systematic review. </w:t>
      </w:r>
      <w:proofErr w:type="spellStart"/>
      <w:r>
        <w:rPr>
          <w:rStyle w:val="Italic"/>
        </w:rPr>
        <w:t>PLoS</w:t>
      </w:r>
      <w:proofErr w:type="spellEnd"/>
      <w:r>
        <w:rPr>
          <w:rStyle w:val="Italic"/>
        </w:rPr>
        <w:t xml:space="preserve"> One</w:t>
      </w:r>
      <w:r>
        <w:t>. 2021;16(4</w:t>
      </w:r>
      <w:proofErr w:type="gramStart"/>
      <w:r>
        <w:t>):e</w:t>
      </w:r>
      <w:proofErr w:type="gramEnd"/>
      <w:r>
        <w:t xml:space="preserve">0249166. doi: https://doi.org/10.1371/journal.pone.0249166. Erratum in: </w:t>
      </w:r>
      <w:proofErr w:type="spellStart"/>
      <w:r>
        <w:rPr>
          <w:rStyle w:val="Italic"/>
        </w:rPr>
        <w:t>PLoS</w:t>
      </w:r>
      <w:proofErr w:type="spellEnd"/>
      <w:r>
        <w:rPr>
          <w:rStyle w:val="Italic"/>
        </w:rPr>
        <w:t xml:space="preserve"> One</w:t>
      </w:r>
      <w:r>
        <w:t>. 2022;17(8</w:t>
      </w:r>
      <w:proofErr w:type="gramStart"/>
      <w:r>
        <w:t>):e</w:t>
      </w:r>
      <w:proofErr w:type="gramEnd"/>
      <w:r>
        <w:t>0272761. doi: https://doi.org/10.1371/journal.pone.0272761.</w:t>
      </w:r>
    </w:p>
    <w:p w14:paraId="661FE5D1" w14:textId="77777777" w:rsidR="00907058" w:rsidRDefault="00907058" w:rsidP="00907058">
      <w:pPr>
        <w:pStyle w:val="CDINumberedList1L1"/>
        <w:divId w:val="935526654"/>
      </w:pPr>
      <w:r>
        <w:t xml:space="preserve">Timor-Leste Ministry of Health. Integrated Disease Surveillance and Response. A guideline for implementation in Timor-Leste. Dili: Government of Timor-Leste Ministry of Health; September 2022. Available from: https://apps.ms.gov.tl/moh2/idsr.php?lan=eng&amp;p1=003&amp;p2=007&amp;p3=008&amp;p4=009&amp;p5=010. </w:t>
      </w:r>
    </w:p>
    <w:p w14:paraId="70C080A7" w14:textId="6BBC9DF5" w:rsidR="00907058" w:rsidRDefault="00907058" w:rsidP="00907058">
      <w:pPr>
        <w:pStyle w:val="CDINumberedList1L1"/>
        <w:divId w:val="935526654"/>
      </w:pPr>
      <w:proofErr w:type="spellStart"/>
      <w:r>
        <w:t>Sarmento</w:t>
      </w:r>
      <w:proofErr w:type="spellEnd"/>
      <w:r>
        <w:t xml:space="preserve"> N, Oakley T, da Silva Soares E, Tilman A, Monteiro M, Alves L et al. Strong relationships between the Northern Territory of Australia and Timor-Leste. </w:t>
      </w:r>
      <w:proofErr w:type="spellStart"/>
      <w:r>
        <w:rPr>
          <w:rStyle w:val="Italic"/>
        </w:rPr>
        <w:t>Microbiol</w:t>
      </w:r>
      <w:proofErr w:type="spellEnd"/>
      <w:r>
        <w:rPr>
          <w:rStyle w:val="Italic"/>
        </w:rPr>
        <w:t xml:space="preserve"> Aust</w:t>
      </w:r>
      <w:r>
        <w:t xml:space="preserve">. 2022;43(3):125–9. doi: https://doi.org/10.1071/MA22039. </w:t>
      </w:r>
    </w:p>
    <w:p w14:paraId="24147EEE" w14:textId="77777777" w:rsidR="00907058" w:rsidRDefault="00907058" w:rsidP="00907058">
      <w:pPr>
        <w:pStyle w:val="CDINumberedList1L1"/>
        <w:divId w:val="935526654"/>
      </w:pPr>
      <w:proofErr w:type="spellStart"/>
      <w:r>
        <w:t>Sarmento</w:t>
      </w:r>
      <w:proofErr w:type="spellEnd"/>
      <w:r>
        <w:t xml:space="preserve"> N, da Silva ES, Barreto I, Ximenes JC, Angelina JM, Correia DM et al. The COVID-19 laboratory response in Timor-Leste; a story of collaboration. </w:t>
      </w:r>
      <w:r>
        <w:rPr>
          <w:rStyle w:val="Italic"/>
        </w:rPr>
        <w:t>Lancet Reg Health Southeast Asia</w:t>
      </w:r>
      <w:r>
        <w:t xml:space="preserve">. </w:t>
      </w:r>
      <w:proofErr w:type="gramStart"/>
      <w:r>
        <w:t>2023;11:100150</w:t>
      </w:r>
      <w:proofErr w:type="gramEnd"/>
      <w:r>
        <w:t xml:space="preserve">. doi: https://doi.org/10.1016/j.lansea.2023.100150. </w:t>
      </w:r>
    </w:p>
    <w:p w14:paraId="41563878" w14:textId="77777777" w:rsidR="00907058" w:rsidRDefault="00907058" w:rsidP="00907058">
      <w:pPr>
        <w:pStyle w:val="CDINumberedList1L1"/>
        <w:divId w:val="935526654"/>
      </w:pPr>
      <w:r>
        <w:lastRenderedPageBreak/>
        <w:t>Australian Government Department of Health and Aged Care. National Notifiable Diseases Surveillance System (NNDSS). [Webpage.] Canberra: Australian Government Department of Health and Aged Care; 14 September 2023. Available from: https://www.health.gov.au/our-work/nndss.</w:t>
      </w:r>
    </w:p>
    <w:p w14:paraId="23C11C6D" w14:textId="77777777" w:rsidR="00907058" w:rsidRDefault="00907058" w:rsidP="00907058">
      <w:pPr>
        <w:pStyle w:val="CDINumberedList1L1"/>
        <w:divId w:val="935526654"/>
      </w:pPr>
      <w:r>
        <w:t>Northern Territory Government Department of Health (NT Health). Northern Territory Notifiable Diseases Surveillance System (NTNDS). [Intranet.] Darwin: NT Health; 2024.</w:t>
      </w:r>
    </w:p>
    <w:p w14:paraId="426C4A5A" w14:textId="77777777" w:rsidR="00907058" w:rsidRDefault="00907058" w:rsidP="00907058">
      <w:pPr>
        <w:pStyle w:val="CDINumberedList1L1"/>
        <w:divId w:val="935526654"/>
      </w:pPr>
      <w:r>
        <w:t xml:space="preserve">Whelan P, Spencer E, Currie BJ. An imported case of chikungunya in the Northern Territory and a summary of the ecology of the disease. </w:t>
      </w:r>
      <w:r>
        <w:rPr>
          <w:rStyle w:val="Italic"/>
        </w:rPr>
        <w:t>N T Dis Control Bull</w:t>
      </w:r>
      <w:r>
        <w:t xml:space="preserve">. 2004;11(3):19–22. Available from: https://digitallibrary.health.nt.gov.au/prodjspui/bitstream/10137/506/450/Vol.%2011%20no%203%20September%202004.pdf. </w:t>
      </w:r>
    </w:p>
    <w:p w14:paraId="4F6D46D8" w14:textId="77777777" w:rsidR="00907058" w:rsidRDefault="00907058" w:rsidP="00907058">
      <w:pPr>
        <w:pStyle w:val="CDINumberedList1L1"/>
        <w:divId w:val="935526654"/>
      </w:pPr>
      <w:r>
        <w:t>WHO. Chikungunya outbreak toolbox. [Webpage.] Geneva: WHO; 2022. Available from: https://www.who.int/emergencies/outbreak-toolkit/disease-outbreak-toolboxes/chikungunya-outbreak-toolbox.</w:t>
      </w:r>
    </w:p>
    <w:p w14:paraId="2E43B8BE" w14:textId="77777777" w:rsidR="00907058" w:rsidRDefault="00907058" w:rsidP="00907058">
      <w:pPr>
        <w:pStyle w:val="CDINumberedList1L1"/>
        <w:divId w:val="935526654"/>
      </w:pPr>
      <w:r>
        <w:t xml:space="preserve">Menzies School of Health Research. MATCH TL. [Webpage.] Darwin: Menzies School of Health Research; 2022. Accessed from: https://www.menzies.edu.au/page/Research/Global_and_Tropical_Health/Timor-Leste/MATCH_TL/. </w:t>
      </w:r>
    </w:p>
    <w:p w14:paraId="7713168E" w14:textId="77777777" w:rsidR="00907058" w:rsidRDefault="00907058" w:rsidP="00907058">
      <w:pPr>
        <w:pStyle w:val="CDINumberedList1L1"/>
        <w:divId w:val="935526654"/>
      </w:pPr>
      <w:r>
        <w:t xml:space="preserve">Quintero J, </w:t>
      </w:r>
      <w:proofErr w:type="spellStart"/>
      <w:r>
        <w:t>Brochero</w:t>
      </w:r>
      <w:proofErr w:type="spellEnd"/>
      <w:r>
        <w:t xml:space="preserve"> H, Manrique-</w:t>
      </w:r>
      <w:proofErr w:type="spellStart"/>
      <w:r>
        <w:t>Saide</w:t>
      </w:r>
      <w:proofErr w:type="spellEnd"/>
      <w:r>
        <w:t xml:space="preserve"> P, Barrera-Pérez M, Basso C, Romero S et al. Ecological, </w:t>
      </w:r>
      <w:proofErr w:type="gramStart"/>
      <w:r>
        <w:t>biological</w:t>
      </w:r>
      <w:proofErr w:type="gramEnd"/>
      <w:r>
        <w:t xml:space="preserve"> and social dimensions of dengue vector breeding in five urban settings of Latin America: a multi-country study. </w:t>
      </w:r>
      <w:r>
        <w:rPr>
          <w:rStyle w:val="Italic"/>
        </w:rPr>
        <w:t>BMC Infect Dis</w:t>
      </w:r>
      <w:r>
        <w:t xml:space="preserve">. </w:t>
      </w:r>
      <w:proofErr w:type="gramStart"/>
      <w:r>
        <w:t>2014;14:38</w:t>
      </w:r>
      <w:proofErr w:type="gramEnd"/>
      <w:r>
        <w:t>. doi: https://doi.org/10.1186/1471-2334-14-38.</w:t>
      </w:r>
    </w:p>
    <w:p w14:paraId="32553501" w14:textId="77777777" w:rsidR="00907058" w:rsidRDefault="00907058" w:rsidP="00907058">
      <w:pPr>
        <w:pStyle w:val="CDINumberedList1L1"/>
        <w:divId w:val="935526654"/>
      </w:pPr>
      <w:r>
        <w:t xml:space="preserve">Government of Timor-Leste. </w:t>
      </w:r>
      <w:proofErr w:type="spellStart"/>
      <w:r>
        <w:t>Inisiativa</w:t>
      </w:r>
      <w:proofErr w:type="spellEnd"/>
      <w:r>
        <w:t xml:space="preserve"> </w:t>
      </w:r>
      <w:proofErr w:type="spellStart"/>
      <w:r>
        <w:t>limpeza</w:t>
      </w:r>
      <w:proofErr w:type="spellEnd"/>
      <w:r>
        <w:t xml:space="preserve"> </w:t>
      </w:r>
      <w:proofErr w:type="spellStart"/>
      <w:r>
        <w:t>jerál</w:t>
      </w:r>
      <w:proofErr w:type="spellEnd"/>
      <w:r>
        <w:t xml:space="preserve"> </w:t>
      </w:r>
      <w:proofErr w:type="spellStart"/>
      <w:r>
        <w:t>mantein</w:t>
      </w:r>
      <w:proofErr w:type="spellEnd"/>
      <w:r>
        <w:t xml:space="preserve"> no </w:t>
      </w:r>
      <w:proofErr w:type="spellStart"/>
      <w:r>
        <w:t>hala’o</w:t>
      </w:r>
      <w:proofErr w:type="spellEnd"/>
      <w:r>
        <w:t xml:space="preserve"> </w:t>
      </w:r>
      <w:proofErr w:type="spellStart"/>
      <w:r>
        <w:t>nafatin</w:t>
      </w:r>
      <w:proofErr w:type="spellEnd"/>
      <w:r>
        <w:t xml:space="preserve"> </w:t>
      </w:r>
      <w:proofErr w:type="spellStart"/>
      <w:r>
        <w:t>kada</w:t>
      </w:r>
      <w:proofErr w:type="spellEnd"/>
      <w:r>
        <w:t xml:space="preserve"> </w:t>
      </w:r>
      <w:proofErr w:type="spellStart"/>
      <w:r>
        <w:t>sexta-feira</w:t>
      </w:r>
      <w:proofErr w:type="spellEnd"/>
      <w:r>
        <w:t xml:space="preserve"> (General cleaning initiative continues and will now take place every Friday). [Media release.] Dili: Government of Timor-Leste; 3 February 2022. Available from: http://timor-leste.gov.tl/?p=30047&amp;lang=en. </w:t>
      </w:r>
    </w:p>
    <w:p w14:paraId="09DF451A" w14:textId="77777777" w:rsidR="00907058" w:rsidRDefault="00907058" w:rsidP="00907058">
      <w:pPr>
        <w:pStyle w:val="CDINumberedList1L1"/>
        <w:divId w:val="935526654"/>
      </w:pPr>
      <w:r>
        <w:t xml:space="preserve">Government of Timor-Leste. </w:t>
      </w:r>
      <w:r>
        <w:rPr>
          <w:rStyle w:val="Italic"/>
        </w:rPr>
        <w:t>National Guidelines for Clinical Management of DENGUE 2022</w:t>
      </w:r>
      <w:r>
        <w:t xml:space="preserve">. Dili: Government of Timor-Leste Ministry of Health; 12 December 2022. Available from: https://cdn.who.int/media/docs/default-source/2021-dha-docs/5_national-clinical-guideline-of-dengue-timor-leste_clean_final-12-dec-2022.pdf. </w:t>
      </w:r>
    </w:p>
    <w:p w14:paraId="556AB2D6" w14:textId="54FB7DB2" w:rsidR="00907058" w:rsidRDefault="00907058" w:rsidP="00907058">
      <w:pPr>
        <w:pStyle w:val="CDINumberedList1L1"/>
        <w:divId w:val="935526654"/>
      </w:pPr>
      <w:proofErr w:type="spellStart"/>
      <w:r>
        <w:t>Viegas</w:t>
      </w:r>
      <w:proofErr w:type="spellEnd"/>
      <w:r>
        <w:t xml:space="preserve"> da Cruz Z, Araujo AL, </w:t>
      </w:r>
      <w:proofErr w:type="spellStart"/>
      <w:r>
        <w:t>Ribas</w:t>
      </w:r>
      <w:proofErr w:type="spellEnd"/>
      <w:r>
        <w:t xml:space="preserve"> A, </w:t>
      </w:r>
      <w:proofErr w:type="spellStart"/>
      <w:r>
        <w:t>Nithikathkul</w:t>
      </w:r>
      <w:proofErr w:type="spellEnd"/>
      <w:r>
        <w:t xml:space="preserve"> C. Dengue in Timor-Leste during the COVID-19 phenomenon. </w:t>
      </w:r>
      <w:r>
        <w:rPr>
          <w:rStyle w:val="Italic"/>
        </w:rPr>
        <w:t>Front Public Health</w:t>
      </w:r>
      <w:r>
        <w:t xml:space="preserve">. </w:t>
      </w:r>
      <w:proofErr w:type="gramStart"/>
      <w:r>
        <w:t>2023;11:1057951</w:t>
      </w:r>
      <w:proofErr w:type="gramEnd"/>
      <w:r>
        <w:t xml:space="preserve">. doi: https://doi.org/10.3389/fpubh.2023.1057951. </w:t>
      </w:r>
    </w:p>
    <w:p w14:paraId="795BA503" w14:textId="77777777" w:rsidR="00907058" w:rsidRDefault="00907058" w:rsidP="00907058">
      <w:pPr>
        <w:pStyle w:val="CDINumberedList1L1"/>
        <w:divId w:val="935526654"/>
      </w:pPr>
      <w:r>
        <w:t xml:space="preserve">Machado FN, Draper ADK, dos Santos FBA, Mali MA, Pereira Tilman AJ, da Silva ES et al. A brief description of the epidemiology of dengue in Dili, Timor-Leste, 2018–2022. </w:t>
      </w:r>
      <w:r>
        <w:rPr>
          <w:rStyle w:val="Italic"/>
        </w:rPr>
        <w:t>Commun Dis Intell</w:t>
      </w:r>
      <w:r>
        <w:t xml:space="preserve"> (2018). 2024;48. doi: https://doi.org/10.33321/cdi.2024.48.16.</w:t>
      </w:r>
    </w:p>
    <w:p w14:paraId="4BD66C29" w14:textId="7F688AA9" w:rsidR="00907058" w:rsidRDefault="00907058" w:rsidP="006518FE">
      <w:pPr>
        <w:pStyle w:val="CDINumberedList1L1"/>
        <w:divId w:val="935526654"/>
      </w:pPr>
      <w:r w:rsidRPr="006518FE">
        <w:t xml:space="preserve">Ant TH, Mancini MV, McNamara CJ, Rainey SM, </w:t>
      </w:r>
      <w:proofErr w:type="spellStart"/>
      <w:r w:rsidRPr="006518FE">
        <w:t>Sinkins</w:t>
      </w:r>
      <w:proofErr w:type="spellEnd"/>
      <w:r w:rsidRPr="006518FE">
        <w:t xml:space="preserve"> SP. Wolbachia-Virus </w:t>
      </w:r>
      <w:proofErr w:type="gramStart"/>
      <w:r w:rsidRPr="006518FE">
        <w:t>interactions</w:t>
      </w:r>
      <w:proofErr w:type="gramEnd"/>
      <w:r w:rsidRPr="006518FE">
        <w:t xml:space="preserve"> and arbovirus</w:t>
      </w:r>
      <w:r>
        <w:t xml:space="preserve"> control through population replacement in mosquitoes. </w:t>
      </w:r>
      <w:proofErr w:type="spellStart"/>
      <w:r>
        <w:rPr>
          <w:rStyle w:val="Italic"/>
        </w:rPr>
        <w:t>Pathog</w:t>
      </w:r>
      <w:proofErr w:type="spellEnd"/>
      <w:r>
        <w:rPr>
          <w:rStyle w:val="Italic"/>
        </w:rPr>
        <w:t xml:space="preserve"> Glob Health</w:t>
      </w:r>
      <w:r>
        <w:t xml:space="preserve">. 2023;117(3):245–58. </w:t>
      </w:r>
      <w:r w:rsidRPr="006518FE">
        <w:t>doi: https://doi.org/10.1080</w:t>
      </w:r>
      <w:r>
        <w:t>/20477724.2022.2117939.</w:t>
      </w:r>
    </w:p>
    <w:p w14:paraId="7C003556" w14:textId="533EB870" w:rsidR="00907058" w:rsidRDefault="00907058" w:rsidP="00907058">
      <w:pPr>
        <w:pStyle w:val="CDINumberedList1L1"/>
        <w:divId w:val="935526654"/>
      </w:pPr>
      <w:r>
        <w:t xml:space="preserve">Ribeiro Dos Santos G, </w:t>
      </w:r>
      <w:proofErr w:type="spellStart"/>
      <w:r>
        <w:t>Durovni</w:t>
      </w:r>
      <w:proofErr w:type="spellEnd"/>
      <w:r>
        <w:t xml:space="preserve"> B, </w:t>
      </w:r>
      <w:proofErr w:type="spellStart"/>
      <w:r>
        <w:t>Saraceni</w:t>
      </w:r>
      <w:proofErr w:type="spellEnd"/>
      <w:r>
        <w:t xml:space="preserve"> V, Souza </w:t>
      </w:r>
      <w:proofErr w:type="spellStart"/>
      <w:r>
        <w:t>Riback</w:t>
      </w:r>
      <w:proofErr w:type="spellEnd"/>
      <w:r>
        <w:t xml:space="preserve"> TI, Pinto SB, Anders KL et al. Estimating the effect of the </w:t>
      </w:r>
      <w:proofErr w:type="spellStart"/>
      <w:r>
        <w:t>wMel</w:t>
      </w:r>
      <w:proofErr w:type="spellEnd"/>
      <w:r>
        <w:t xml:space="preserve"> release programme on the incidence of dengue and chikungunya in Rio de Janeiro, </w:t>
      </w:r>
      <w:r>
        <w:lastRenderedPageBreak/>
        <w:t xml:space="preserve">Brazil: a spatiotemporal modelling study. </w:t>
      </w:r>
      <w:r>
        <w:rPr>
          <w:rStyle w:val="Italic"/>
        </w:rPr>
        <w:t>Lancet Infect Dis</w:t>
      </w:r>
      <w:r>
        <w:t xml:space="preserve">. 2022;22(11):1587–95. doi: https://doi.org/10.1016/S1473-3099(22)00436-4. </w:t>
      </w:r>
    </w:p>
    <w:p w14:paraId="2F0B1948" w14:textId="77777777" w:rsidR="00907058" w:rsidRDefault="00907058" w:rsidP="00907058">
      <w:pPr>
        <w:pStyle w:val="CDINumberedList1L1"/>
        <w:divId w:val="935526654"/>
      </w:pPr>
      <w:r>
        <w:t xml:space="preserve">O’Neill SL, Ryan PA, Turley AP, Wilson G, </w:t>
      </w:r>
      <w:proofErr w:type="spellStart"/>
      <w:r>
        <w:t>Retzki</w:t>
      </w:r>
      <w:proofErr w:type="spellEnd"/>
      <w:r>
        <w:t xml:space="preserve"> K, </w:t>
      </w:r>
      <w:proofErr w:type="spellStart"/>
      <w:r>
        <w:t>Iturbe-Ormaetxe</w:t>
      </w:r>
      <w:proofErr w:type="spellEnd"/>
      <w:r>
        <w:t xml:space="preserve"> I et al. Scaled deployment of Wolbachia to protect the community from dengue and other Aedes transmitted arboviruses. </w:t>
      </w:r>
      <w:r>
        <w:rPr>
          <w:rStyle w:val="Italic"/>
        </w:rPr>
        <w:t>Gates Open Res</w:t>
      </w:r>
      <w:r>
        <w:t xml:space="preserve">. </w:t>
      </w:r>
      <w:proofErr w:type="gramStart"/>
      <w:r>
        <w:t>2019;2:36</w:t>
      </w:r>
      <w:proofErr w:type="gramEnd"/>
      <w:r>
        <w:t>. doi: https://doi.org/10.12688/gatesopenres.12844.3.</w:t>
      </w:r>
    </w:p>
    <w:p w14:paraId="57D5AE81" w14:textId="4D7779AC" w:rsidR="00907058" w:rsidRDefault="00907058" w:rsidP="00907058">
      <w:pPr>
        <w:pStyle w:val="CDINumberedList1L1"/>
        <w:divId w:val="935526654"/>
      </w:pPr>
      <w:proofErr w:type="spellStart"/>
      <w:r>
        <w:t>Utarini</w:t>
      </w:r>
      <w:proofErr w:type="spellEnd"/>
      <w:r>
        <w:t xml:space="preserve"> A, </w:t>
      </w:r>
      <w:proofErr w:type="spellStart"/>
      <w:r>
        <w:t>Indriani</w:t>
      </w:r>
      <w:proofErr w:type="spellEnd"/>
      <w:r>
        <w:t xml:space="preserve"> C, Ahmad RA, </w:t>
      </w:r>
      <w:proofErr w:type="spellStart"/>
      <w:r>
        <w:t>Tantowijoyo</w:t>
      </w:r>
      <w:proofErr w:type="spellEnd"/>
      <w:r>
        <w:t xml:space="preserve"> W, </w:t>
      </w:r>
      <w:proofErr w:type="spellStart"/>
      <w:r>
        <w:t>Arguni</w:t>
      </w:r>
      <w:proofErr w:type="spellEnd"/>
      <w:r>
        <w:t xml:space="preserve"> E, Ansari MR et al. Efficacy of Wolbachia-infected mosquito deployments for the control of dengue. </w:t>
      </w:r>
      <w:r>
        <w:rPr>
          <w:rStyle w:val="Italic"/>
        </w:rPr>
        <w:t>N Engl J Med</w:t>
      </w:r>
      <w:r>
        <w:t>. 2021;384(23):2177–86. doi: https://doi.org/10.1056/NEJMoa2030243.</w:t>
      </w:r>
    </w:p>
    <w:p w14:paraId="3ABED720" w14:textId="3B94726A" w:rsidR="002C3003" w:rsidRDefault="00907058" w:rsidP="00907058">
      <w:pPr>
        <w:pStyle w:val="CDINumberedList1L1"/>
        <w:divId w:val="935526654"/>
      </w:pPr>
      <w:r>
        <w:t>World Mosquito Program (WMP). Global Progress – Yogyakarta. [Webpage.] Melbourne: Monash University, WMP; 2023. Available from: https://www.worldmosquitoprogram.org/en/global-progress/indonesia/yogyakarta-city.</w:t>
      </w:r>
    </w:p>
    <w:p w14:paraId="047A9AEC" w14:textId="78DF522B" w:rsidR="00AC659C" w:rsidRDefault="00AC659C" w:rsidP="00FE54ED">
      <w:r>
        <w:br w:type="page"/>
      </w:r>
    </w:p>
    <w:p w14:paraId="19F99774" w14:textId="77777777" w:rsidR="000A5F42" w:rsidRPr="00A65DFA" w:rsidRDefault="000A5F42" w:rsidP="0089025E">
      <w:pPr>
        <w:pStyle w:val="CDIBoxHeadingGreen"/>
        <w:spacing w:before="0"/>
      </w:pPr>
      <w:r w:rsidRPr="00A65DFA">
        <w:lastRenderedPageBreak/>
        <w:t>Communicable Diseases Intelligence</w:t>
      </w:r>
    </w:p>
    <w:p w14:paraId="4EDD40AA" w14:textId="0FB29621" w:rsidR="000A5F42" w:rsidRPr="0089025E" w:rsidRDefault="000A5F42" w:rsidP="00A65DFA">
      <w:pPr>
        <w:pStyle w:val="CDIBoxTextGreen"/>
        <w:rPr>
          <w:sz w:val="20"/>
          <w:szCs w:val="20"/>
        </w:rPr>
      </w:pPr>
      <w:r w:rsidRPr="0089025E">
        <w:rPr>
          <w:sz w:val="20"/>
          <w:szCs w:val="20"/>
        </w:rPr>
        <w:t xml:space="preserve">Communicable Diseases Intelligence (CDI) is a peer-reviewed scientific journal published by the </w:t>
      </w:r>
      <w:r w:rsidR="000705FF" w:rsidRPr="0089025E">
        <w:rPr>
          <w:sz w:val="20"/>
          <w:szCs w:val="20"/>
        </w:rPr>
        <w:t>Health Protection Policy &amp; Surveillance Division</w:t>
      </w:r>
      <w:r w:rsidRPr="0089025E">
        <w:rPr>
          <w:sz w:val="20"/>
          <w:szCs w:val="20"/>
        </w:rPr>
        <w:t xml:space="preserve">, </w:t>
      </w:r>
      <w:r w:rsidR="001723AC" w:rsidRPr="0089025E">
        <w:rPr>
          <w:sz w:val="20"/>
          <w:szCs w:val="20"/>
        </w:rPr>
        <w:t xml:space="preserve">Department of </w:t>
      </w:r>
      <w:proofErr w:type="gramStart"/>
      <w:r w:rsidR="001723AC" w:rsidRPr="0089025E">
        <w:rPr>
          <w:sz w:val="20"/>
          <w:szCs w:val="20"/>
        </w:rPr>
        <w:t>Health</w:t>
      </w:r>
      <w:proofErr w:type="gramEnd"/>
      <w:r w:rsidR="001723AC" w:rsidRPr="0089025E">
        <w:rPr>
          <w:sz w:val="20"/>
          <w:szCs w:val="20"/>
        </w:rPr>
        <w:t xml:space="preserve"> and Aged Care</w:t>
      </w:r>
      <w:r w:rsidRPr="0089025E">
        <w:rPr>
          <w:sz w:val="20"/>
          <w:szCs w:val="20"/>
        </w:rPr>
        <w:t xml:space="preserve">. The journal aims to disseminate information on the epidemiology, surveillance, </w:t>
      </w:r>
      <w:proofErr w:type="gramStart"/>
      <w:r w:rsidRPr="0089025E">
        <w:rPr>
          <w:sz w:val="20"/>
          <w:szCs w:val="20"/>
        </w:rPr>
        <w:t>prevention</w:t>
      </w:r>
      <w:proofErr w:type="gramEnd"/>
      <w:r w:rsidRPr="0089025E">
        <w:rPr>
          <w:sz w:val="20"/>
          <w:szCs w:val="20"/>
        </w:rPr>
        <w:t xml:space="preserve"> and control of communicable diseases of relevance to Australia.</w:t>
      </w:r>
    </w:p>
    <w:p w14:paraId="75338138" w14:textId="77777777" w:rsidR="000705FF" w:rsidRPr="0089025E" w:rsidRDefault="000705FF" w:rsidP="00A65DFA">
      <w:pPr>
        <w:pStyle w:val="CDIBoxTextGreen"/>
        <w:rPr>
          <w:sz w:val="20"/>
          <w:szCs w:val="20"/>
        </w:rPr>
      </w:pPr>
      <w:r w:rsidRPr="0089025E">
        <w:rPr>
          <w:sz w:val="20"/>
          <w:szCs w:val="20"/>
        </w:rPr>
        <w:t xml:space="preserve">© </w:t>
      </w:r>
      <w:r w:rsidR="002C5D55" w:rsidRPr="0089025E">
        <w:rPr>
          <w:sz w:val="20"/>
          <w:szCs w:val="20"/>
        </w:rPr>
        <w:fldChar w:fldCharType="begin"/>
      </w:r>
      <w:r w:rsidR="002C5D55" w:rsidRPr="0089025E">
        <w:rPr>
          <w:sz w:val="20"/>
          <w:szCs w:val="20"/>
        </w:rPr>
        <w:instrText xml:space="preserve"> DOCPROPERTY  Year  \* MERGEFORMAT </w:instrText>
      </w:r>
      <w:r w:rsidR="002C5D55" w:rsidRPr="0089025E">
        <w:rPr>
          <w:sz w:val="20"/>
          <w:szCs w:val="20"/>
        </w:rPr>
        <w:fldChar w:fldCharType="separate"/>
      </w:r>
      <w:r w:rsidRPr="0089025E">
        <w:rPr>
          <w:sz w:val="20"/>
          <w:szCs w:val="20"/>
        </w:rPr>
        <w:t>2024</w:t>
      </w:r>
      <w:r w:rsidR="002C5D55" w:rsidRPr="0089025E">
        <w:rPr>
          <w:sz w:val="20"/>
          <w:szCs w:val="20"/>
        </w:rPr>
        <w:fldChar w:fldCharType="end"/>
      </w:r>
      <w:r w:rsidRPr="0089025E">
        <w:rPr>
          <w:sz w:val="20"/>
          <w:szCs w:val="20"/>
        </w:rPr>
        <w:t xml:space="preserve"> Commonwealth of Australia as represented by the Department of Health and Aged Care</w:t>
      </w:r>
    </w:p>
    <w:p w14:paraId="5F69D296" w14:textId="77777777" w:rsidR="00DE4482" w:rsidRPr="0089025E" w:rsidRDefault="00DE4482" w:rsidP="00A65DFA">
      <w:pPr>
        <w:pStyle w:val="CDIBoxTextGreen"/>
        <w:rPr>
          <w:sz w:val="20"/>
          <w:szCs w:val="20"/>
        </w:rPr>
      </w:pPr>
      <w:r w:rsidRPr="0089025E">
        <w:rPr>
          <w:sz w:val="20"/>
          <w:szCs w:val="20"/>
        </w:rPr>
        <w:t>ISSN: 2209-6051 Online</w:t>
      </w:r>
    </w:p>
    <w:p w14:paraId="0429A5E8" w14:textId="77777777" w:rsidR="00DE4482" w:rsidRPr="0089025E" w:rsidRDefault="00DE4482" w:rsidP="00A65DFA">
      <w:pPr>
        <w:pStyle w:val="CDIBoxTextGreen"/>
        <w:rPr>
          <w:sz w:val="20"/>
          <w:szCs w:val="20"/>
        </w:rPr>
      </w:pPr>
      <w:r w:rsidRPr="0089025E">
        <w:rPr>
          <w:sz w:val="20"/>
          <w:szCs w:val="20"/>
        </w:rPr>
        <w:t xml:space="preserve">This journal is indexed by Index </w:t>
      </w:r>
      <w:proofErr w:type="spellStart"/>
      <w:r w:rsidRPr="0089025E">
        <w:rPr>
          <w:sz w:val="20"/>
          <w:szCs w:val="20"/>
        </w:rPr>
        <w:t>Medicus</w:t>
      </w:r>
      <w:proofErr w:type="spellEnd"/>
      <w:r w:rsidRPr="0089025E">
        <w:rPr>
          <w:sz w:val="20"/>
          <w:szCs w:val="20"/>
        </w:rPr>
        <w:t xml:space="preserve"> and Medline.</w:t>
      </w:r>
    </w:p>
    <w:p w14:paraId="53F14405" w14:textId="4668E486" w:rsidR="000705FF" w:rsidRPr="0089025E" w:rsidRDefault="000705FF" w:rsidP="00A65DFA">
      <w:pPr>
        <w:pStyle w:val="CDIBoxTextGreen"/>
        <w:rPr>
          <w:sz w:val="20"/>
          <w:szCs w:val="20"/>
        </w:rPr>
      </w:pPr>
      <w:r w:rsidRPr="0089025E">
        <w:rPr>
          <w:sz w:val="20"/>
          <w:szCs w:val="20"/>
        </w:rPr>
        <w:t>This publication is licensed under a Creative Commons Attribution-</w:t>
      </w:r>
      <w:proofErr w:type="spellStart"/>
      <w:r w:rsidRPr="0089025E">
        <w:rPr>
          <w:sz w:val="20"/>
          <w:szCs w:val="20"/>
        </w:rPr>
        <w:t>NonCommercial</w:t>
      </w:r>
      <w:proofErr w:type="spellEnd"/>
      <w:r w:rsidRPr="0089025E">
        <w:rPr>
          <w:sz w:val="20"/>
          <w:szCs w:val="20"/>
        </w:rPr>
        <w:t>-</w:t>
      </w:r>
      <w:proofErr w:type="spellStart"/>
      <w:r w:rsidRPr="0089025E">
        <w:rPr>
          <w:sz w:val="20"/>
          <w:szCs w:val="20"/>
        </w:rPr>
        <w:t>NoDerivatives</w:t>
      </w:r>
      <w:proofErr w:type="spellEnd"/>
      <w:r w:rsidRPr="0089025E">
        <w:rPr>
          <w:sz w:val="20"/>
          <w:szCs w:val="20"/>
        </w:rPr>
        <w:t xml:space="preserve"> 4.0 International Licence</w:t>
      </w:r>
      <w:r w:rsidR="00DE4482" w:rsidRPr="0089025E">
        <w:rPr>
          <w:sz w:val="20"/>
          <w:szCs w:val="20"/>
        </w:rPr>
        <w:t xml:space="preserve"> (CC BY-NC-ND)</w:t>
      </w:r>
      <w:r w:rsidRPr="0089025E">
        <w:rPr>
          <w:sz w:val="20"/>
          <w:szCs w:val="20"/>
        </w:rPr>
        <w:t xml:space="preserve"> </w:t>
      </w:r>
      <w:r w:rsidR="00DE4482" w:rsidRPr="0089025E">
        <w:rPr>
          <w:sz w:val="20"/>
          <w:szCs w:val="20"/>
        </w:rPr>
        <w:t xml:space="preserve">available </w:t>
      </w:r>
      <w:r w:rsidRPr="0089025E">
        <w:rPr>
          <w:sz w:val="20"/>
          <w:szCs w:val="20"/>
        </w:rPr>
        <w:t xml:space="preserve">from </w:t>
      </w:r>
      <w:r w:rsidRPr="008355D9">
        <w:rPr>
          <w:rFonts w:cstheme="minorHAnsi"/>
          <w:sz w:val="20"/>
          <w:szCs w:val="20"/>
        </w:rPr>
        <w:t>https://creativecommons.org/licenses/by-nc-nd/4.0/legalcode</w:t>
      </w:r>
      <w:r w:rsidRPr="0089025E">
        <w:rPr>
          <w:sz w:val="20"/>
          <w:szCs w:val="20"/>
        </w:rPr>
        <w:t xml:space="preserve"> (Licence). You must read and understand the Licence before using any material from this publication.</w:t>
      </w:r>
    </w:p>
    <w:p w14:paraId="3D470D55" w14:textId="77777777" w:rsidR="000705FF" w:rsidRPr="0089025E" w:rsidRDefault="000705FF" w:rsidP="0089025E">
      <w:pPr>
        <w:pStyle w:val="CDIBoxTextGreen"/>
        <w:spacing w:after="0"/>
        <w:rPr>
          <w:b/>
          <w:bCs/>
          <w:sz w:val="20"/>
          <w:szCs w:val="20"/>
        </w:rPr>
      </w:pPr>
      <w:r w:rsidRPr="0089025E">
        <w:rPr>
          <w:b/>
          <w:bCs/>
          <w:sz w:val="20"/>
          <w:szCs w:val="20"/>
        </w:rPr>
        <w:t>Restrictions</w:t>
      </w:r>
    </w:p>
    <w:p w14:paraId="69CB4543" w14:textId="638391D0" w:rsidR="000705FF" w:rsidRPr="0089025E" w:rsidRDefault="000705FF" w:rsidP="0089025E">
      <w:pPr>
        <w:pStyle w:val="CDIBoxTextGreen"/>
        <w:spacing w:before="0"/>
        <w:rPr>
          <w:sz w:val="20"/>
          <w:szCs w:val="20"/>
        </w:rPr>
      </w:pPr>
      <w:r w:rsidRPr="0089025E">
        <w:rPr>
          <w:sz w:val="20"/>
          <w:szCs w:val="20"/>
        </w:rPr>
        <w:t>The Licence does not cover, and there is no permission given for, use of any of the following material found in this publication (if</w:t>
      </w:r>
      <w:r w:rsidR="000F223B" w:rsidRPr="0089025E">
        <w:rPr>
          <w:sz w:val="20"/>
          <w:szCs w:val="20"/>
        </w:rPr>
        <w:t xml:space="preserve"> </w:t>
      </w:r>
      <w:r w:rsidRPr="0089025E">
        <w:rPr>
          <w:sz w:val="20"/>
          <w:szCs w:val="20"/>
        </w:rPr>
        <w:t xml:space="preserve">any): </w:t>
      </w:r>
    </w:p>
    <w:p w14:paraId="362D0630" w14:textId="34EC29FE" w:rsidR="000705FF" w:rsidRPr="008355D9" w:rsidRDefault="000705FF" w:rsidP="008355D9">
      <w:pPr>
        <w:pStyle w:val="CDIBoxBulletGreen"/>
        <w:rPr>
          <w:sz w:val="20"/>
          <w:szCs w:val="20"/>
        </w:rPr>
      </w:pPr>
      <w:r w:rsidRPr="008355D9">
        <w:rPr>
          <w:sz w:val="20"/>
          <w:szCs w:val="20"/>
        </w:rPr>
        <w:t xml:space="preserve">the Commonwealth Coat of Arms (by way of information, the terms under which the Coat of Arms may be used can be found at </w:t>
      </w:r>
      <w:r w:rsidR="008355D9" w:rsidRPr="008355D9">
        <w:rPr>
          <w:sz w:val="20"/>
          <w:szCs w:val="20"/>
        </w:rPr>
        <w:t>www.pmc.gov.au/resources/commonwealth-coat-arms-information-and-guidelines</w:t>
      </w:r>
      <w:proofErr w:type="gramStart"/>
      <w:r w:rsidR="008355D9" w:rsidRPr="008355D9">
        <w:rPr>
          <w:sz w:val="20"/>
          <w:szCs w:val="20"/>
        </w:rPr>
        <w:t>)</w:t>
      </w:r>
      <w:r w:rsidRPr="008355D9">
        <w:rPr>
          <w:sz w:val="20"/>
          <w:szCs w:val="20"/>
        </w:rPr>
        <w:t>;</w:t>
      </w:r>
      <w:proofErr w:type="gramEnd"/>
    </w:p>
    <w:p w14:paraId="78533A06" w14:textId="77777777" w:rsidR="000705FF" w:rsidRPr="0089025E" w:rsidRDefault="000705FF" w:rsidP="00A65DFA">
      <w:pPr>
        <w:pStyle w:val="CDIBoxBulletGreen"/>
        <w:rPr>
          <w:sz w:val="20"/>
          <w:szCs w:val="20"/>
        </w:rPr>
      </w:pPr>
      <w:r w:rsidRPr="0089025E">
        <w:rPr>
          <w:sz w:val="20"/>
          <w:szCs w:val="20"/>
        </w:rPr>
        <w:t xml:space="preserve">any logos (including the Department of Health and Aged Care’s logo) and </w:t>
      </w:r>
      <w:proofErr w:type="gramStart"/>
      <w:r w:rsidRPr="0089025E">
        <w:rPr>
          <w:sz w:val="20"/>
          <w:szCs w:val="20"/>
        </w:rPr>
        <w:t>trademarks;</w:t>
      </w:r>
      <w:proofErr w:type="gramEnd"/>
    </w:p>
    <w:p w14:paraId="2BE5E92C" w14:textId="77777777" w:rsidR="000705FF" w:rsidRPr="0089025E" w:rsidRDefault="000705FF" w:rsidP="00A65DFA">
      <w:pPr>
        <w:pStyle w:val="CDIBoxBulletGreen"/>
        <w:rPr>
          <w:sz w:val="20"/>
          <w:szCs w:val="20"/>
        </w:rPr>
      </w:pPr>
      <w:r w:rsidRPr="0089025E">
        <w:rPr>
          <w:sz w:val="20"/>
          <w:szCs w:val="20"/>
        </w:rPr>
        <w:t xml:space="preserve">any photographs and </w:t>
      </w:r>
      <w:proofErr w:type="gramStart"/>
      <w:r w:rsidRPr="0089025E">
        <w:rPr>
          <w:sz w:val="20"/>
          <w:szCs w:val="20"/>
        </w:rPr>
        <w:t>images;</w:t>
      </w:r>
      <w:proofErr w:type="gramEnd"/>
      <w:r w:rsidRPr="0089025E">
        <w:rPr>
          <w:sz w:val="20"/>
          <w:szCs w:val="20"/>
        </w:rPr>
        <w:t xml:space="preserve"> </w:t>
      </w:r>
    </w:p>
    <w:p w14:paraId="2E2F1387" w14:textId="77777777" w:rsidR="000705FF" w:rsidRPr="0089025E" w:rsidRDefault="000705FF" w:rsidP="00A65DFA">
      <w:pPr>
        <w:pStyle w:val="CDIBoxBulletGreen"/>
        <w:rPr>
          <w:sz w:val="20"/>
          <w:szCs w:val="20"/>
        </w:rPr>
      </w:pPr>
      <w:r w:rsidRPr="0089025E">
        <w:rPr>
          <w:sz w:val="20"/>
          <w:szCs w:val="20"/>
        </w:rPr>
        <w:t>any signatures; and</w:t>
      </w:r>
    </w:p>
    <w:p w14:paraId="5F0CF403" w14:textId="77777777" w:rsidR="000705FF" w:rsidRPr="0089025E" w:rsidRDefault="000705FF" w:rsidP="00A65DFA">
      <w:pPr>
        <w:pStyle w:val="CDIBoxBulletGreen"/>
        <w:rPr>
          <w:sz w:val="20"/>
          <w:szCs w:val="20"/>
        </w:rPr>
      </w:pPr>
      <w:r w:rsidRPr="0089025E">
        <w:rPr>
          <w:sz w:val="20"/>
          <w:szCs w:val="20"/>
        </w:rPr>
        <w:t xml:space="preserve">any material belonging to third parties. </w:t>
      </w:r>
    </w:p>
    <w:p w14:paraId="6AE64DA1" w14:textId="77777777" w:rsidR="000F223B" w:rsidRPr="0089025E" w:rsidRDefault="000705FF" w:rsidP="0089025E">
      <w:pPr>
        <w:pStyle w:val="CDIBoxTextGreen"/>
        <w:spacing w:after="0"/>
        <w:rPr>
          <w:b/>
          <w:bCs/>
          <w:sz w:val="20"/>
          <w:szCs w:val="20"/>
        </w:rPr>
      </w:pPr>
      <w:r w:rsidRPr="0089025E">
        <w:rPr>
          <w:b/>
          <w:bCs/>
          <w:sz w:val="20"/>
          <w:szCs w:val="20"/>
        </w:rPr>
        <w:t>Disclaimer</w:t>
      </w:r>
    </w:p>
    <w:p w14:paraId="0EFA0C5B" w14:textId="203D156C" w:rsidR="000705FF" w:rsidRPr="0089025E" w:rsidRDefault="000705FF" w:rsidP="0089025E">
      <w:pPr>
        <w:pStyle w:val="CDIBoxTextGreen"/>
        <w:spacing w:before="0"/>
        <w:rPr>
          <w:sz w:val="20"/>
          <w:szCs w:val="20"/>
        </w:rPr>
      </w:pPr>
      <w:r w:rsidRPr="0089025E">
        <w:rPr>
          <w:sz w:val="20"/>
          <w:szCs w:val="20"/>
        </w:rPr>
        <w:t xml:space="preserve">Opinions expressed in </w:t>
      </w:r>
      <w:r w:rsidRPr="00682E53">
        <w:rPr>
          <w:i/>
          <w:iCs/>
          <w:sz w:val="20"/>
          <w:szCs w:val="20"/>
        </w:rPr>
        <w:t>Communicable Diseases Intelligence</w:t>
      </w:r>
      <w:r w:rsidRPr="0089025E">
        <w:rPr>
          <w:sz w:val="20"/>
          <w:szCs w:val="20"/>
        </w:rPr>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89025E">
      <w:pPr>
        <w:pStyle w:val="CDIBoxTextGreen"/>
        <w:spacing w:after="0"/>
        <w:rPr>
          <w:b/>
          <w:bCs/>
          <w:sz w:val="20"/>
          <w:szCs w:val="20"/>
        </w:rPr>
      </w:pPr>
      <w:r w:rsidRPr="0089025E">
        <w:rPr>
          <w:b/>
          <w:bCs/>
          <w:sz w:val="20"/>
          <w:szCs w:val="20"/>
        </w:rPr>
        <w:t>Enquiries</w:t>
      </w:r>
    </w:p>
    <w:p w14:paraId="29B8BCCD" w14:textId="33D2AEA3" w:rsidR="000705FF" w:rsidRPr="0089025E" w:rsidRDefault="000705FF" w:rsidP="0089025E">
      <w:pPr>
        <w:pStyle w:val="CDIBoxTextGreen"/>
        <w:spacing w:before="0"/>
        <w:rPr>
          <w:sz w:val="20"/>
          <w:szCs w:val="20"/>
        </w:rPr>
      </w:pPr>
      <w:r w:rsidRPr="0089025E">
        <w:rPr>
          <w:sz w:val="20"/>
          <w:szCs w:val="20"/>
        </w:rPr>
        <w:t xml:space="preserve">Enquiries regarding any other use of this publication should be addressed to the </w:t>
      </w:r>
      <w:r w:rsidR="000F223B" w:rsidRPr="0089025E">
        <w:rPr>
          <w:sz w:val="20"/>
          <w:szCs w:val="20"/>
        </w:rPr>
        <w:t xml:space="preserve">CDI Editor at: </w:t>
      </w:r>
      <w:r w:rsidR="000F223B" w:rsidRPr="008355D9">
        <w:rPr>
          <w:sz w:val="20"/>
          <w:szCs w:val="20"/>
        </w:rPr>
        <w:t>cdi.editor@health.gov.au</w:t>
      </w:r>
      <w:r w:rsidRPr="0089025E">
        <w:rPr>
          <w:sz w:val="20"/>
          <w:szCs w:val="20"/>
        </w:rPr>
        <w:t xml:space="preserve"> </w:t>
      </w:r>
    </w:p>
    <w:p w14:paraId="36670D04" w14:textId="77777777" w:rsidR="000F223B" w:rsidRPr="0089025E" w:rsidRDefault="000705FF" w:rsidP="0089025E">
      <w:pPr>
        <w:pStyle w:val="CDIBoxTextGreen"/>
        <w:spacing w:after="0"/>
        <w:rPr>
          <w:b/>
          <w:bCs/>
          <w:sz w:val="20"/>
          <w:szCs w:val="20"/>
        </w:rPr>
      </w:pPr>
      <w:r w:rsidRPr="0089025E">
        <w:rPr>
          <w:b/>
          <w:bCs/>
          <w:sz w:val="20"/>
          <w:szCs w:val="20"/>
        </w:rPr>
        <w:t>Communicable Diseases Network Australia</w:t>
      </w:r>
    </w:p>
    <w:p w14:paraId="5FD0A375" w14:textId="0994BB56" w:rsidR="00DA2E9E" w:rsidRPr="0089025E" w:rsidRDefault="000705FF" w:rsidP="0089025E">
      <w:pPr>
        <w:pStyle w:val="CDIBoxTextGreen"/>
        <w:spacing w:before="0"/>
        <w:rPr>
          <w:sz w:val="20"/>
          <w:szCs w:val="20"/>
        </w:rPr>
      </w:pPr>
      <w:r w:rsidRPr="0089025E">
        <w:rPr>
          <w:sz w:val="20"/>
          <w:szCs w:val="20"/>
        </w:rPr>
        <w:t>Communicable Diseases Intelligence contributes to the work of the Communicable Diseases Network Australia.</w:t>
      </w:r>
      <w:r w:rsidR="0089025E" w:rsidRPr="0089025E">
        <w:rPr>
          <w:sz w:val="20"/>
          <w:szCs w:val="20"/>
        </w:rPr>
        <w:t xml:space="preserve"> </w:t>
      </w:r>
      <w:r w:rsidR="007D6F3B" w:rsidRPr="008355D9">
        <w:rPr>
          <w:sz w:val="20"/>
          <w:szCs w:val="20"/>
        </w:rPr>
        <w:t>www.health.gov.au/cdna</w:t>
      </w:r>
    </w:p>
    <w:p w14:paraId="4DA52DB3" w14:textId="67EB377F" w:rsidR="000A5F42" w:rsidRPr="0089025E" w:rsidRDefault="000A5F42" w:rsidP="00B15F5B">
      <w:pPr>
        <w:pStyle w:val="CDIBoxTextGreen"/>
        <w:rPr>
          <w:sz w:val="20"/>
          <w:szCs w:val="20"/>
        </w:rPr>
      </w:pPr>
      <w:r w:rsidRPr="0089025E">
        <w:rPr>
          <w:b/>
          <w:bCs/>
          <w:sz w:val="20"/>
          <w:szCs w:val="20"/>
        </w:rPr>
        <w:t>Editor</w:t>
      </w:r>
      <w:r w:rsidRPr="0089025E">
        <w:rPr>
          <w:sz w:val="20"/>
          <w:szCs w:val="20"/>
        </w:rPr>
        <w:t xml:space="preserve">: </w:t>
      </w:r>
      <w:r w:rsidR="008B62FF" w:rsidRPr="0089025E">
        <w:rPr>
          <w:sz w:val="20"/>
          <w:szCs w:val="20"/>
        </w:rPr>
        <w:t>Christina Bareja</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Pr="0089025E">
        <w:rPr>
          <w:b/>
          <w:bCs/>
          <w:sz w:val="20"/>
          <w:szCs w:val="20"/>
        </w:rPr>
        <w:t>Deputy Editor</w:t>
      </w:r>
      <w:r w:rsidRPr="0089025E">
        <w:rPr>
          <w:sz w:val="20"/>
          <w:szCs w:val="20"/>
        </w:rPr>
        <w:t xml:space="preserve">: </w:t>
      </w:r>
      <w:r w:rsidR="00C838F5" w:rsidRPr="0089025E">
        <w:rPr>
          <w:sz w:val="20"/>
          <w:szCs w:val="20"/>
        </w:rPr>
        <w:t>Simon Petrie</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00967410" w:rsidRPr="0089025E">
        <w:rPr>
          <w:b/>
          <w:bCs/>
          <w:sz w:val="20"/>
          <w:szCs w:val="20"/>
        </w:rPr>
        <w:t>Design</w:t>
      </w:r>
      <w:r w:rsidRPr="0089025E">
        <w:rPr>
          <w:b/>
          <w:bCs/>
          <w:sz w:val="20"/>
          <w:szCs w:val="20"/>
        </w:rPr>
        <w:t xml:space="preserve"> and Production</w:t>
      </w:r>
      <w:r w:rsidRPr="0089025E">
        <w:rPr>
          <w:sz w:val="20"/>
          <w:szCs w:val="20"/>
        </w:rPr>
        <w:t xml:space="preserve">: </w:t>
      </w:r>
      <w:r w:rsidR="00703009" w:rsidRPr="0089025E">
        <w:rPr>
          <w:sz w:val="20"/>
          <w:szCs w:val="20"/>
        </w:rPr>
        <w:t>Lisa Thompson</w:t>
      </w:r>
    </w:p>
    <w:p w14:paraId="54D7045E" w14:textId="41262CCA" w:rsidR="000A5F42" w:rsidRPr="0089025E" w:rsidRDefault="000A5F42" w:rsidP="0089025E">
      <w:pPr>
        <w:pStyle w:val="CDIBoxTextGreen"/>
        <w:rPr>
          <w:sz w:val="20"/>
          <w:szCs w:val="20"/>
        </w:rPr>
      </w:pPr>
      <w:r w:rsidRPr="0089025E">
        <w:rPr>
          <w:b/>
          <w:bCs/>
          <w:sz w:val="20"/>
          <w:szCs w:val="20"/>
        </w:rPr>
        <w:t>Editorial Advisory Board</w:t>
      </w:r>
      <w:r w:rsidRPr="0089025E">
        <w:rPr>
          <w:sz w:val="20"/>
          <w:szCs w:val="20"/>
        </w:rPr>
        <w:t xml:space="preserve">: </w:t>
      </w:r>
      <w:r w:rsidR="00CF75DF" w:rsidRPr="0089025E">
        <w:rPr>
          <w:sz w:val="20"/>
          <w:szCs w:val="20"/>
        </w:rPr>
        <w:t>David Durrheim, Mark Ferson, Clare Huppatz, John Kaldor, Martyn Kirk, Meru</w:t>
      </w:r>
      <w:r w:rsidR="0089025E" w:rsidRPr="0089025E">
        <w:rPr>
          <w:sz w:val="20"/>
          <w:szCs w:val="20"/>
        </w:rPr>
        <w:t> </w:t>
      </w:r>
      <w:proofErr w:type="gramStart"/>
      <w:r w:rsidR="00CF75DF" w:rsidRPr="0089025E">
        <w:rPr>
          <w:sz w:val="20"/>
          <w:szCs w:val="20"/>
        </w:rPr>
        <w:t>Sheel</w:t>
      </w:r>
      <w:proofErr w:type="gramEnd"/>
      <w:r w:rsidR="00CF75DF" w:rsidRPr="0089025E">
        <w:rPr>
          <w:sz w:val="20"/>
          <w:szCs w:val="20"/>
        </w:rPr>
        <w:t xml:space="preserve"> and Steph</w:t>
      </w:r>
      <w:r w:rsidR="003B4C32">
        <w:rPr>
          <w:sz w:val="20"/>
          <w:szCs w:val="20"/>
        </w:rPr>
        <w:t>anie</w:t>
      </w:r>
      <w:r w:rsidR="00CF75DF" w:rsidRPr="0089025E">
        <w:rPr>
          <w:sz w:val="20"/>
          <w:szCs w:val="20"/>
        </w:rPr>
        <w:t> Williams</w:t>
      </w:r>
    </w:p>
    <w:p w14:paraId="68552EE8" w14:textId="77777777" w:rsidR="00DE4482" w:rsidRPr="0089025E" w:rsidRDefault="000A5F42" w:rsidP="0089025E">
      <w:pPr>
        <w:pStyle w:val="CDIBoxTextGreen"/>
        <w:spacing w:after="0"/>
        <w:rPr>
          <w:b/>
          <w:bCs/>
          <w:sz w:val="20"/>
          <w:szCs w:val="20"/>
        </w:rPr>
      </w:pPr>
      <w:r w:rsidRPr="0089025E">
        <w:rPr>
          <w:b/>
          <w:bCs/>
          <w:sz w:val="20"/>
          <w:szCs w:val="20"/>
        </w:rPr>
        <w:t>Contacts</w:t>
      </w:r>
    </w:p>
    <w:p w14:paraId="0E4D66B0" w14:textId="77777777" w:rsidR="00682E53" w:rsidRDefault="00E54BBD" w:rsidP="0089025E">
      <w:pPr>
        <w:pStyle w:val="CDIBoxTextGreen"/>
        <w:spacing w:before="0"/>
        <w:rPr>
          <w:sz w:val="20"/>
          <w:szCs w:val="20"/>
        </w:rPr>
      </w:pPr>
      <w:r w:rsidRPr="0089025E">
        <w:rPr>
          <w:sz w:val="20"/>
          <w:szCs w:val="20"/>
        </w:rPr>
        <w:t>CDI is produced by</w:t>
      </w:r>
      <w:r w:rsidR="00682E53">
        <w:rPr>
          <w:sz w:val="20"/>
          <w:szCs w:val="20"/>
        </w:rPr>
        <w:t>:</w:t>
      </w:r>
    </w:p>
    <w:p w14:paraId="5D6B978F" w14:textId="68F91560" w:rsidR="000A5F42" w:rsidRPr="0089025E" w:rsidRDefault="00DA2E9E" w:rsidP="00682E53">
      <w:pPr>
        <w:pStyle w:val="CDIBoxTextGreen"/>
        <w:spacing w:before="0"/>
        <w:rPr>
          <w:sz w:val="20"/>
          <w:szCs w:val="20"/>
        </w:rPr>
      </w:pPr>
      <w:r w:rsidRPr="0089025E">
        <w:rPr>
          <w:sz w:val="20"/>
          <w:szCs w:val="20"/>
        </w:rPr>
        <w:t>Health Protection Policy &amp; Surveillance Division</w:t>
      </w:r>
      <w:r w:rsidR="00E54BBD" w:rsidRPr="0089025E">
        <w:rPr>
          <w:sz w:val="20"/>
          <w:szCs w:val="20"/>
        </w:rPr>
        <w:t xml:space="preserve">, Australian Government Department of </w:t>
      </w:r>
      <w:proofErr w:type="gramStart"/>
      <w:r w:rsidR="00E54BBD" w:rsidRPr="0089025E">
        <w:rPr>
          <w:sz w:val="20"/>
          <w:szCs w:val="20"/>
        </w:rPr>
        <w:t>Health</w:t>
      </w:r>
      <w:proofErr w:type="gramEnd"/>
      <w:r w:rsidR="00AE0209" w:rsidRPr="0089025E">
        <w:rPr>
          <w:sz w:val="20"/>
          <w:szCs w:val="20"/>
        </w:rPr>
        <w:t xml:space="preserve"> and Aged Care</w:t>
      </w:r>
      <w:r w:rsidR="00E54BBD" w:rsidRPr="0089025E">
        <w:rPr>
          <w:sz w:val="20"/>
          <w:szCs w:val="20"/>
        </w:rPr>
        <w:t>,</w:t>
      </w:r>
      <w:r w:rsidR="00682E53">
        <w:rPr>
          <w:sz w:val="20"/>
          <w:szCs w:val="20"/>
        </w:rPr>
        <w:br/>
      </w:r>
      <w:r w:rsidR="00E54BBD" w:rsidRPr="0089025E">
        <w:rPr>
          <w:sz w:val="20"/>
          <w:szCs w:val="20"/>
        </w:rPr>
        <w:t>GPO Box 9848, (MDP 6) CANBERRA ACT 2601</w:t>
      </w:r>
    </w:p>
    <w:p w14:paraId="65FA266A" w14:textId="17BEBED4" w:rsidR="00DA2E9E" w:rsidRPr="0089025E" w:rsidRDefault="00DA2E9E" w:rsidP="00341720">
      <w:pPr>
        <w:pStyle w:val="CDIBoxTextGreen"/>
        <w:spacing w:after="0"/>
        <w:rPr>
          <w:sz w:val="20"/>
          <w:szCs w:val="20"/>
        </w:rPr>
      </w:pPr>
      <w:r w:rsidRPr="0089025E">
        <w:rPr>
          <w:sz w:val="20"/>
          <w:szCs w:val="20"/>
        </w:rPr>
        <w:t xml:space="preserve">Website: </w:t>
      </w:r>
      <w:r w:rsidRPr="008355D9">
        <w:rPr>
          <w:sz w:val="20"/>
          <w:szCs w:val="20"/>
        </w:rPr>
        <w:t>www.health.gov.au/cdi</w:t>
      </w:r>
      <w:r w:rsidRPr="0089025E">
        <w:rPr>
          <w:sz w:val="20"/>
          <w:szCs w:val="20"/>
        </w:rPr>
        <w:t xml:space="preserve"> </w:t>
      </w:r>
    </w:p>
    <w:p w14:paraId="0050D7B6" w14:textId="51480998" w:rsidR="000A5F42" w:rsidRPr="0089025E" w:rsidRDefault="000A5F42" w:rsidP="0089025E">
      <w:pPr>
        <w:pStyle w:val="CDIBoxTextGreen"/>
        <w:spacing w:before="0"/>
        <w:rPr>
          <w:sz w:val="20"/>
          <w:szCs w:val="20"/>
        </w:rPr>
      </w:pPr>
      <w:r w:rsidRPr="0089025E">
        <w:rPr>
          <w:sz w:val="20"/>
          <w:szCs w:val="20"/>
        </w:rPr>
        <w:t xml:space="preserve">Email: </w:t>
      </w:r>
      <w:r w:rsidRPr="008355D9">
        <w:rPr>
          <w:sz w:val="20"/>
          <w:szCs w:val="20"/>
        </w:rPr>
        <w:t>cdi.editor@health.gov.au</w:t>
      </w:r>
      <w:r w:rsidRPr="0089025E">
        <w:rPr>
          <w:sz w:val="20"/>
          <w:szCs w:val="20"/>
        </w:rPr>
        <w:t xml:space="preserve"> </w:t>
      </w:r>
    </w:p>
    <w:p w14:paraId="36391895" w14:textId="77777777" w:rsidR="00DE4482" w:rsidRPr="0089025E" w:rsidRDefault="000A5F42" w:rsidP="0089025E">
      <w:pPr>
        <w:pStyle w:val="CDIBoxTextGreen"/>
        <w:spacing w:after="0"/>
        <w:rPr>
          <w:b/>
          <w:bCs/>
          <w:sz w:val="20"/>
          <w:szCs w:val="20"/>
        </w:rPr>
      </w:pPr>
      <w:r w:rsidRPr="0089025E">
        <w:rPr>
          <w:b/>
          <w:bCs/>
          <w:sz w:val="20"/>
          <w:szCs w:val="20"/>
        </w:rPr>
        <w:t xml:space="preserve">Submit an </w:t>
      </w:r>
      <w:proofErr w:type="gramStart"/>
      <w:r w:rsidRPr="0089025E">
        <w:rPr>
          <w:b/>
          <w:bCs/>
          <w:sz w:val="20"/>
          <w:szCs w:val="20"/>
        </w:rPr>
        <w:t>Article</w:t>
      </w:r>
      <w:proofErr w:type="gramEnd"/>
    </w:p>
    <w:p w14:paraId="3E71214A" w14:textId="3327DEAB" w:rsidR="000A5F42" w:rsidRPr="0089025E" w:rsidRDefault="000A5F42" w:rsidP="0089025E">
      <w:pPr>
        <w:pStyle w:val="CDIBoxTextGreen"/>
        <w:spacing w:before="0"/>
        <w:rPr>
          <w:sz w:val="20"/>
          <w:szCs w:val="20"/>
        </w:rPr>
      </w:pPr>
      <w:r w:rsidRPr="0089025E">
        <w:rPr>
          <w:sz w:val="20"/>
          <w:szCs w:val="20"/>
        </w:rPr>
        <w:t xml:space="preserve">You are invited to submit your next communicable disease related article to the </w:t>
      </w:r>
      <w:r w:rsidRPr="00682E53">
        <w:rPr>
          <w:i/>
          <w:iCs/>
          <w:sz w:val="20"/>
          <w:szCs w:val="20"/>
        </w:rPr>
        <w:t>Communicable Diseases Intelligence</w:t>
      </w:r>
      <w:r w:rsidRPr="0089025E">
        <w:rPr>
          <w:sz w:val="20"/>
          <w:szCs w:val="20"/>
        </w:rPr>
        <w:t xml:space="preserve"> (CDI) for consideration. More information regarding CDI can be found at: </w:t>
      </w:r>
      <w:r w:rsidR="00DE4482" w:rsidRPr="008355D9">
        <w:rPr>
          <w:sz w:val="20"/>
          <w:szCs w:val="20"/>
        </w:rPr>
        <w:t>www.health.gov.au/cdi</w:t>
      </w:r>
      <w:r w:rsidRPr="0089025E">
        <w:rPr>
          <w:sz w:val="20"/>
          <w:szCs w:val="20"/>
        </w:rPr>
        <w:t xml:space="preserve">. </w:t>
      </w:r>
    </w:p>
    <w:p w14:paraId="1516EE53" w14:textId="25D0EBB7" w:rsidR="000A5F42" w:rsidRPr="0089025E" w:rsidRDefault="000A5F42" w:rsidP="0089025E">
      <w:pPr>
        <w:pStyle w:val="CDIBoxTextGreen"/>
        <w:rPr>
          <w:sz w:val="20"/>
          <w:szCs w:val="20"/>
        </w:rPr>
      </w:pPr>
      <w:r w:rsidRPr="0089025E">
        <w:rPr>
          <w:sz w:val="20"/>
          <w:szCs w:val="20"/>
        </w:rPr>
        <w:t xml:space="preserve">Further enquiries should be directed to: </w:t>
      </w:r>
      <w:r w:rsidRPr="008355D9">
        <w:rPr>
          <w:sz w:val="20"/>
          <w:szCs w:val="20"/>
        </w:rPr>
        <w:t>cdi.editor@health.gov.au</w:t>
      </w:r>
      <w:r w:rsidRPr="0089025E">
        <w:rPr>
          <w:sz w:val="20"/>
          <w:szCs w:val="20"/>
        </w:rPr>
        <w:t>.</w:t>
      </w:r>
    </w:p>
    <w:sectPr w:rsidR="000A5F42" w:rsidRPr="0089025E" w:rsidSect="00DB4F75">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F947" w14:textId="77777777" w:rsidR="001258DC" w:rsidRDefault="0012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54B0" w14:textId="19D6DA47" w:rsidR="001258DC" w:rsidRPr="00DB4F75" w:rsidRDefault="00DB4F75" w:rsidP="00DB4F75">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r w:rsidR="003B4C32">
      <w:fldChar w:fldCharType="begin"/>
    </w:r>
    <w:r w:rsidR="003B4C32">
      <w:instrText xml:space="preserve"> DOCPROPERTY  Year  \* MERGEFORMAT </w:instrText>
    </w:r>
    <w:r w:rsidR="003B4C32">
      <w:fldChar w:fldCharType="separate"/>
    </w:r>
    <w:r w:rsidRPr="001D0612">
      <w:t>2024</w:t>
    </w:r>
    <w:r w:rsidR="003B4C32">
      <w:fldChar w:fldCharType="end"/>
    </w:r>
    <w:r w:rsidRPr="001D0612">
      <w:t xml:space="preserve"> </w:t>
    </w:r>
    <w:r w:rsidR="003B4C32">
      <w:fldChar w:fldCharType="begin"/>
    </w:r>
    <w:r w:rsidR="003B4C32">
      <w:instrText xml:space="preserve"> DOCPROPERTY  Vol  \* MERGEFORMAT </w:instrText>
    </w:r>
    <w:r w:rsidR="003B4C32">
      <w:fldChar w:fldCharType="separate"/>
    </w:r>
    <w:r w:rsidRPr="001D0612">
      <w:t>48</w:t>
    </w:r>
    <w:r w:rsidR="003B4C32">
      <w:fldChar w:fldCharType="end"/>
    </w:r>
    <w:r w:rsidRPr="001D0612">
      <w:t xml:space="preserve">  (</w:t>
    </w:r>
    <w:r w:rsidR="003B4C32">
      <w:fldChar w:fldCharType="begin"/>
    </w:r>
    <w:r w:rsidR="003B4C32">
      <w:instrText xml:space="preserve"> DOCPROPERTY  DOI  \* MERGEFORMAT </w:instrText>
    </w:r>
    <w:r w:rsidR="003B4C32">
      <w:fldChar w:fldCharType="separate"/>
    </w:r>
    <w:r w:rsidR="009857F2">
      <w:t>https://doi.org/10.33321/cdi.2024.48.17</w:t>
    </w:r>
    <w:r w:rsidR="003B4C32">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3B4C32">
      <w:fldChar w:fldCharType="begin"/>
    </w:r>
    <w:r w:rsidR="003B4C32">
      <w:instrText xml:space="preserve"> DOC</w:instrText>
    </w:r>
    <w:r w:rsidR="003B4C32">
      <w:instrText xml:space="preserve">PROPERTY  ePubDate  \* MERGEFORMAT </w:instrText>
    </w:r>
    <w:r w:rsidR="003B4C32">
      <w:fldChar w:fldCharType="separate"/>
    </w:r>
    <w:r w:rsidR="003B4C32">
      <w:t>10/04/2024</w:t>
    </w:r>
    <w:r w:rsidR="003B4C32">
      <w:fldChar w:fldCharType="end"/>
    </w:r>
    <w:r w:rsidRPr="001D0612">
      <w:tab/>
    </w:r>
    <w:r w:rsidRPr="001D0612">
      <w:fldChar w:fldCharType="begin"/>
    </w:r>
    <w:r w:rsidRPr="001D0612">
      <w:instrText xml:space="preserve"> PAGE   \* MERGEFORMAT </w:instrText>
    </w:r>
    <w:r w:rsidRPr="001D0612">
      <w:fldChar w:fldCharType="separate"/>
    </w:r>
    <w:r>
      <w:t>2</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D0D" w14:textId="77777777" w:rsidR="00DB4F75" w:rsidRPr="00F72B15" w:rsidRDefault="00DB4F75" w:rsidP="00DB4F75">
    <w:pPr>
      <w:pBdr>
        <w:top w:val="single" w:sz="4" w:space="4" w:color="00DCA1" w:themeColor="background2"/>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0CC6" w14:textId="77777777" w:rsidR="001258DC" w:rsidRDefault="0012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A1AE" w14:textId="020FC954" w:rsidR="001258DC" w:rsidRPr="00DB4F75" w:rsidRDefault="001258DC" w:rsidP="00DB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3198" w14:textId="77777777" w:rsidR="00DB4F75" w:rsidRPr="00DF78F3" w:rsidRDefault="00DB4F75" w:rsidP="00DB4F75">
    <w:pPr>
      <w:spacing w:before="2640" w:line="240" w:lineRule="auto"/>
    </w:pPr>
    <w:r>
      <w:rPr>
        <w:noProof/>
        <w14:ligatures w14:val="none"/>
      </w:rPr>
      <w:drawing>
        <wp:anchor distT="0" distB="0" distL="114300" distR="114300" simplePos="0" relativeHeight="251659264" behindDoc="1" locked="1" layoutInCell="1" allowOverlap="1" wp14:anchorId="46536FDB" wp14:editId="09F70405">
          <wp:simplePos x="723900" y="2124075"/>
          <wp:positionH relativeFrom="page">
            <wp:align>left</wp:align>
          </wp:positionH>
          <wp:positionV relativeFrom="page">
            <wp:align>top</wp:align>
          </wp:positionV>
          <wp:extent cx="7563485" cy="2270125"/>
          <wp:effectExtent l="0" t="0" r="0" b="0"/>
          <wp:wrapNone/>
          <wp:docPr id="24" name="Picture 24"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rectangle with dark green and white strokes and black text displaying the title of the journal - Communicable Diseases Intellig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227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BA26DA0C"/>
    <w:lvl w:ilvl="0" w:tplc="ABB27DF2">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1BB07FBA"/>
    <w:lvl w:ilvl="0" w:tplc="4D0427E0">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873424656">
    <w:abstractNumId w:val="4"/>
    <w:lvlOverride w:ilvl="0">
      <w:startOverride w:val="1"/>
    </w:lvlOverride>
  </w:num>
  <w:num w:numId="21" w16cid:durableId="1549806408">
    <w:abstractNumId w:val="4"/>
    <w:lvlOverride w:ilvl="0">
      <w:startOverride w:val="1"/>
    </w:lvlOverride>
  </w:num>
  <w:num w:numId="22" w16cid:durableId="8891544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06910"/>
    <w:rsid w:val="000104A8"/>
    <w:rsid w:val="000110DF"/>
    <w:rsid w:val="0001246E"/>
    <w:rsid w:val="000124B1"/>
    <w:rsid w:val="000147ED"/>
    <w:rsid w:val="00014B0F"/>
    <w:rsid w:val="0001562E"/>
    <w:rsid w:val="00016FE6"/>
    <w:rsid w:val="00026D55"/>
    <w:rsid w:val="00031064"/>
    <w:rsid w:val="00031692"/>
    <w:rsid w:val="00032531"/>
    <w:rsid w:val="000325A0"/>
    <w:rsid w:val="00032B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D48"/>
    <w:rsid w:val="000C3FB4"/>
    <w:rsid w:val="000D4B4D"/>
    <w:rsid w:val="000E6C4C"/>
    <w:rsid w:val="000F223B"/>
    <w:rsid w:val="00112E44"/>
    <w:rsid w:val="00113D58"/>
    <w:rsid w:val="001200CB"/>
    <w:rsid w:val="001258DC"/>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7A4A"/>
    <w:rsid w:val="00197ACB"/>
    <w:rsid w:val="001A4A96"/>
    <w:rsid w:val="001A5900"/>
    <w:rsid w:val="001A5D05"/>
    <w:rsid w:val="001A796C"/>
    <w:rsid w:val="001B0E7B"/>
    <w:rsid w:val="001B2614"/>
    <w:rsid w:val="001B37B8"/>
    <w:rsid w:val="001B552F"/>
    <w:rsid w:val="001C0893"/>
    <w:rsid w:val="001C1303"/>
    <w:rsid w:val="001C1BD1"/>
    <w:rsid w:val="001C2B4B"/>
    <w:rsid w:val="001C5BB1"/>
    <w:rsid w:val="001C70B2"/>
    <w:rsid w:val="001D0612"/>
    <w:rsid w:val="001D37C7"/>
    <w:rsid w:val="001D6888"/>
    <w:rsid w:val="001E4E1D"/>
    <w:rsid w:val="001F0D9D"/>
    <w:rsid w:val="001F4A66"/>
    <w:rsid w:val="001F6248"/>
    <w:rsid w:val="00221481"/>
    <w:rsid w:val="00223F42"/>
    <w:rsid w:val="00224EFF"/>
    <w:rsid w:val="002276DC"/>
    <w:rsid w:val="00227E00"/>
    <w:rsid w:val="002307CB"/>
    <w:rsid w:val="00231046"/>
    <w:rsid w:val="00234F21"/>
    <w:rsid w:val="00242659"/>
    <w:rsid w:val="002428F7"/>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E96"/>
    <w:rsid w:val="00284E4A"/>
    <w:rsid w:val="002A3799"/>
    <w:rsid w:val="002A3BCC"/>
    <w:rsid w:val="002A4516"/>
    <w:rsid w:val="002A569F"/>
    <w:rsid w:val="002A7066"/>
    <w:rsid w:val="002B001E"/>
    <w:rsid w:val="002B09B7"/>
    <w:rsid w:val="002B493C"/>
    <w:rsid w:val="002B75A9"/>
    <w:rsid w:val="002C21B0"/>
    <w:rsid w:val="002C3003"/>
    <w:rsid w:val="002C5D55"/>
    <w:rsid w:val="002E2FB3"/>
    <w:rsid w:val="002F327B"/>
    <w:rsid w:val="00301626"/>
    <w:rsid w:val="00301F48"/>
    <w:rsid w:val="003059EC"/>
    <w:rsid w:val="00316727"/>
    <w:rsid w:val="00316CCD"/>
    <w:rsid w:val="00324F7E"/>
    <w:rsid w:val="0032526F"/>
    <w:rsid w:val="003316F4"/>
    <w:rsid w:val="003323BC"/>
    <w:rsid w:val="00341720"/>
    <w:rsid w:val="00346D42"/>
    <w:rsid w:val="00346E11"/>
    <w:rsid w:val="00351364"/>
    <w:rsid w:val="003601C0"/>
    <w:rsid w:val="003635F5"/>
    <w:rsid w:val="00371080"/>
    <w:rsid w:val="00372A88"/>
    <w:rsid w:val="00373CC7"/>
    <w:rsid w:val="00381A0F"/>
    <w:rsid w:val="00381E8E"/>
    <w:rsid w:val="00390F66"/>
    <w:rsid w:val="00392D07"/>
    <w:rsid w:val="003A1B3A"/>
    <w:rsid w:val="003A40F5"/>
    <w:rsid w:val="003B3487"/>
    <w:rsid w:val="003B4C32"/>
    <w:rsid w:val="003B5B8C"/>
    <w:rsid w:val="003B7ADD"/>
    <w:rsid w:val="003C554E"/>
    <w:rsid w:val="003C7841"/>
    <w:rsid w:val="003D15AE"/>
    <w:rsid w:val="003D79B1"/>
    <w:rsid w:val="003E74EE"/>
    <w:rsid w:val="003F02BE"/>
    <w:rsid w:val="003F0552"/>
    <w:rsid w:val="003F3BC2"/>
    <w:rsid w:val="003F5172"/>
    <w:rsid w:val="003F725B"/>
    <w:rsid w:val="00401ED1"/>
    <w:rsid w:val="0040224C"/>
    <w:rsid w:val="004101DC"/>
    <w:rsid w:val="00411852"/>
    <w:rsid w:val="00413EE1"/>
    <w:rsid w:val="00415494"/>
    <w:rsid w:val="004164BB"/>
    <w:rsid w:val="0042000E"/>
    <w:rsid w:val="00421ECE"/>
    <w:rsid w:val="00422FEB"/>
    <w:rsid w:val="0042435E"/>
    <w:rsid w:val="004315F5"/>
    <w:rsid w:val="00433456"/>
    <w:rsid w:val="00433DFA"/>
    <w:rsid w:val="00435D67"/>
    <w:rsid w:val="0043642C"/>
    <w:rsid w:val="0043704E"/>
    <w:rsid w:val="00461653"/>
    <w:rsid w:val="00464A58"/>
    <w:rsid w:val="00464E0D"/>
    <w:rsid w:val="00473D2D"/>
    <w:rsid w:val="00491C26"/>
    <w:rsid w:val="004A19B8"/>
    <w:rsid w:val="004A2125"/>
    <w:rsid w:val="004A38F6"/>
    <w:rsid w:val="004B1266"/>
    <w:rsid w:val="004B4EB6"/>
    <w:rsid w:val="004B4F34"/>
    <w:rsid w:val="004C083C"/>
    <w:rsid w:val="004C3BDE"/>
    <w:rsid w:val="004C67C6"/>
    <w:rsid w:val="004C6855"/>
    <w:rsid w:val="004D29DE"/>
    <w:rsid w:val="004E1094"/>
    <w:rsid w:val="004E2E81"/>
    <w:rsid w:val="0050662A"/>
    <w:rsid w:val="00510EAC"/>
    <w:rsid w:val="00526875"/>
    <w:rsid w:val="00542A57"/>
    <w:rsid w:val="00545068"/>
    <w:rsid w:val="0054635D"/>
    <w:rsid w:val="005572D3"/>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5F257D"/>
    <w:rsid w:val="005F26D8"/>
    <w:rsid w:val="00607115"/>
    <w:rsid w:val="00610633"/>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18FE"/>
    <w:rsid w:val="00656427"/>
    <w:rsid w:val="00660255"/>
    <w:rsid w:val="00663EA5"/>
    <w:rsid w:val="00681509"/>
    <w:rsid w:val="00682146"/>
    <w:rsid w:val="00682E53"/>
    <w:rsid w:val="00683E6F"/>
    <w:rsid w:val="006862C0"/>
    <w:rsid w:val="00690811"/>
    <w:rsid w:val="00693DAE"/>
    <w:rsid w:val="00697039"/>
    <w:rsid w:val="006971F3"/>
    <w:rsid w:val="006B337D"/>
    <w:rsid w:val="006C2787"/>
    <w:rsid w:val="006C74A3"/>
    <w:rsid w:val="006D1381"/>
    <w:rsid w:val="006D31BC"/>
    <w:rsid w:val="006D6625"/>
    <w:rsid w:val="006E7943"/>
    <w:rsid w:val="006F24EA"/>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66C22"/>
    <w:rsid w:val="00771313"/>
    <w:rsid w:val="00774BA6"/>
    <w:rsid w:val="00775C3B"/>
    <w:rsid w:val="00780C3D"/>
    <w:rsid w:val="00781AEF"/>
    <w:rsid w:val="00781C54"/>
    <w:rsid w:val="007828D7"/>
    <w:rsid w:val="007852D0"/>
    <w:rsid w:val="00786329"/>
    <w:rsid w:val="00790C9A"/>
    <w:rsid w:val="007918B3"/>
    <w:rsid w:val="00792C7D"/>
    <w:rsid w:val="00794293"/>
    <w:rsid w:val="00794A4D"/>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663"/>
    <w:rsid w:val="00811708"/>
    <w:rsid w:val="00813007"/>
    <w:rsid w:val="0081404B"/>
    <w:rsid w:val="00816B90"/>
    <w:rsid w:val="00817799"/>
    <w:rsid w:val="00821796"/>
    <w:rsid w:val="00822F5F"/>
    <w:rsid w:val="00824FD3"/>
    <w:rsid w:val="00826589"/>
    <w:rsid w:val="00830070"/>
    <w:rsid w:val="00834BCC"/>
    <w:rsid w:val="008355D9"/>
    <w:rsid w:val="00847D71"/>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77B3"/>
    <w:rsid w:val="009008F5"/>
    <w:rsid w:val="00900B78"/>
    <w:rsid w:val="0090208D"/>
    <w:rsid w:val="00904CC1"/>
    <w:rsid w:val="009066AF"/>
    <w:rsid w:val="00907058"/>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4753"/>
    <w:rsid w:val="00965AD4"/>
    <w:rsid w:val="00967410"/>
    <w:rsid w:val="00967D73"/>
    <w:rsid w:val="00970B9A"/>
    <w:rsid w:val="00971C4F"/>
    <w:rsid w:val="0098119A"/>
    <w:rsid w:val="009823EE"/>
    <w:rsid w:val="00984AAF"/>
    <w:rsid w:val="00985521"/>
    <w:rsid w:val="009857F2"/>
    <w:rsid w:val="00990CDC"/>
    <w:rsid w:val="00991B09"/>
    <w:rsid w:val="0099319C"/>
    <w:rsid w:val="00993CB2"/>
    <w:rsid w:val="009A0251"/>
    <w:rsid w:val="009A218B"/>
    <w:rsid w:val="009A5166"/>
    <w:rsid w:val="009A76F8"/>
    <w:rsid w:val="009B2B83"/>
    <w:rsid w:val="009C49F8"/>
    <w:rsid w:val="009D56E7"/>
    <w:rsid w:val="009D77CC"/>
    <w:rsid w:val="009D797A"/>
    <w:rsid w:val="009E2423"/>
    <w:rsid w:val="009E55D7"/>
    <w:rsid w:val="009F4150"/>
    <w:rsid w:val="009F5665"/>
    <w:rsid w:val="009F5DAD"/>
    <w:rsid w:val="009F752C"/>
    <w:rsid w:val="00A01BCA"/>
    <w:rsid w:val="00A03DEF"/>
    <w:rsid w:val="00A07088"/>
    <w:rsid w:val="00A10458"/>
    <w:rsid w:val="00A104E5"/>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623E8"/>
    <w:rsid w:val="00A649E7"/>
    <w:rsid w:val="00A65DFA"/>
    <w:rsid w:val="00A6708F"/>
    <w:rsid w:val="00A71BF6"/>
    <w:rsid w:val="00A72720"/>
    <w:rsid w:val="00A72AF9"/>
    <w:rsid w:val="00A74050"/>
    <w:rsid w:val="00A80166"/>
    <w:rsid w:val="00A86F9A"/>
    <w:rsid w:val="00A95A81"/>
    <w:rsid w:val="00AA35E6"/>
    <w:rsid w:val="00AA50B6"/>
    <w:rsid w:val="00AA78FF"/>
    <w:rsid w:val="00AB3472"/>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2FF9"/>
    <w:rsid w:val="00B33861"/>
    <w:rsid w:val="00B40DE2"/>
    <w:rsid w:val="00B4377A"/>
    <w:rsid w:val="00B50210"/>
    <w:rsid w:val="00B50D8D"/>
    <w:rsid w:val="00B538B8"/>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12CF"/>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B15E1"/>
    <w:rsid w:val="00CB3D46"/>
    <w:rsid w:val="00CC0771"/>
    <w:rsid w:val="00CD1A87"/>
    <w:rsid w:val="00CD35F3"/>
    <w:rsid w:val="00CD5C93"/>
    <w:rsid w:val="00CD69CD"/>
    <w:rsid w:val="00CE342B"/>
    <w:rsid w:val="00CF131F"/>
    <w:rsid w:val="00CF320C"/>
    <w:rsid w:val="00CF3A4B"/>
    <w:rsid w:val="00CF4001"/>
    <w:rsid w:val="00CF75DF"/>
    <w:rsid w:val="00D00B5A"/>
    <w:rsid w:val="00D05837"/>
    <w:rsid w:val="00D12D8A"/>
    <w:rsid w:val="00D13E0C"/>
    <w:rsid w:val="00D20FB5"/>
    <w:rsid w:val="00D25896"/>
    <w:rsid w:val="00D338F7"/>
    <w:rsid w:val="00D34AAF"/>
    <w:rsid w:val="00D373A1"/>
    <w:rsid w:val="00D37C0F"/>
    <w:rsid w:val="00D4113F"/>
    <w:rsid w:val="00D45661"/>
    <w:rsid w:val="00D45943"/>
    <w:rsid w:val="00D47D22"/>
    <w:rsid w:val="00D51865"/>
    <w:rsid w:val="00D51D0C"/>
    <w:rsid w:val="00D52ECE"/>
    <w:rsid w:val="00D55D13"/>
    <w:rsid w:val="00D6407A"/>
    <w:rsid w:val="00D64A19"/>
    <w:rsid w:val="00D7189B"/>
    <w:rsid w:val="00D7327C"/>
    <w:rsid w:val="00D74140"/>
    <w:rsid w:val="00D80045"/>
    <w:rsid w:val="00D93AD4"/>
    <w:rsid w:val="00DA2E9E"/>
    <w:rsid w:val="00DA6E56"/>
    <w:rsid w:val="00DA78DD"/>
    <w:rsid w:val="00DB0DF2"/>
    <w:rsid w:val="00DB1C65"/>
    <w:rsid w:val="00DB4F7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65BA"/>
    <w:rsid w:val="00E115A8"/>
    <w:rsid w:val="00E1166E"/>
    <w:rsid w:val="00E24DC0"/>
    <w:rsid w:val="00E2519C"/>
    <w:rsid w:val="00E25229"/>
    <w:rsid w:val="00E25F2A"/>
    <w:rsid w:val="00E30C30"/>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7669"/>
    <w:rsid w:val="00E877F0"/>
    <w:rsid w:val="00E92237"/>
    <w:rsid w:val="00E951EF"/>
    <w:rsid w:val="00EA1A80"/>
    <w:rsid w:val="00EA387D"/>
    <w:rsid w:val="00EA3D54"/>
    <w:rsid w:val="00EA42F9"/>
    <w:rsid w:val="00EA487F"/>
    <w:rsid w:val="00EA56D9"/>
    <w:rsid w:val="00EA5CE3"/>
    <w:rsid w:val="00EA6AD8"/>
    <w:rsid w:val="00EA7AB8"/>
    <w:rsid w:val="00EB51C1"/>
    <w:rsid w:val="00EB5AE1"/>
    <w:rsid w:val="00EB5E0B"/>
    <w:rsid w:val="00EB7247"/>
    <w:rsid w:val="00EB7C2A"/>
    <w:rsid w:val="00EB7C53"/>
    <w:rsid w:val="00EC2171"/>
    <w:rsid w:val="00ED442D"/>
    <w:rsid w:val="00ED70C2"/>
    <w:rsid w:val="00EE18FF"/>
    <w:rsid w:val="00EE1D64"/>
    <w:rsid w:val="00EE3E29"/>
    <w:rsid w:val="00EE489F"/>
    <w:rsid w:val="00EE4AE4"/>
    <w:rsid w:val="00EF082D"/>
    <w:rsid w:val="00F0647F"/>
    <w:rsid w:val="00F10CE3"/>
    <w:rsid w:val="00F12006"/>
    <w:rsid w:val="00F13443"/>
    <w:rsid w:val="00F14F3B"/>
    <w:rsid w:val="00F16362"/>
    <w:rsid w:val="00F207C7"/>
    <w:rsid w:val="00F24950"/>
    <w:rsid w:val="00F24CCA"/>
    <w:rsid w:val="00F27185"/>
    <w:rsid w:val="00F34C4E"/>
    <w:rsid w:val="00F35D78"/>
    <w:rsid w:val="00F36B6D"/>
    <w:rsid w:val="00F41618"/>
    <w:rsid w:val="00F4166D"/>
    <w:rsid w:val="00F43FA3"/>
    <w:rsid w:val="00F4712F"/>
    <w:rsid w:val="00F4772B"/>
    <w:rsid w:val="00F510E5"/>
    <w:rsid w:val="00F55648"/>
    <w:rsid w:val="00F568F7"/>
    <w:rsid w:val="00F64F80"/>
    <w:rsid w:val="00F70046"/>
    <w:rsid w:val="00F713D0"/>
    <w:rsid w:val="00F72B15"/>
    <w:rsid w:val="00F748C2"/>
    <w:rsid w:val="00F74958"/>
    <w:rsid w:val="00F76C5C"/>
    <w:rsid w:val="00F804EC"/>
    <w:rsid w:val="00F81EF3"/>
    <w:rsid w:val="00F84496"/>
    <w:rsid w:val="00F85DCB"/>
    <w:rsid w:val="00F86F9C"/>
    <w:rsid w:val="00F90D76"/>
    <w:rsid w:val="00F94055"/>
    <w:rsid w:val="00F95581"/>
    <w:rsid w:val="00FB17AB"/>
    <w:rsid w:val="00FB48CF"/>
    <w:rsid w:val="00FC002E"/>
    <w:rsid w:val="00FC4C23"/>
    <w:rsid w:val="00FC642E"/>
    <w:rsid w:val="00FE2AE4"/>
    <w:rsid w:val="00FE3F9E"/>
    <w:rsid w:val="00FE54ED"/>
    <w:rsid w:val="00FE689F"/>
    <w:rsid w:val="00FE6B2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3F5172"/>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3F517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112E44"/>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3F5172"/>
    <w:rPr>
      <w:rFonts w:ascii="Arial Narrow" w:hAnsi="Arial Narrow"/>
      <w:sz w:val="20"/>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styleId="Header">
    <w:name w:val="header"/>
    <w:basedOn w:val="Normal"/>
    <w:link w:val="HeaderChar"/>
    <w:uiPriority w:val="99"/>
    <w:unhideWhenUsed/>
    <w:rsid w:val="001258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258DC"/>
    <w:rPr>
      <w:rFonts w:ascii="Calibri" w:hAnsi="Calibri"/>
      <w14:ligatures w14:val="standardContextual"/>
    </w:rPr>
  </w:style>
  <w:style w:type="paragraph" w:styleId="Footer">
    <w:name w:val="footer"/>
    <w:basedOn w:val="Normal"/>
    <w:link w:val="FooterChar"/>
    <w:uiPriority w:val="99"/>
    <w:unhideWhenUsed/>
    <w:rsid w:val="00AC65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659C"/>
    <w:rPr>
      <w:rFonts w:ascii="Calibri" w:hAnsi="Calibri"/>
      <w14:ligatures w14:val="standardContextual"/>
    </w:rPr>
  </w:style>
  <w:style w:type="paragraph" w:styleId="BodyText">
    <w:name w:val="Body Text"/>
    <w:basedOn w:val="Normal"/>
    <w:link w:val="BodyTextChar"/>
    <w:uiPriority w:val="99"/>
    <w:semiHidden/>
    <w:unhideWhenUsed/>
    <w:rsid w:val="00790C9A"/>
    <w:pPr>
      <w:spacing w:after="120"/>
    </w:pPr>
  </w:style>
  <w:style w:type="character" w:customStyle="1" w:styleId="BodyTextChar">
    <w:name w:val="Body Text Char"/>
    <w:basedOn w:val="DefaultParagraphFont"/>
    <w:link w:val="BodyText"/>
    <w:uiPriority w:val="99"/>
    <w:semiHidden/>
    <w:rsid w:val="00790C9A"/>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1</TotalTime>
  <Pages>11</Pages>
  <Words>3242</Words>
  <Characters>20608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Communicable Diseases Intelligence - The first confirmed outbreak of chikungunya reported in Timor-Leste, 2024</vt:lpstr>
    </vt:vector>
  </TitlesOfParts>
  <Company>Australian Government, Department of Health</Company>
  <LinksUpToDate>false</LinksUpToDate>
  <CharactersWithSpaces>23803</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The first confirmed outbreak of chikungunya reported in Timor-Leste, 2024</dc:title>
  <dc:subject>Timor-Leste is a mountainous, half-island nation with a population of 1.3 million, which shares a land border with Indonesia and is 550 km from Darwin, Australia. Since independence in 2002, Timor-Leste has achieved significant development; however, high levels of poverty remain. Chikungunya virus (CHIKV) is endemic in over 100 countries in Africa, Asia, Europe and in the Americas. It is transmitted by the bite of infected Aedes aegypti or Ae. albopictus mosquitoes, which are present in Timor-Leste and which contribute to annual rainy-season dengue virus (DENV) outbreaks. Symptomatic people typically suffer from acute onset of fever, usually accompanied by severe arthritis or arthralgia. Joint pain can be debilitating for several days, and may sometimes last for weeks, months or years. Unlike DENV infection which has significant mortality, most people recover completely. Between 2002 and 2023, there were 26 cases of CHIKV notified in Australia who acquired their infection in Timor-Leste; however, laboratory testing capability for CHIKV in Timor-Leste only became available in 2021 using polymerase chain reaction (PCR).  The first locally diagnosed case was notified in November 2023. In January 2024, an outbreak of CHIKV was recognised in Timor-Leste for the first time, with 195 outbreak cases reported during 1–31 January 2024; all were PCR positive. There were no cases hospitalised, and no deaths. The median age of cases was 17 years (range 1–76 years); 51% were males. Cases were reported across the country; most (88/195) were from Dili, although the highest incidence was seen in the neighbouring municipality of Ermera (monthly incidence rate of 58.8 cases per 100,000 population). This first reported outbreak of CHIKV in Timor-Leste highlights the need for improved mosquito-borne illness control and response strategies, including minimising breeding sites and promoting early presentation for treatment and differential diagnosis from DENV, and consideration of the deployment of Wolbachia-infected mosquitoes, particularly as they have shown to reduce the transmission of CHIKV, DENV and Zika virus, all of which pose threats in Timor-Leste.</dc:subject>
  <dc:creator>Filipe de Neri Machado; Anthony DK Draper; Anferida Monteiro Fernandes; Frederico Bosco Alves dos Santos; Marcelo Amaral Mali; Ari J Pereira Tilman; Endang Soares da Silva; Elizabeth Hornay; Antonio Salles de Sousa; Tessa Oakley; Edinha da Cruz; Nevio Sarmento; Maria AV Niha; Ana Fatima Soares; Eva Estrelita Cardoso Gomes; Jose de Deus Alves; Jose Paulo Soares; Joshua R Francis; Jennifer Yan; Merita Antonio Monteiro</dc:creator>
  <cp:keywords>chikungunya; arbovirus; mosquito-borne disease; surveillance; Timor-Leste; outbreak; low-resource setting</cp:keywords>
  <dc:description>© Commonwealth of Australia CC BY-NC-ND ISSN: 2209-6051 (Online)</dc:description>
  <cp:lastModifiedBy>THOMPSON, Lisa</cp:lastModifiedBy>
  <cp:revision>2</cp:revision>
  <cp:lastPrinted>2024-03-07T01:06:00Z</cp:lastPrinted>
  <dcterms:created xsi:type="dcterms:W3CDTF">2024-04-07T22:13:00Z</dcterms:created>
  <dcterms:modified xsi:type="dcterms:W3CDTF">2024-04-07T22:13:00Z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10/04/2024</vt:lpwstr>
  </property>
  <property fmtid="{D5CDD505-2E9C-101B-9397-08002B2CF9AE}" pid="5" name="DOI">
    <vt:lpwstr>https://doi.org/10.33321/cdi.2024.48.17</vt:lpwstr>
  </property>
</Properties>
</file>