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8DF3" w14:textId="77777777" w:rsidR="00280050" w:rsidRPr="008353E1" w:rsidRDefault="00974D10" w:rsidP="00462DF5">
      <w:pPr>
        <w:pStyle w:val="Default"/>
        <w:rPr>
          <w:rFonts w:ascii="Helvetica" w:hAnsi="Helvetica" w:cs="Helvetica"/>
          <w:b/>
          <w:bCs/>
        </w:rPr>
      </w:pPr>
      <w:r w:rsidRPr="008353E1">
        <w:rPr>
          <w:rFonts w:ascii="Helvetica" w:hAnsi="Helvetica" w:cs="Helvetica"/>
          <w:b/>
        </w:rPr>
        <w:t>P</w:t>
      </w:r>
      <w:r w:rsidR="00462DF5" w:rsidRPr="008353E1">
        <w:rPr>
          <w:rFonts w:ascii="Helvetica" w:hAnsi="Helvetica" w:cs="Helvetica"/>
          <w:b/>
        </w:rPr>
        <w:t>rocess for an a</w:t>
      </w:r>
      <w:r w:rsidR="00462DF5" w:rsidRPr="008353E1">
        <w:rPr>
          <w:rFonts w:ascii="Helvetica" w:hAnsi="Helvetica" w:cs="Helvetica"/>
          <w:b/>
          <w:bCs/>
        </w:rPr>
        <w:t>pplication for approval for change of ownership of a pharmacy (not involving relocation)</w:t>
      </w:r>
    </w:p>
    <w:p w14:paraId="6A9B794B" w14:textId="77777777" w:rsidR="00462DF5" w:rsidRPr="008353E1" w:rsidRDefault="00462DF5" w:rsidP="00462DF5">
      <w:pPr>
        <w:pStyle w:val="Default"/>
        <w:rPr>
          <w:rFonts w:ascii="Helvetica" w:hAnsi="Helvetica" w:cs="Helvetica"/>
        </w:rPr>
      </w:pPr>
    </w:p>
    <w:p w14:paraId="6989202A" w14:textId="12804DF6" w:rsidR="00462DF5" w:rsidRPr="008353E1" w:rsidRDefault="00462DF5" w:rsidP="002D2F57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Once only - applicant obtains AUSkey* from Australian Business Register (allow 10 business days), then registers for access to the </w:t>
      </w:r>
      <w:r w:rsidR="0046599D">
        <w:rPr>
          <w:rFonts w:ascii="Helvetica" w:hAnsi="Helvetica" w:cs="Helvetica"/>
        </w:rPr>
        <w:t>PBS Approved Suppliers Portal</w:t>
      </w:r>
      <w:r w:rsidRPr="008353E1">
        <w:rPr>
          <w:rFonts w:ascii="Helvetica" w:hAnsi="Helvetica" w:cs="Helvetica"/>
        </w:rPr>
        <w:t xml:space="preserve">. </w:t>
      </w:r>
    </w:p>
    <w:p w14:paraId="4CA3D701" w14:textId="5F3B900F" w:rsidR="002D2F57" w:rsidRPr="008353E1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applicant submits the application (including supporting documentation) via the </w:t>
      </w:r>
      <w:r w:rsidR="0046599D">
        <w:rPr>
          <w:rFonts w:ascii="Helvetica" w:hAnsi="Helvetica" w:cs="Helvetica"/>
        </w:rPr>
        <w:t>PBS Approved Suppliers Portal</w:t>
      </w:r>
      <w:r w:rsidRPr="008353E1">
        <w:rPr>
          <w:rFonts w:ascii="Helvetica" w:hAnsi="Helvetica" w:cs="Helvetica"/>
        </w:rPr>
        <w:t>**</w:t>
      </w:r>
      <w:r w:rsidR="004C7413">
        <w:rPr>
          <w:rFonts w:ascii="Helvetica" w:hAnsi="Helvetica" w:cs="Helvetica"/>
        </w:rPr>
        <w:t xml:space="preserve"> (allow up to 30 business days for application processing from start to finish)</w:t>
      </w:r>
    </w:p>
    <w:p w14:paraId="447C22D8" w14:textId="77777777" w:rsidR="00462DF5" w:rsidRPr="008353E1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 The Department receives and checks the application for completeness (allow </w:t>
      </w:r>
      <w:r w:rsidR="004C7413">
        <w:rPr>
          <w:rFonts w:ascii="Helvetica" w:hAnsi="Helvetica" w:cs="Helvetica"/>
        </w:rPr>
        <w:t>up to 20</w:t>
      </w:r>
      <w:r w:rsidR="004C7413" w:rsidRPr="008353E1">
        <w:rPr>
          <w:rFonts w:ascii="Helvetica" w:hAnsi="Helvetica" w:cs="Helvetica"/>
        </w:rPr>
        <w:t xml:space="preserve"> </w:t>
      </w:r>
      <w:r w:rsidRPr="008353E1">
        <w:rPr>
          <w:rFonts w:ascii="Helvetica" w:hAnsi="Helvetica" w:cs="Helvetica"/>
        </w:rPr>
        <w:t>business days)</w:t>
      </w:r>
      <w:r w:rsidR="00DE2F25" w:rsidRPr="008353E1">
        <w:rPr>
          <w:rFonts w:ascii="Helvetica" w:hAnsi="Helvetica" w:cs="Helvetica"/>
        </w:rPr>
        <w:t>.</w:t>
      </w:r>
    </w:p>
    <w:p w14:paraId="69519E5E" w14:textId="77777777" w:rsidR="002D2F57" w:rsidRPr="008353E1" w:rsidRDefault="002D2F57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process then follows one of three pathways depending upon the completeness of the application</w:t>
      </w:r>
      <w:r w:rsidR="00DE2F25" w:rsidRPr="008353E1">
        <w:rPr>
          <w:rFonts w:ascii="Helvetica" w:hAnsi="Helvetica" w:cs="Helvetica"/>
        </w:rPr>
        <w:t>.</w:t>
      </w:r>
    </w:p>
    <w:p w14:paraId="7B357D8C" w14:textId="77777777" w:rsidR="00974D10" w:rsidRPr="008353E1" w:rsidRDefault="00974D10" w:rsidP="00974D10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  <w:i/>
        </w:rPr>
        <w:t>Complete application</w:t>
      </w:r>
    </w:p>
    <w:p w14:paraId="4E1E584C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Department notifies the application contact of an administration number (timing of this depends upon the date of effect of the change of ownership) (email).</w:t>
      </w:r>
    </w:p>
    <w:p w14:paraId="7D2E3FEF" w14:textId="77777777" w:rsidR="00974D10" w:rsidRPr="008353E1" w:rsidRDefault="00DC6012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DC6012">
        <w:rPr>
          <w:rFonts w:ascii="Helvetica" w:hAnsi="Helvetica" w:cs="Helvetica"/>
        </w:rPr>
        <w:t xml:space="preserve">Prior to the Delegate’s decision, the applicant must provide approval from the relevant state or territory regulatory authority or, for Queensland applicants, </w:t>
      </w:r>
      <w:r w:rsidR="00C76DA7">
        <w:rPr>
          <w:rFonts w:ascii="Helvetica" w:hAnsi="Helvetica" w:cs="Helvetica"/>
        </w:rPr>
        <w:t>a copy of the form submitted to</w:t>
      </w:r>
      <w:r w:rsidRPr="00DC6012">
        <w:rPr>
          <w:rFonts w:ascii="Helvetica" w:hAnsi="Helvetica" w:cs="Helvetica"/>
        </w:rPr>
        <w:t xml:space="preserve"> Queensland Health</w:t>
      </w:r>
      <w:r w:rsidR="00C76DA7">
        <w:rPr>
          <w:rFonts w:ascii="Helvetica" w:hAnsi="Helvetica" w:cs="Helvetica"/>
        </w:rPr>
        <w:t xml:space="preserve"> for a change of ownership</w:t>
      </w:r>
      <w:r w:rsidR="00974D10" w:rsidRPr="008353E1">
        <w:rPr>
          <w:rFonts w:ascii="Helvetica" w:hAnsi="Helvetica" w:cs="Helvetica"/>
        </w:rPr>
        <w:t>.</w:t>
      </w:r>
    </w:p>
    <w:p w14:paraId="7257BC57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</w:t>
      </w:r>
      <w:r w:rsidR="00D26F6A">
        <w:rPr>
          <w:rFonts w:ascii="Helvetica" w:hAnsi="Helvetica" w:cs="Helvetica"/>
        </w:rPr>
        <w:t>telephones</w:t>
      </w:r>
      <w:r w:rsidRPr="008353E1">
        <w:rPr>
          <w:rFonts w:ascii="Helvetica" w:hAnsi="Helvetica" w:cs="Helvetica"/>
        </w:rPr>
        <w:t xml:space="preserve"> the </w:t>
      </w:r>
      <w:r w:rsidR="00D26F6A">
        <w:rPr>
          <w:rFonts w:ascii="Helvetica" w:hAnsi="Helvetica" w:cs="Helvetica"/>
        </w:rPr>
        <w:t>application contact</w:t>
      </w:r>
      <w:r w:rsidRPr="008353E1">
        <w:rPr>
          <w:rFonts w:ascii="Helvetica" w:hAnsi="Helvetica" w:cs="Helvetica"/>
        </w:rPr>
        <w:t xml:space="preserve"> on the date of exchange to confirm the change of ownership has been finalised and the pharmacy is op</w:t>
      </w:r>
      <w:r w:rsidR="00003F39">
        <w:rPr>
          <w:rFonts w:ascii="Helvetica" w:hAnsi="Helvetica" w:cs="Helvetica"/>
        </w:rPr>
        <w:t>en and trading</w:t>
      </w:r>
      <w:r w:rsidRPr="008353E1">
        <w:rPr>
          <w:rFonts w:ascii="Helvetica" w:hAnsi="Helvetica" w:cs="Helvetica"/>
        </w:rPr>
        <w:t>.</w:t>
      </w:r>
      <w:r w:rsidR="00F50290">
        <w:rPr>
          <w:rFonts w:ascii="Helvetica" w:hAnsi="Helvetica" w:cs="Helvetica"/>
        </w:rPr>
        <w:t xml:space="preserve"> </w:t>
      </w:r>
      <w:r w:rsidR="00F50290" w:rsidRPr="00F50290">
        <w:rPr>
          <w:rFonts w:ascii="Helvetica" w:hAnsi="Helvetica" w:cs="Helvetica"/>
        </w:rPr>
        <w:t>Alternatively, the Department will accept email notification confirming the pharmacy has legally transferred to the applicant pharmacist.</w:t>
      </w:r>
    </w:p>
    <w:p w14:paraId="2AE15403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Delegate’s decision.</w:t>
      </w:r>
    </w:p>
    <w:p w14:paraId="2160BB0D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sends advice of: </w:t>
      </w:r>
    </w:p>
    <w:p w14:paraId="16F4B1E6" w14:textId="77777777" w:rsidR="00974D10" w:rsidRPr="008353E1" w:rsidRDefault="00974D10" w:rsidP="00974D10">
      <w:pPr>
        <w:pStyle w:val="Default"/>
        <w:numPr>
          <w:ilvl w:val="3"/>
          <w:numId w:val="11"/>
        </w:numPr>
        <w:tabs>
          <w:tab w:val="left" w:pos="306"/>
        </w:tabs>
        <w:spacing w:after="44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new approval and certificate to the application contact (letter via email); and </w:t>
      </w:r>
    </w:p>
    <w:p w14:paraId="445985AB" w14:textId="77777777" w:rsidR="00974D10" w:rsidRPr="008353E1" w:rsidRDefault="00974D10" w:rsidP="00C83238">
      <w:pPr>
        <w:pStyle w:val="Default"/>
        <w:numPr>
          <w:ilvl w:val="3"/>
          <w:numId w:val="11"/>
        </w:numPr>
        <w:tabs>
          <w:tab w:val="left" w:pos="306"/>
        </w:tabs>
        <w:spacing w:after="160"/>
        <w:ind w:left="251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cancellation of previous approval to the nominee of the former owner(s) (letter via email). </w:t>
      </w:r>
    </w:p>
    <w:p w14:paraId="3969C50B" w14:textId="77777777" w:rsidR="00974D10" w:rsidRPr="008353E1" w:rsidRDefault="00974D10" w:rsidP="00C83238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  <w:i/>
        </w:rPr>
      </w:pPr>
      <w:r w:rsidRPr="008353E1">
        <w:rPr>
          <w:rFonts w:ascii="Helvetica" w:hAnsi="Helvetica" w:cs="Helvetica"/>
          <w:i/>
        </w:rPr>
        <w:t>Incomplete application: minor omissions</w:t>
      </w:r>
    </w:p>
    <w:p w14:paraId="29B8FB42" w14:textId="77777777" w:rsidR="00C83238" w:rsidRPr="008353E1" w:rsidRDefault="00C83238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Department emails/telephones the application contact to request required information and inform them how the information should be submitted.</w:t>
      </w:r>
    </w:p>
    <w:p w14:paraId="388BD8A9" w14:textId="77777777" w:rsidR="00974D10" w:rsidRPr="008353E1" w:rsidRDefault="00C83238" w:rsidP="001927E3">
      <w:pPr>
        <w:pStyle w:val="Default"/>
        <w:numPr>
          <w:ilvl w:val="2"/>
          <w:numId w:val="1"/>
        </w:numPr>
        <w:tabs>
          <w:tab w:val="left" w:pos="447"/>
        </w:tabs>
        <w:spacing w:after="16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applicant provides the required information and the application moves to step 4(a) above.</w:t>
      </w:r>
    </w:p>
    <w:p w14:paraId="6803A262" w14:textId="77777777" w:rsidR="00C83238" w:rsidRPr="008353E1" w:rsidRDefault="00C83238" w:rsidP="00C83238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  <w:i/>
        </w:rPr>
      </w:pPr>
      <w:r w:rsidRPr="008353E1">
        <w:rPr>
          <w:rFonts w:ascii="Helvetica" w:hAnsi="Helvetica" w:cs="Helvetica"/>
          <w:i/>
        </w:rPr>
        <w:t>Incomplete application: major omissions and inconsistencies</w:t>
      </w:r>
    </w:p>
    <w:p w14:paraId="6E798561" w14:textId="77777777" w:rsidR="00C83238" w:rsidRPr="008353E1" w:rsidRDefault="00C83238" w:rsidP="001927E3">
      <w:pPr>
        <w:pStyle w:val="Default"/>
        <w:numPr>
          <w:ilvl w:val="2"/>
          <w:numId w:val="1"/>
        </w:numPr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application is deemed invalid and rejected. </w:t>
      </w:r>
    </w:p>
    <w:p w14:paraId="46FEDD23" w14:textId="77777777" w:rsidR="00C83238" w:rsidRPr="008353E1" w:rsidRDefault="00C83238" w:rsidP="001927E3">
      <w:pPr>
        <w:pStyle w:val="Default"/>
        <w:numPr>
          <w:ilvl w:val="2"/>
          <w:numId w:val="1"/>
        </w:numPr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emails the application contact to advise the reasons and that a new application should be submitted. </w:t>
      </w:r>
    </w:p>
    <w:p w14:paraId="3A766E24" w14:textId="77777777" w:rsidR="00C83238" w:rsidRPr="008353E1" w:rsidRDefault="00C83238" w:rsidP="001927E3">
      <w:pPr>
        <w:pStyle w:val="Default"/>
        <w:numPr>
          <w:ilvl w:val="2"/>
          <w:numId w:val="1"/>
        </w:numPr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process restarts from the date the application is resubmitted (step 2 above).</w:t>
      </w:r>
    </w:p>
    <w:p w14:paraId="6C6C4087" w14:textId="0B128A69" w:rsidR="00462DF5" w:rsidRDefault="00462DF5" w:rsidP="00462DF5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lastRenderedPageBreak/>
        <w:t>*</w:t>
      </w:r>
      <w:r w:rsidRPr="008353E1">
        <w:rPr>
          <w:rFonts w:ascii="Helvetica" w:hAnsi="Helvetica" w:cs="Helvetica"/>
        </w:rPr>
        <w:tab/>
        <w:t xml:space="preserve">First time users of the </w:t>
      </w:r>
      <w:r w:rsidR="0046599D">
        <w:rPr>
          <w:rFonts w:ascii="Helvetica" w:hAnsi="Helvetica" w:cs="Helvetica"/>
        </w:rPr>
        <w:t>PBS Approved Suppliers Portal</w:t>
      </w:r>
      <w:r w:rsidRPr="008353E1">
        <w:rPr>
          <w:rFonts w:ascii="Helvetica" w:hAnsi="Helvetica" w:cs="Helvetica"/>
        </w:rPr>
        <w:t xml:space="preserve"> will be required to register with a valid AUSkey. Instructions on how to obtain an AUSkey are available from the </w:t>
      </w:r>
      <w:hyperlink r:id="rId7" w:history="1">
        <w:r w:rsidRPr="008353E1">
          <w:rPr>
            <w:rStyle w:val="Hyperlink"/>
            <w:rFonts w:ascii="Helvetica" w:hAnsi="Helvetica" w:cs="Helvetica"/>
          </w:rPr>
          <w:t>Australian Business Register website</w:t>
        </w:r>
      </w:hyperlink>
      <w:r w:rsidRPr="008353E1">
        <w:rPr>
          <w:rFonts w:ascii="Helvetica" w:hAnsi="Helvetica" w:cs="Helvetica"/>
        </w:rPr>
        <w:t xml:space="preserve">. </w:t>
      </w:r>
    </w:p>
    <w:p w14:paraId="0FF47900" w14:textId="77777777" w:rsidR="00F50290" w:rsidRPr="008353E1" w:rsidRDefault="00F50290" w:rsidP="00462DF5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</w:p>
    <w:p w14:paraId="30D2B584" w14:textId="04CDADA7" w:rsidR="00462DF5" w:rsidRPr="008353E1" w:rsidRDefault="00462DF5" w:rsidP="005A1143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**</w:t>
      </w:r>
      <w:r w:rsidRPr="008353E1">
        <w:rPr>
          <w:rFonts w:ascii="Helvetica" w:hAnsi="Helvetica" w:cs="Helvetica"/>
        </w:rPr>
        <w:tab/>
        <w:t>Instructions on how to register for</w:t>
      </w:r>
      <w:r w:rsidR="0046599D">
        <w:rPr>
          <w:rFonts w:ascii="Helvetica" w:hAnsi="Helvetica" w:cs="Helvetica"/>
        </w:rPr>
        <w:t xml:space="preserve">, </w:t>
      </w:r>
      <w:r w:rsidRPr="008353E1">
        <w:rPr>
          <w:rFonts w:ascii="Helvetica" w:hAnsi="Helvetica" w:cs="Helvetica"/>
        </w:rPr>
        <w:t>and submit an application via</w:t>
      </w:r>
      <w:r w:rsidR="0046599D">
        <w:rPr>
          <w:rFonts w:ascii="Helvetica" w:hAnsi="Helvetica" w:cs="Helvetica"/>
        </w:rPr>
        <w:t>,</w:t>
      </w:r>
      <w:r w:rsidRPr="008353E1">
        <w:rPr>
          <w:rFonts w:ascii="Helvetica" w:hAnsi="Helvetica" w:cs="Helvetica"/>
        </w:rPr>
        <w:t xml:space="preserve"> the </w:t>
      </w:r>
      <w:r w:rsidR="0046599D">
        <w:rPr>
          <w:rFonts w:ascii="Helvetica" w:hAnsi="Helvetica" w:cs="Helvetica"/>
        </w:rPr>
        <w:t>PBS Approved Su</w:t>
      </w:r>
      <w:bookmarkStart w:id="0" w:name="_GoBack"/>
      <w:bookmarkEnd w:id="0"/>
      <w:r w:rsidR="0046599D">
        <w:rPr>
          <w:rFonts w:ascii="Helvetica" w:hAnsi="Helvetica" w:cs="Helvetica"/>
        </w:rPr>
        <w:t>ppliers Portal</w:t>
      </w:r>
      <w:r w:rsidRPr="008353E1">
        <w:rPr>
          <w:rFonts w:ascii="Helvetica" w:hAnsi="Helvetica" w:cs="Helvetica"/>
        </w:rPr>
        <w:t xml:space="preserve"> are available from the Department’s website at </w:t>
      </w:r>
      <w:hyperlink r:id="rId8" w:anchor="6" w:history="1">
        <w:r w:rsidRPr="008353E1">
          <w:rPr>
            <w:rStyle w:val="Hyperlink"/>
            <w:rFonts w:ascii="Helvetica" w:hAnsi="Helvetica" w:cs="Helvetica"/>
          </w:rPr>
          <w:t>PBS Approved Suppliers</w:t>
        </w:r>
      </w:hyperlink>
      <w:r w:rsidRPr="008353E1">
        <w:rPr>
          <w:rFonts w:ascii="Helvetica" w:hAnsi="Helvetica" w:cs="Helvetica"/>
        </w:rPr>
        <w:t>.</w:t>
      </w:r>
    </w:p>
    <w:sectPr w:rsidR="00462DF5" w:rsidRPr="008353E1" w:rsidSect="00F50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B9D8" w14:textId="77777777" w:rsidR="00121750" w:rsidRDefault="00121750" w:rsidP="00121750">
      <w:pPr>
        <w:spacing w:after="0" w:line="240" w:lineRule="auto"/>
      </w:pPr>
      <w:r>
        <w:separator/>
      </w:r>
    </w:p>
  </w:endnote>
  <w:endnote w:type="continuationSeparator" w:id="0">
    <w:p w14:paraId="41523E55" w14:textId="77777777" w:rsidR="00121750" w:rsidRDefault="00121750" w:rsidP="001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000D" w14:textId="77777777" w:rsidR="00946370" w:rsidRDefault="00946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96BD" w14:textId="77777777" w:rsidR="00946370" w:rsidRDefault="00946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D355" w14:textId="77777777" w:rsidR="00946370" w:rsidRDefault="0094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5280" w14:textId="77777777" w:rsidR="00121750" w:rsidRDefault="00121750" w:rsidP="00121750">
      <w:pPr>
        <w:spacing w:after="0" w:line="240" w:lineRule="auto"/>
      </w:pPr>
      <w:r>
        <w:separator/>
      </w:r>
    </w:p>
  </w:footnote>
  <w:footnote w:type="continuationSeparator" w:id="0">
    <w:p w14:paraId="00C5370A" w14:textId="77777777" w:rsidR="00121750" w:rsidRDefault="00121750" w:rsidP="0012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0E7A" w14:textId="77777777" w:rsidR="00946370" w:rsidRDefault="00946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B51A" w14:textId="77777777" w:rsidR="00946370" w:rsidRDefault="00946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9FC0D" w14:textId="77777777" w:rsidR="00946370" w:rsidRDefault="0094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D2"/>
    <w:multiLevelType w:val="hybridMultilevel"/>
    <w:tmpl w:val="D2020CAC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31DA3DDE"/>
    <w:multiLevelType w:val="hybridMultilevel"/>
    <w:tmpl w:val="7CB820CC"/>
    <w:lvl w:ilvl="0" w:tplc="1E18BF4C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10177"/>
    <w:multiLevelType w:val="hybridMultilevel"/>
    <w:tmpl w:val="C10445F8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F9F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134C0"/>
    <w:multiLevelType w:val="hybridMultilevel"/>
    <w:tmpl w:val="D130A40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5DF5"/>
    <w:multiLevelType w:val="hybridMultilevel"/>
    <w:tmpl w:val="9A5C6B76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9DD"/>
    <w:multiLevelType w:val="hybridMultilevel"/>
    <w:tmpl w:val="2BD63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C3BCE"/>
    <w:multiLevelType w:val="hybridMultilevel"/>
    <w:tmpl w:val="142063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D28A9D8C">
      <w:numFmt w:val="bullet"/>
      <w:lvlText w:val="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1A55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405CE"/>
    <w:multiLevelType w:val="hybridMultilevel"/>
    <w:tmpl w:val="EC16C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70B66"/>
    <w:multiLevelType w:val="hybridMultilevel"/>
    <w:tmpl w:val="E1BC7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lvl w:ilvl="0" w:tplc="0C09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D28A9D8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5"/>
    <w:rsid w:val="00003F39"/>
    <w:rsid w:val="00121750"/>
    <w:rsid w:val="00155C5E"/>
    <w:rsid w:val="001744AF"/>
    <w:rsid w:val="001927E3"/>
    <w:rsid w:val="002066D1"/>
    <w:rsid w:val="00261FC5"/>
    <w:rsid w:val="00280050"/>
    <w:rsid w:val="002D2F57"/>
    <w:rsid w:val="0039694D"/>
    <w:rsid w:val="00462DF5"/>
    <w:rsid w:val="0046599D"/>
    <w:rsid w:val="004C7413"/>
    <w:rsid w:val="005337CC"/>
    <w:rsid w:val="005A1143"/>
    <w:rsid w:val="005E3F55"/>
    <w:rsid w:val="007B1D6D"/>
    <w:rsid w:val="008353E1"/>
    <w:rsid w:val="00946370"/>
    <w:rsid w:val="00974D10"/>
    <w:rsid w:val="00C76DA7"/>
    <w:rsid w:val="00C83238"/>
    <w:rsid w:val="00D0550B"/>
    <w:rsid w:val="00D26F6A"/>
    <w:rsid w:val="00DC6012"/>
    <w:rsid w:val="00DE2F25"/>
    <w:rsid w:val="00DE3711"/>
    <w:rsid w:val="00E472AC"/>
    <w:rsid w:val="00F14D6C"/>
    <w:rsid w:val="00F50290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F12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4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2F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50"/>
  </w:style>
  <w:style w:type="paragraph" w:styleId="Footer">
    <w:name w:val="footer"/>
    <w:basedOn w:val="Normal"/>
    <w:link w:val="Foot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50"/>
  </w:style>
  <w:style w:type="paragraph" w:styleId="BalloonText">
    <w:name w:val="Balloon Text"/>
    <w:basedOn w:val="Normal"/>
    <w:link w:val="BalloonTextChar"/>
    <w:uiPriority w:val="99"/>
    <w:semiHidden/>
    <w:unhideWhenUsed/>
    <w:rsid w:val="0020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internet/main/publishing.nsf/Content/pharmaceutical-benefits-scheme-approved-supplier-administrative-functions-frequently-asked-ques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br.gov.au/AUSke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2019-03-05T22:32:00Z</dcterms:created>
  <dcterms:modified xsi:type="dcterms:W3CDTF">2019-10-10T05:53:00Z</dcterms:modified>
</cp:coreProperties>
</file>