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4E" w14:textId="77777777" w:rsidR="00456232" w:rsidRPr="007B27BE" w:rsidRDefault="00456232" w:rsidP="00456232">
      <w:pPr>
        <w:pStyle w:val="Title"/>
      </w:pPr>
      <w:r w:rsidRPr="007B27BE">
        <w:t xml:space="preserve">Technical supplement - COVID-19 Australia: Epidemiology reporting </w:t>
      </w:r>
    </w:p>
    <w:p w14:paraId="395DDEFB" w14:textId="77777777" w:rsidR="001E4DF2" w:rsidRDefault="001E4DF2" w:rsidP="00456232">
      <w:pPr>
        <w:pStyle w:val="Subtitle"/>
        <w:rPr>
          <w:rFonts w:eastAsia="Times New Roman"/>
        </w:rPr>
      </w:pPr>
      <w:r>
        <w:rPr>
          <w:rFonts w:eastAsia="Times New Roman"/>
        </w:rPr>
        <w:t xml:space="preserve">Last updated 22 February 2022 </w:t>
      </w:r>
    </w:p>
    <w:p w14:paraId="61401D9F" w14:textId="77777777" w:rsidR="001E4DF2" w:rsidRDefault="001E4DF2" w:rsidP="001E4DF2">
      <w:r>
        <w:t xml:space="preserve">COVID-19 National Incident Room Surveillance Team </w:t>
      </w:r>
    </w:p>
    <w:p w14:paraId="73BD3FD0" w14:textId="77777777" w:rsidR="001E4DF2" w:rsidRPr="001E4DF2" w:rsidRDefault="001E4DF2" w:rsidP="001E4DF2">
      <w:pPr>
        <w:pStyle w:val="Heading1"/>
      </w:pPr>
      <w:r w:rsidRPr="001E4DF2">
        <w:t xml:space="preserve">Summary </w:t>
      </w:r>
    </w:p>
    <w:p w14:paraId="3E4613B6" w14:textId="77777777" w:rsidR="001E4DF2" w:rsidRDefault="001E4DF2" w:rsidP="001E4DF2">
      <w:r>
        <w:t xml:space="preserve">This supplement to the series of regular Australian coronavirus disease 2019 (COVID-19) epidemiological reports describes the technical background to the surveillance data reported through Communicable Diseases Network Australia (CDNA) as part of the </w:t>
      </w:r>
      <w:proofErr w:type="gramStart"/>
      <w:r>
        <w:t>nationally-coordinated</w:t>
      </w:r>
      <w:proofErr w:type="gramEnd"/>
      <w:r>
        <w:t xml:space="preserve"> response to COVID-19. </w:t>
      </w:r>
    </w:p>
    <w:p w14:paraId="216EFE6B" w14:textId="77777777" w:rsidR="001E4DF2" w:rsidRPr="001E4DF2" w:rsidRDefault="001E4DF2" w:rsidP="001E4DF2">
      <w:pPr>
        <w:pStyle w:val="Heading1"/>
      </w:pPr>
      <w:r w:rsidRPr="001E4DF2">
        <w:t xml:space="preserve">Background </w:t>
      </w:r>
    </w:p>
    <w:p w14:paraId="3A23056B" w14:textId="3C0489EE" w:rsidR="001E4DF2" w:rsidRDefault="001E4DF2" w:rsidP="001E4DF2">
      <w:r>
        <w:t>Coronavirus disease 19 (COVID-19), caused by the novel severe acute respiratory syndrome coronavirus 2 (SARS-CoV-2), was first identified in humans in Wuhan, China, in December 2019. The disease subsequently spread rapidly, leading to a global pandemic.</w:t>
      </w:r>
      <w:r>
        <w:rPr>
          <w:vertAlign w:val="superscript"/>
        </w:rPr>
        <w:t>1</w:t>
      </w:r>
      <w:r>
        <w:t xml:space="preserve"> The predominant modes of transmission for COVID-19 are through direct or close contact with an infected person via respiratory droplets, or indirectly via contact with contaminated fomites.</w:t>
      </w:r>
      <w:r>
        <w:rPr>
          <w:vertAlign w:val="superscript"/>
        </w:rPr>
        <w:t>2</w:t>
      </w:r>
      <w:r>
        <w:t xml:space="preserve"> The median incubation period of COVID-19 is 5–6 days, ranging from 1 to 14 days.</w:t>
      </w:r>
      <w:r>
        <w:rPr>
          <w:vertAlign w:val="superscript"/>
        </w:rPr>
        <w:t>3,4</w:t>
      </w:r>
      <w:r>
        <w:t xml:space="preserve"> The infectious period remains uncertain; however, it is estimated to be from 48 hours before symptoms develop until two weeks after symptom onset.</w:t>
      </w:r>
      <w:r>
        <w:rPr>
          <w:vertAlign w:val="superscript"/>
        </w:rPr>
        <w:t>3,5</w:t>
      </w:r>
      <w:r>
        <w:t xml:space="preserve"> The predominant symptoms reported in COVID-19 cases are cough, sore throat, fatigue, runny nose and fever.</w:t>
      </w:r>
      <w:r>
        <w:rPr>
          <w:vertAlign w:val="superscript"/>
        </w:rPr>
        <w:t>6</w:t>
      </w:r>
      <w:r>
        <w:t xml:space="preserve"> The majority of cases recover from the disease without clinical intervention; however, approximately 20% of global cases result in more severe outcomes, such as shortness of breath and pneumonia, necessitating hospitalisation and the requirement of additional oxygen or ventilation.</w:t>
      </w:r>
      <w:r>
        <w:rPr>
          <w:vertAlign w:val="superscript"/>
        </w:rPr>
        <w:t>7,8</w:t>
      </w:r>
      <w:r>
        <w:t xml:space="preserve"> Severe or fatal outcomes are generally more common among elderly cases or those with comorbid conditions.</w:t>
      </w:r>
      <w:r>
        <w:rPr>
          <w:vertAlign w:val="superscript"/>
        </w:rPr>
        <w:t>8</w:t>
      </w:r>
      <w:r>
        <w:t xml:space="preserve"> A visual depiction of the severity spectrum of COVID-19, and of the data sources that we use in this report to measure aspects of severity, is provided in Figure</w:t>
      </w:r>
      <w:r w:rsidR="00C03D55">
        <w:t> </w:t>
      </w:r>
      <w:r>
        <w:t>1.</w:t>
      </w:r>
    </w:p>
    <w:p w14:paraId="13D85810" w14:textId="77777777" w:rsidR="001A0398" w:rsidRDefault="001A0398">
      <w:pPr>
        <w:rPr>
          <w:rStyle w:val="Strong"/>
          <w:bCs w:val="0"/>
        </w:rPr>
      </w:pPr>
      <w:r>
        <w:rPr>
          <w:rStyle w:val="Strong"/>
          <w:b w:val="0"/>
          <w:bCs w:val="0"/>
        </w:rPr>
        <w:br w:type="page"/>
      </w:r>
    </w:p>
    <w:p w14:paraId="6C93BCB3" w14:textId="039F5DA6" w:rsidR="001E4DF2" w:rsidRPr="001E4DF2" w:rsidRDefault="001E4DF2" w:rsidP="001E4DF2">
      <w:pPr>
        <w:pStyle w:val="CDIFigures"/>
      </w:pPr>
      <w:r w:rsidRPr="001E4DF2">
        <w:rPr>
          <w:rStyle w:val="Strong"/>
          <w:b/>
          <w:bCs w:val="0"/>
        </w:rPr>
        <w:lastRenderedPageBreak/>
        <w:t>Figure 1: Severity spectrum of COVID-19 cases and data sources used to measure severity in Australia</w:t>
      </w:r>
    </w:p>
    <w:p w14:paraId="7ABB0F44" w14:textId="77777777" w:rsidR="001E4DF2" w:rsidRDefault="001E4DF2">
      <w:pPr>
        <w:rPr>
          <w:rFonts w:eastAsia="Times New Roman"/>
        </w:rPr>
      </w:pPr>
      <w:r>
        <w:rPr>
          <w:rFonts w:eastAsia="Times New Roman"/>
          <w:noProof/>
        </w:rPr>
        <w:drawing>
          <wp:inline distT="0" distB="0" distL="0" distR="0" wp14:anchorId="00D87A27" wp14:editId="3CF77DB0">
            <wp:extent cx="6625424" cy="4039893"/>
            <wp:effectExtent l="0" t="0" r="4445" b="0"/>
            <wp:docPr id="2" name="Picture 2"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3980" cy="4045110"/>
                    </a:xfrm>
                    <a:prstGeom prst="rect">
                      <a:avLst/>
                    </a:prstGeom>
                  </pic:spPr>
                </pic:pic>
              </a:graphicData>
            </a:graphic>
          </wp:inline>
        </w:drawing>
      </w:r>
    </w:p>
    <w:p w14:paraId="7545A7CC" w14:textId="77777777" w:rsidR="001E4DF2" w:rsidRPr="001E4DF2" w:rsidRDefault="001E4DF2" w:rsidP="001E4DF2">
      <w:pPr>
        <w:pStyle w:val="Heading1"/>
      </w:pPr>
      <w:r w:rsidRPr="001E4DF2">
        <w:t xml:space="preserve">Data sources </w:t>
      </w:r>
    </w:p>
    <w:p w14:paraId="0C43464E" w14:textId="77777777" w:rsidR="001E4DF2" w:rsidRPr="001E4DF2" w:rsidRDefault="001E4DF2" w:rsidP="001E4DF2">
      <w:pPr>
        <w:pStyle w:val="Heading2"/>
      </w:pPr>
      <w:r w:rsidRPr="001E4DF2">
        <w:t xml:space="preserve">Notifications to health departments </w:t>
      </w:r>
    </w:p>
    <w:p w14:paraId="0BECE84B" w14:textId="19FD1293" w:rsidR="001E4DF2" w:rsidRDefault="001E4DF2" w:rsidP="001E4DF2">
      <w:proofErr w:type="gramStart"/>
      <w:r>
        <w:t>The majority of</w:t>
      </w:r>
      <w:proofErr w:type="gramEnd"/>
      <w:r>
        <w:t xml:space="preserve"> data presented in the latest COVID-19 epidemiology report were derived from the National Interoperable Notifiable Diseases Surveillance System (NINDSS)</w:t>
      </w:r>
      <w:r w:rsidR="00D77EEE">
        <w:t>.</w:t>
      </w:r>
      <w:r w:rsidR="003D0BBF">
        <w:rPr>
          <w:rStyle w:val="FootnoteReference"/>
        </w:rPr>
        <w:footnoteReference w:id="2"/>
      </w:r>
      <w:r>
        <w:t xml:space="preserve"> COVID-19 is a notifiable disease under public health legislation in all states and territories and is listed on the National Notifiable Diseases List under the </w:t>
      </w:r>
      <w:r w:rsidRPr="003A56D1">
        <w:rPr>
          <w:rStyle w:val="Emphasis"/>
          <w:b w:val="0"/>
          <w:bCs w:val="0"/>
        </w:rPr>
        <w:t>National Health Security Act (2007)</w:t>
      </w:r>
      <w:r>
        <w:t>.</w:t>
      </w:r>
      <w:r>
        <w:rPr>
          <w:vertAlign w:val="superscript"/>
        </w:rPr>
        <w:t>9</w:t>
      </w:r>
      <w:r>
        <w:t xml:space="preserve"> Accordingly, all jurisdictions report confirmed and probable cases of COVID-19 through the NINDSS. The national case definition for surveillance is available in the COVID-19 Series of National Guidelines.</w:t>
      </w:r>
      <w:r>
        <w:rPr>
          <w:vertAlign w:val="superscript"/>
        </w:rPr>
        <w:t>10</w:t>
      </w:r>
      <w:r>
        <w:t xml:space="preserve"> Currently, the case data provided in the reporting series includes confirmed cases only, </w:t>
      </w:r>
      <w:proofErr w:type="gramStart"/>
      <w:r>
        <w:t>i.e.</w:t>
      </w:r>
      <w:proofErr w:type="gramEnd"/>
      <w:r>
        <w:t xml:space="preserve"> those tested using polymerase chain reaction (PCR) tests. Probable cases that are positive using rapid antigen tests (RAT) only are not included. Case data on probable RAT cases are not available in NINDSS. </w:t>
      </w:r>
    </w:p>
    <w:p w14:paraId="1A984370" w14:textId="77777777" w:rsidR="001E4DF2" w:rsidRDefault="001E4DF2" w:rsidP="001E4DF2">
      <w:r>
        <w:t xml:space="preserve">Due to the dynamic nature of the NINDSS, numbers presented in the latest report may be subject to revision and may vary from numbers previously reported and from case notifications released by states and territories. Case numbers for the most recent dates of illness onset may be subject to revision, due to reporting delays. Data for the latest report, unless otherwise indicated, have been extracted from the NINDSS within 48 hours after the end of the reporting period, for notifications received up to the end of the reporting period. </w:t>
      </w:r>
    </w:p>
    <w:p w14:paraId="5E5FF062" w14:textId="77777777" w:rsidR="001E4DF2" w:rsidRPr="001E4DF2" w:rsidRDefault="001E4DF2" w:rsidP="001E4DF2">
      <w:pPr>
        <w:pStyle w:val="Heading2"/>
      </w:pPr>
      <w:r w:rsidRPr="001E4DF2">
        <w:t xml:space="preserve">Acute respiratory illness </w:t>
      </w:r>
    </w:p>
    <w:p w14:paraId="2195D17F" w14:textId="77777777" w:rsidR="001E4DF2" w:rsidRDefault="001E4DF2" w:rsidP="001E4DF2">
      <w:r>
        <w:t xml:space="preserve">We report data from surveillance systems that monitor trends in the number of people reporting symptoms of mild respiratory illnesses in the community and in primary care settings. These systems gathered information from across </w:t>
      </w:r>
      <w:r>
        <w:lastRenderedPageBreak/>
        <w:t xml:space="preserve">Australia and include the online </w:t>
      </w:r>
      <w:proofErr w:type="spellStart"/>
      <w:r>
        <w:t>FluTracking</w:t>
      </w:r>
      <w:proofErr w:type="spellEnd"/>
      <w:r>
        <w:t xml:space="preserve"> syndromic surveillance system,</w:t>
      </w:r>
      <w:r>
        <w:rPr>
          <w:vertAlign w:val="superscript"/>
        </w:rPr>
        <w:t>11</w:t>
      </w:r>
      <w:r>
        <w:t xml:space="preserve"> the Commonwealth General Practice (GP) Respiratory Clinics, and the Australian Sentinel Practice Research Network (ASPREN) and Victorian Sentinel Practice Influenza Network (</w:t>
      </w:r>
      <w:proofErr w:type="spellStart"/>
      <w:r>
        <w:t>VicSPIN</w:t>
      </w:r>
      <w:proofErr w:type="spellEnd"/>
      <w:r>
        <w:t xml:space="preserve">) GP sentinel surveillance systems. These systems capture data on any respiratory illness experienced by participants, including pathogens such as SARS-CoV-2. </w:t>
      </w:r>
    </w:p>
    <w:p w14:paraId="0B92AC36" w14:textId="77777777" w:rsidR="001E4DF2" w:rsidRPr="001E4DF2" w:rsidRDefault="001E4DF2" w:rsidP="001E4DF2">
      <w:pPr>
        <w:pStyle w:val="Heading2"/>
      </w:pPr>
      <w:r w:rsidRPr="001E4DF2">
        <w:t xml:space="preserve">Hospitalisations </w:t>
      </w:r>
    </w:p>
    <w:p w14:paraId="14E55A81" w14:textId="77777777" w:rsidR="001E4DF2" w:rsidRDefault="001E4DF2" w:rsidP="001E4DF2">
      <w:r>
        <w:t xml:space="preserve">To report on COVID-19 disease severity, we draw on hospitalisations and intensive care unit (ICU) admissions data provided from two sentinel surveillance systems: </w:t>
      </w:r>
      <w:proofErr w:type="gramStart"/>
      <w:r>
        <w:t>the</w:t>
      </w:r>
      <w:proofErr w:type="gramEnd"/>
      <w:r>
        <w:t xml:space="preserve"> Influenza Complications Alert Network (FluCAN)</w:t>
      </w:r>
      <w:r>
        <w:rPr>
          <w:vertAlign w:val="superscript"/>
        </w:rPr>
        <w:t>12</w:t>
      </w:r>
      <w:r>
        <w:t xml:space="preserve"> and the Short Period Incidence Study of Severe Acute Respiratory Infection Study (SPRINT-SARI),</w:t>
      </w:r>
      <w:r>
        <w:rPr>
          <w:vertAlign w:val="superscript"/>
        </w:rPr>
        <w:t>13</w:t>
      </w:r>
      <w:r>
        <w:t xml:space="preserve"> as well as NINDSS. FluCAN is a real-time hospital sentinel surveillance system for acute respiratory disease requiring hospitalisation. Established to monitor for seasonal influenza, FluCAN has been modified to include surveillance for COVID-19. Participating sites collect detailed clinical and laboratory information from all hospitalised patients with a confirmed diagnosis of COVID-19. SPRINT-SARI is a sentinel system that collects detailed data on the characteristics and outcomes of and interventions for patients admitted to ICUs or High Dependency Units (HDUs) with COVID-19 at participating sites across Australia. Data presented from both sentinel surveillance systems may be subject to retrospective adjustments following publication. Data on hospitalisations and ICU admissions from the NINDSS is also presented in the report. This is based on data from jurisdictions which have reliable data across both hospital and ICU data fields, and which do not routinely hospitalise cases for isolation purposes. </w:t>
      </w:r>
    </w:p>
    <w:p w14:paraId="3DCDB3E5" w14:textId="77777777" w:rsidR="001E4DF2" w:rsidRPr="001E4DF2" w:rsidRDefault="001E4DF2" w:rsidP="001E4DF2">
      <w:pPr>
        <w:pStyle w:val="Heading2"/>
      </w:pPr>
      <w:r w:rsidRPr="001E4DF2">
        <w:t xml:space="preserve">Viral genomics </w:t>
      </w:r>
    </w:p>
    <w:p w14:paraId="177B3867" w14:textId="4C07936E" w:rsidR="001E4DF2" w:rsidRDefault="001E4DF2" w:rsidP="001E4DF2">
      <w:r>
        <w:t xml:space="preserve">From Report 36 onwards, information on viral genomics is included in every second </w:t>
      </w:r>
      <w:proofErr w:type="gramStart"/>
      <w:r>
        <w:t>report, and</w:t>
      </w:r>
      <w:proofErr w:type="gramEnd"/>
      <w:r>
        <w:t xml:space="preserve"> has been included in all reports from Report 57 onwards. This information is provided by the National Analysis Team of the national pathogen genomic sequence and analysis platform, </w:t>
      </w:r>
      <w:proofErr w:type="spellStart"/>
      <w:r>
        <w:t>AusTrakka</w:t>
      </w:r>
      <w:proofErr w:type="spellEnd"/>
      <w:r w:rsidR="00D77EEE">
        <w:t>,</w:t>
      </w:r>
      <w:r w:rsidR="00725F73">
        <w:rPr>
          <w:rStyle w:val="FootnoteReference"/>
        </w:rPr>
        <w:footnoteReference w:id="3"/>
      </w:r>
      <w:r>
        <w:t xml:space="preserve"> and from jurisdictional pathogen sequencing laboratories. Reporting periods are based on sample collection date, not date of sequencing. </w:t>
      </w:r>
    </w:p>
    <w:p w14:paraId="6D2F8395" w14:textId="77777777" w:rsidR="001E4DF2" w:rsidRDefault="001E4DF2" w:rsidP="001E4DF2">
      <w:r>
        <w:t xml:space="preserve">Not all samples will be suitable for sequencing, especially those samples with low amounts of viral nucleic acid (i.e., high RT-qPCR cycle thresholds) such as those collected from cases late in their disease episode (common in returned travellers) or those subjected to storage at suboptimal conditions (causing RNA degradation). Quality control for consensus sequences included: requiring ≥ 90% of the viral genome to be recovered; &lt; 50 single nucleotide polymorphisms (SNPs) from the MN9008947.3 reference genome; and &lt; 50 ambiguous or missing bases. Sequences with 50–90% genome recovery are assessed for potential inclusion. </w:t>
      </w:r>
    </w:p>
    <w:p w14:paraId="52D7E5DC" w14:textId="77777777" w:rsidR="001E4DF2" w:rsidRDefault="001E4DF2" w:rsidP="001E4DF2">
      <w:r>
        <w:t>Report 35 and earlier used data from the Global Initiative on Sharing All Influenza Data (GISAID), an international virus sequence database that provides open access to SARS-CoV-2 genomic data.</w:t>
      </w:r>
      <w:r w:rsidRPr="00D77EEE">
        <w:rPr>
          <w:vertAlign w:val="superscript"/>
        </w:rPr>
        <w:t>14</w:t>
      </w:r>
      <w:r>
        <w:t xml:space="preserve"> </w:t>
      </w:r>
    </w:p>
    <w:p w14:paraId="3F9A1724" w14:textId="77777777" w:rsidR="001E4DF2" w:rsidRDefault="001E4DF2" w:rsidP="001E4DF2">
      <w:r>
        <w:t>SARS-CoV-2 genomic lineages are defined using the Phylogenetic Assignment of Named Global Outbreak (PANGO) lineage nomenclature.</w:t>
      </w:r>
      <w:r w:rsidRPr="00D77EEE">
        <w:rPr>
          <w:vertAlign w:val="superscript"/>
        </w:rPr>
        <w:t>15</w:t>
      </w:r>
      <w:r>
        <w:t xml:space="preserve"> Lineages reflect evolutionary relationships and are hierarchically organised following the phylogenetic tree structure. The PANGO designation describes major lineages with letters of the alphabet (A, B, etc.), with sub- and sub-sub-lineages numbered and separated by dots (“.”). Thus, sub-lineage B.1.1 is contained with sub-lineage B.1, which is itself part of lineage B. The numbers at the same level are not indicative of a phylogenetic relationship. As such, B.1.1 is not necessarily more closely related to B.1.2 than to B.1.5. However, all the sub-lineages under B.1 are closer to each other than they are to B.2, for example. Only three sub-levels are permitted under this nomenclature system and sub-lineages under this will be assigned the next available alpha symbol (</w:t>
      </w:r>
      <w:proofErr w:type="gramStart"/>
      <w:r>
        <w:t>e.g.</w:t>
      </w:r>
      <w:proofErr w:type="gramEnd"/>
      <w:r>
        <w:t xml:space="preserve"> B.1.1.25.1 was reassigned to D.2 and B.1.1.28.1 was reassigned to P.1). </w:t>
      </w:r>
    </w:p>
    <w:p w14:paraId="1576A157" w14:textId="1F30BB21" w:rsidR="001E4DF2" w:rsidRDefault="001E4DF2" w:rsidP="001E4DF2">
      <w:r>
        <w:lastRenderedPageBreak/>
        <w:t>Lineage classifications can change retrospectively as new sequences are added and lineages diversify over time.</w:t>
      </w:r>
      <w:r w:rsidR="00D10C6F">
        <w:rPr>
          <w:rStyle w:val="FootnoteReference"/>
        </w:rPr>
        <w:footnoteReference w:id="4"/>
      </w:r>
      <w:r>
        <w:t xml:space="preserve"> Sequences that have been assigned higher-level lineage designations (</w:t>
      </w:r>
      <w:proofErr w:type="gramStart"/>
      <w:r>
        <w:t>e.g.</w:t>
      </w:r>
      <w:proofErr w:type="gramEnd"/>
      <w:r>
        <w:t xml:space="preserve"> B or B.1), where there are sub-lineages defined within the dataset (e.g. B.1.1, B.1.23 or B.1.1.25), may indicate a poor quality sequence; for example, a lower proportion of the genome recovered. Poor sequence quality can lead to uncertainty about the placement of the sequence into sub-lineages. </w:t>
      </w:r>
    </w:p>
    <w:p w14:paraId="0318313E" w14:textId="77777777" w:rsidR="001E4DF2" w:rsidRDefault="001E4DF2" w:rsidP="001E4DF2">
      <w:r>
        <w:t>A “variant” refers to a set of viruses with the same or similar patterns of mutations, some of which are associated with increased transmissibility or virulence, or decreased effectiveness of public health measures. These are labelled as “variants of concern” (VOCs) and given specific identifiers (</w:t>
      </w:r>
      <w:proofErr w:type="gramStart"/>
      <w:r>
        <w:t>e.g.</w:t>
      </w:r>
      <w:proofErr w:type="gramEnd"/>
      <w:r>
        <w:t xml:space="preserve"> VOC-202012/01). However, as VOCs are usually defined not just by the unique set of mutations, but by membership of distinct lineage groups, they are often referred to by the lineage name. </w:t>
      </w:r>
      <w:proofErr w:type="gramStart"/>
      <w:r>
        <w:t>So</w:t>
      </w:r>
      <w:proofErr w:type="gramEnd"/>
      <w:r>
        <w:t xml:space="preserve"> VOC-202012/01 is often just referred to as B.1.1.7. It should be noted, though, that the lineage naming convention refers to evolutionary aspects of the virus, while the VOC-ID also </w:t>
      </w:r>
      <w:proofErr w:type="gramStart"/>
      <w:r>
        <w:t>takes into account</w:t>
      </w:r>
      <w:proofErr w:type="gramEnd"/>
      <w:r>
        <w:t xml:space="preserve"> the epidemiological behaviour of the virus. </w:t>
      </w:r>
    </w:p>
    <w:p w14:paraId="5225D88F" w14:textId="77777777" w:rsidR="001E4DF2" w:rsidRDefault="001E4DF2" w:rsidP="001E4DF2">
      <w:r>
        <w:t>On 31 May 2021 the WHO announced new nomenclature for key variants using letters of the Greek alphabet.</w:t>
      </w:r>
      <w:r>
        <w:rPr>
          <w:vertAlign w:val="superscript"/>
        </w:rPr>
        <w:t>16</w:t>
      </w:r>
      <w:r>
        <w:t xml:space="preserve"> This system was developed to assist with public discussion of </w:t>
      </w:r>
      <w:proofErr w:type="gramStart"/>
      <w:r>
        <w:t>variants, and</w:t>
      </w:r>
      <w:proofErr w:type="gramEnd"/>
      <w:r>
        <w:t xml:space="preserve"> aimed to provide labels that were easier to pronounce and non-stigmatising. The VOCs monitored in this reporting series will henceforth note both the genetic Pangolin lineage and the WHO label (if named). </w:t>
      </w:r>
    </w:p>
    <w:p w14:paraId="10F1D945" w14:textId="77777777" w:rsidR="001E4DF2" w:rsidRDefault="001E4DF2" w:rsidP="001E4DF2">
      <w:r>
        <w:t xml:space="preserve">The current VOCs reported in Australia are B.1.617.2 (Delta) (VOC-21APR-02) and the B.1.1.529 (Omicron) lineage. </w:t>
      </w:r>
    </w:p>
    <w:p w14:paraId="2928E517" w14:textId="77777777" w:rsidR="001E4DF2" w:rsidRDefault="001E4DF2" w:rsidP="001E4DF2">
      <w:r>
        <w:t xml:space="preserve">On 27 September 2021, Kappa (B.1.617.1), which had been classified as a VOC in Australia, was reclassified as a “variant of interest” (VOI) by the Communicable Diseases Genomics Network (CDGN) VOC Taskforce. On 31 January 2022, the CDGN VOC Taskforce demoted three further </w:t>
      </w:r>
      <w:proofErr w:type="gramStart"/>
      <w:r>
        <w:t>previously-designated</w:t>
      </w:r>
      <w:proofErr w:type="gramEnd"/>
      <w:r>
        <w:t xml:space="preserve"> VOCs (Alpha (B.1.1.7); Beta (B.1.351) and Gamma (P.1)) due to the sustained absence of any cases in Australia, and very limited prevalence globally. These variants are no longer included in this reporting series. </w:t>
      </w:r>
    </w:p>
    <w:p w14:paraId="20E95F9A" w14:textId="77777777" w:rsidR="001E4DF2" w:rsidRPr="001E4DF2" w:rsidRDefault="001E4DF2" w:rsidP="001E4DF2">
      <w:pPr>
        <w:pStyle w:val="Heading3"/>
      </w:pPr>
      <w:r w:rsidRPr="001E4DF2">
        <w:t xml:space="preserve">B.1.617.2 (VOC-21APR-02, Delta) </w:t>
      </w:r>
    </w:p>
    <w:p w14:paraId="34054BEC" w14:textId="77777777" w:rsidR="001E4DF2" w:rsidRDefault="001E4DF2" w:rsidP="001E4DF2">
      <w:r>
        <w:t>Lineage B.1.617 emerged from India in October 2020.</w:t>
      </w:r>
      <w:r>
        <w:rPr>
          <w:vertAlign w:val="superscript"/>
        </w:rPr>
        <w:t>17</w:t>
      </w:r>
      <w:r>
        <w:t xml:space="preserve"> Ongoing genomic surveillance has broken B.1.617 into three sub-lineages—B.1.617.1, B.1.617.2 and B.1.617.3—which vary in mutations in the spike protein.</w:t>
      </w:r>
      <w:r>
        <w:rPr>
          <w:vertAlign w:val="superscript"/>
        </w:rPr>
        <w:t>18</w:t>
      </w:r>
      <w:r>
        <w:t xml:space="preserve"> B.1.617.2 has been a particularly successful sub-lineage, with evidence of B.1.617.2 being associated with higher transmissibility and increased risk of hospitalisation.</w:t>
      </w:r>
      <w:r>
        <w:rPr>
          <w:vertAlign w:val="superscript"/>
        </w:rPr>
        <w:t>19</w:t>
      </w:r>
      <w:r>
        <w:t xml:space="preserve"> </w:t>
      </w:r>
    </w:p>
    <w:p w14:paraId="4A3E6052" w14:textId="77777777" w:rsidR="001E4DF2" w:rsidRDefault="001E4DF2" w:rsidP="001E4DF2">
      <w:r>
        <w:t>Public Health England and the World Health Organization (WHO) declared the B.1.617 lineage (PHE designed B.1.617.2 only) as a Variant of Concern on 7 May 2021 and 10 May 2021 respectively.</w:t>
      </w:r>
      <w:r>
        <w:rPr>
          <w:vertAlign w:val="superscript"/>
        </w:rPr>
        <w:t>19,20</w:t>
      </w:r>
      <w:r>
        <w:t xml:space="preserve"> With the declaration of new VOC nomenclature by the WHO on 1 June 2021,</w:t>
      </w:r>
      <w:r>
        <w:rPr>
          <w:vertAlign w:val="superscript"/>
        </w:rPr>
        <w:t>21</w:t>
      </w:r>
      <w:r>
        <w:t xml:space="preserve"> only the B.1.617.2 lineage was retained as a VOC by the WHO. In Australia, B.1.617.1 (VUI-21APR-01, Kappa) was classified as a VOC until 27 September 2021, when it was demoted to a VOI by the CDGN VOC taskforce. </w:t>
      </w:r>
    </w:p>
    <w:p w14:paraId="5601FD7C" w14:textId="77777777" w:rsidR="001E4DF2" w:rsidRDefault="001E4DF2" w:rsidP="001E4DF2">
      <w:r>
        <w:t xml:space="preserve">There are now more than a hundred B.1.617.2 sub-lineages defined: AY.1 to AY.127. There are also </w:t>
      </w:r>
      <w:proofErr w:type="gramStart"/>
      <w:r>
        <w:t>a number of</w:t>
      </w:r>
      <w:proofErr w:type="gramEnd"/>
      <w:r>
        <w:t xml:space="preserve"> sub-lineages within the sub-lineages, as well as a few sub-lineages within those in turn. There has been no reported biological difference of the sub-lineages, and these are more reflective of geographical epidemiology. There appears to be some instability in the lineage assignment, with the sub-lineages being sensitive to the proportion of the genome recovered. Therefore, the CDGN VOC Taskforce has decided to report all sub-lineage samples as just B.1.617.2, Delta. </w:t>
      </w:r>
    </w:p>
    <w:p w14:paraId="256653C4" w14:textId="77777777" w:rsidR="001E4DF2" w:rsidRDefault="001E4DF2" w:rsidP="001E4DF2">
      <w:r>
        <w:t xml:space="preserve">The B.1.617.1 and B.1.617.3 lineages continue to be monitored by </w:t>
      </w:r>
      <w:proofErr w:type="spellStart"/>
      <w:proofErr w:type="gramStart"/>
      <w:r>
        <w:t>AusTrakka</w:t>
      </w:r>
      <w:proofErr w:type="spellEnd"/>
      <w:r>
        <w:t>, but</w:t>
      </w:r>
      <w:proofErr w:type="gramEnd"/>
      <w:r>
        <w:t xml:space="preserve"> are not reported. </w:t>
      </w:r>
    </w:p>
    <w:p w14:paraId="61A8583F" w14:textId="77777777" w:rsidR="001E4DF2" w:rsidRPr="001E4DF2" w:rsidRDefault="001E4DF2" w:rsidP="001E4DF2">
      <w:pPr>
        <w:pStyle w:val="Heading3"/>
      </w:pPr>
      <w:r w:rsidRPr="001E4DF2">
        <w:lastRenderedPageBreak/>
        <w:t xml:space="preserve">B.1.1.529 (Omicron) </w:t>
      </w:r>
    </w:p>
    <w:p w14:paraId="124E651F" w14:textId="77777777" w:rsidR="001E4DF2" w:rsidRDefault="001E4DF2" w:rsidP="001E4DF2">
      <w:r>
        <w:t>Lineage B.1.1.529 emerged in South Africa in November 2021,</w:t>
      </w:r>
      <w:r>
        <w:rPr>
          <w:vertAlign w:val="superscript"/>
        </w:rPr>
        <w:t>22</w:t>
      </w:r>
      <w:r>
        <w:t xml:space="preserve"> and was designated a VOC by the WHO on 26 November 2021.</w:t>
      </w:r>
      <w:r>
        <w:rPr>
          <w:vertAlign w:val="superscript"/>
        </w:rPr>
        <w:t>23</w:t>
      </w:r>
      <w:r>
        <w:t xml:space="preserve"> This VOC contains more than 30 mutations in the spike protein, many of which have been seen in other VOCs. </w:t>
      </w:r>
    </w:p>
    <w:p w14:paraId="648A0FE1" w14:textId="77777777" w:rsidR="001E4DF2" w:rsidRDefault="001E4DF2" w:rsidP="001E4DF2">
      <w:r>
        <w:t xml:space="preserve">Prevalence of Omicron rose sharply in South Africa, with the variant rapidly spreading internationally and accounting for an increasing proportion of cases in several countries. There is evidence of higher transmissibility, including higher rates of re-infections. There are some indications of decreased rates of severe clinical disease, but it is unclear whether this can be attributed to biological characteristics of the Omicron </w:t>
      </w:r>
      <w:proofErr w:type="gramStart"/>
      <w:r>
        <w:t>strain, or</w:t>
      </w:r>
      <w:proofErr w:type="gramEnd"/>
      <w:r>
        <w:t xml:space="preserve"> is a consequence of vaccination or prior infection. Some of the mutations are predicted to affect its susceptibility to neutralising antibodies, innate immunity, and monoclonal antibody therapies. </w:t>
      </w:r>
    </w:p>
    <w:p w14:paraId="1F901EBB" w14:textId="77777777" w:rsidR="001E4DF2" w:rsidRDefault="001E4DF2" w:rsidP="001E4DF2">
      <w:r>
        <w:t xml:space="preserve">Significant community transmission in Australia means that there is a possibility for further evolution of Omicron (B.1.1.529 and </w:t>
      </w:r>
      <w:proofErr w:type="gramStart"/>
      <w:r>
        <w:t>BA.*</w:t>
      </w:r>
      <w:proofErr w:type="gramEnd"/>
      <w:r>
        <w:t xml:space="preserve"> sub-lineages) within Australia. The evolution will be very closely monitored by the CDGN VOC Working Group, through representative sequencing of Omicron cases in Australia for genomic surveillance via the CDGN and </w:t>
      </w:r>
      <w:proofErr w:type="spellStart"/>
      <w:r>
        <w:t>AusTrakka</w:t>
      </w:r>
      <w:proofErr w:type="spellEnd"/>
      <w:r>
        <w:t xml:space="preserve">. </w:t>
      </w:r>
    </w:p>
    <w:p w14:paraId="76F7A64D" w14:textId="77777777" w:rsidR="001E4DF2" w:rsidRDefault="001E4DF2" w:rsidP="001E4DF2">
      <w:r>
        <w:t xml:space="preserve">To date, there have been three sub-lineages defined under B.1.1.529: BA.1, BA.2 and BA.3, and one sub-sub-lineage BA.1.1; all are designated Omicron. </w:t>
      </w:r>
    </w:p>
    <w:p w14:paraId="15B3C4EC" w14:textId="77777777" w:rsidR="001E4DF2" w:rsidRPr="001E4DF2" w:rsidRDefault="001E4DF2" w:rsidP="001E4DF2">
      <w:pPr>
        <w:pStyle w:val="Heading2"/>
      </w:pPr>
      <w:r w:rsidRPr="001E4DF2">
        <w:t xml:space="preserve">Testing data </w:t>
      </w:r>
    </w:p>
    <w:p w14:paraId="2C964968" w14:textId="77777777" w:rsidR="001E4DF2" w:rsidRDefault="001E4DF2" w:rsidP="001E4DF2">
      <w:r>
        <w:t xml:space="preserve">Testing data by demographic breakdown were reported on a weekly basis by jurisdictions. </w:t>
      </w:r>
    </w:p>
    <w:p w14:paraId="1C8AF30D" w14:textId="77777777" w:rsidR="001E4DF2" w:rsidRPr="001E4DF2" w:rsidRDefault="001E4DF2" w:rsidP="001E4DF2">
      <w:pPr>
        <w:pStyle w:val="Heading2"/>
      </w:pPr>
      <w:r w:rsidRPr="001E4DF2">
        <w:t xml:space="preserve">Denominators </w:t>
      </w:r>
    </w:p>
    <w:p w14:paraId="199AEC27" w14:textId="77777777" w:rsidR="001E4DF2" w:rsidRDefault="001E4DF2" w:rsidP="001E4DF2">
      <w:r>
        <w:t xml:space="preserve">Population data from the Australian Bureau of Statistics (ABS) Estimated Resident Population are used to estimate rates of infection by jurisdiction, age group, </w:t>
      </w:r>
      <w:proofErr w:type="gramStart"/>
      <w:r>
        <w:t>sex</w:t>
      </w:r>
      <w:proofErr w:type="gramEnd"/>
      <w:r>
        <w:t xml:space="preserve"> and Indigenous status. From Report 37 onwards, Estimated Resident Population data as </w:t>
      </w:r>
      <w:proofErr w:type="gramStart"/>
      <w:r>
        <w:t>at</w:t>
      </w:r>
      <w:proofErr w:type="gramEnd"/>
      <w:r>
        <w:t xml:space="preserve"> June 2020 is used. Previous reports used Estimated Resident Population data as </w:t>
      </w:r>
      <w:proofErr w:type="gramStart"/>
      <w:r>
        <w:t>at</w:t>
      </w:r>
      <w:proofErr w:type="gramEnd"/>
      <w:r>
        <w:t xml:space="preserve"> December 2019. </w:t>
      </w:r>
    </w:p>
    <w:p w14:paraId="67625102" w14:textId="77777777" w:rsidR="001E4DF2" w:rsidRPr="001E4DF2" w:rsidRDefault="001E4DF2" w:rsidP="001E4DF2">
      <w:pPr>
        <w:pStyle w:val="Heading2"/>
      </w:pPr>
      <w:r w:rsidRPr="001E4DF2">
        <w:t xml:space="preserve">International </w:t>
      </w:r>
    </w:p>
    <w:p w14:paraId="41CAA673" w14:textId="77777777" w:rsidR="001E4DF2" w:rsidRDefault="001E4DF2" w:rsidP="001E4DF2">
      <w:r>
        <w:t>All data reported in the international section were extracted from the World Health Organization (WHO) Dashboard on the last day of the reporting period unless otherwise specified.</w:t>
      </w:r>
      <w:r>
        <w:rPr>
          <w:vertAlign w:val="superscript"/>
        </w:rPr>
        <w:t>24</w:t>
      </w:r>
      <w:r>
        <w:t xml:space="preserve"> </w:t>
      </w:r>
    </w:p>
    <w:p w14:paraId="166052C3" w14:textId="77777777" w:rsidR="001E4DF2" w:rsidRPr="001E4DF2" w:rsidRDefault="001E4DF2" w:rsidP="001E4DF2">
      <w:pPr>
        <w:pStyle w:val="Heading1"/>
      </w:pPr>
      <w:r w:rsidRPr="001E4DF2">
        <w:t xml:space="preserve">Definitions </w:t>
      </w:r>
    </w:p>
    <w:p w14:paraId="0853B32C" w14:textId="77777777" w:rsidR="001E4DF2" w:rsidRDefault="001E4DF2" w:rsidP="001E4DF2">
      <w:r>
        <w:rPr>
          <w:rStyle w:val="Strong"/>
        </w:rPr>
        <w:t>“Cluster”</w:t>
      </w:r>
      <w:r>
        <w:t xml:space="preserve"> in relation to COVID-19 refers to two or more cases (who do not reside in the same household) that are epidemiologically related in time, </w:t>
      </w:r>
      <w:proofErr w:type="gramStart"/>
      <w:r>
        <w:t>place</w:t>
      </w:r>
      <w:proofErr w:type="gramEnd"/>
      <w:r>
        <w:t xml:space="preserve"> or person where a common source (such as an event or within a community) of infection is suspected but not yet established. </w:t>
      </w:r>
    </w:p>
    <w:p w14:paraId="0E0D5888" w14:textId="77777777" w:rsidR="001E4DF2" w:rsidRDefault="001E4DF2" w:rsidP="001E4DF2">
      <w:r>
        <w:rPr>
          <w:rStyle w:val="Strong"/>
        </w:rPr>
        <w:t xml:space="preserve">“COVID-19” </w:t>
      </w:r>
      <w:r>
        <w:t xml:space="preserve">is the disease caused by a novel coronavirus—SARS-CoV-2—that emerged in China in late 2019. ‘CO’ stands for corona-, ‘V’ stands for virus, ‘ID’ stands for infectious disease, and ‘-19’ refers to the year that this disease was first reported. </w:t>
      </w:r>
    </w:p>
    <w:p w14:paraId="310A2011" w14:textId="77777777" w:rsidR="001E4DF2" w:rsidRDefault="001E4DF2" w:rsidP="001E4DF2">
      <w:r>
        <w:t>“</w:t>
      </w:r>
      <w:r>
        <w:rPr>
          <w:rStyle w:val="Strong"/>
        </w:rPr>
        <w:t>COVID-19 associated death</w:t>
      </w:r>
      <w:r>
        <w:t>” is defined for surveillance purposes as a death in a probable or confirmed COVID-19 case, unless there is a clear alternative cause of death that cannot be related to COVID-19 (</w:t>
      </w:r>
      <w:proofErr w:type="gramStart"/>
      <w:r>
        <w:t>e.g.</w:t>
      </w:r>
      <w:proofErr w:type="gramEnd"/>
      <w:r>
        <w:t xml:space="preserve"> trauma).</w:t>
      </w:r>
      <w:r>
        <w:rPr>
          <w:vertAlign w:val="superscript"/>
        </w:rPr>
        <w:t>25</w:t>
      </w:r>
      <w:r>
        <w:t xml:space="preserve"> There should be no period of complete recovery from COVID-19 between illness and death. Where a Coroner’s report is available, these findings are to be observed. </w:t>
      </w:r>
    </w:p>
    <w:p w14:paraId="6C7CEAAA" w14:textId="77777777" w:rsidR="001E4DF2" w:rsidRDefault="001E4DF2" w:rsidP="001E4DF2">
      <w:r>
        <w:rPr>
          <w:rStyle w:val="Strong"/>
        </w:rPr>
        <w:lastRenderedPageBreak/>
        <w:t>“Diagnosis date”</w:t>
      </w:r>
      <w:r>
        <w:t xml:space="preserve"> is derived from data collected by the NINDSS and represents the reported true onset of disease date. If unknown, the earliest of specimen collection date, notification date or notification received date is used. </w:t>
      </w:r>
    </w:p>
    <w:p w14:paraId="0F436855" w14:textId="77777777" w:rsidR="001E4DF2" w:rsidRDefault="001E4DF2" w:rsidP="001E4DF2">
      <w:r>
        <w:rPr>
          <w:rStyle w:val="Strong"/>
        </w:rPr>
        <w:t>“Initial investigation”</w:t>
      </w:r>
      <w:r>
        <w:t xml:space="preserve"> refers to the process of determining whether an infection was acquired locally (within Australia) or overseas. Cases under initial investigation have yet to be classified as locally or overseas acquired. </w:t>
      </w:r>
    </w:p>
    <w:p w14:paraId="28064000" w14:textId="77777777" w:rsidR="001E4DF2" w:rsidRDefault="001E4DF2" w:rsidP="001E4DF2">
      <w:r>
        <w:t>“</w:t>
      </w:r>
      <w:r>
        <w:rPr>
          <w:rStyle w:val="Strong"/>
        </w:rPr>
        <w:t>Notification received date”</w:t>
      </w:r>
      <w:r>
        <w:t xml:space="preserve"> is reported in the NINDSS and represents the date the notification of the disease was first received by the communicable disease section of the health authority. As notification can only occur after testing is completed and information processed, counts for a defined period will vary according to the date type used. </w:t>
      </w:r>
    </w:p>
    <w:p w14:paraId="12D1FF8B" w14:textId="77777777" w:rsidR="001E4DF2" w:rsidRDefault="001E4DF2" w:rsidP="001E4DF2">
      <w:r>
        <w:rPr>
          <w:rStyle w:val="Strong"/>
        </w:rPr>
        <w:t>“Ongoing investigation”</w:t>
      </w:r>
      <w:r>
        <w:t xml:space="preserve"> refers to the process of determining the definitive source of infection for </w:t>
      </w:r>
      <w:proofErr w:type="gramStart"/>
      <w:r>
        <w:t>locally-acquired</w:t>
      </w:r>
      <w:proofErr w:type="gramEnd"/>
      <w:r>
        <w:t xml:space="preserve"> cases. Cases under ongoing investigation are known to be locally acquired but require further follow-up to determine the precise source of infection. </w:t>
      </w:r>
    </w:p>
    <w:p w14:paraId="1D452C2C" w14:textId="77777777" w:rsidR="001E4DF2" w:rsidRDefault="001E4DF2" w:rsidP="001E4DF2">
      <w:r>
        <w:t>“</w:t>
      </w:r>
      <w:r>
        <w:rPr>
          <w:rStyle w:val="Strong"/>
        </w:rPr>
        <w:t>Outbreak”</w:t>
      </w:r>
      <w:r>
        <w:t xml:space="preserve"> in relation to COVID-19 refers to two or more cases (who do not reside in the same household) among a specific group of people and/or over a specific </w:t>
      </w:r>
      <w:proofErr w:type="gramStart"/>
      <w:r>
        <w:t>period of time</w:t>
      </w:r>
      <w:proofErr w:type="gramEnd"/>
      <w:r>
        <w:t xml:space="preserve"> where illness is associated with a common source (such as an event or within a community). Some states and territories may report a single case associated with a residential aged care facility as an outbreak. </w:t>
      </w:r>
    </w:p>
    <w:p w14:paraId="01BC6210" w14:textId="77777777" w:rsidR="001E4DF2" w:rsidRDefault="001E4DF2" w:rsidP="001E4DF2">
      <w:r>
        <w:rPr>
          <w:rStyle w:val="Strong"/>
        </w:rPr>
        <w:t>“SARS-CoV-2”</w:t>
      </w:r>
      <w:r>
        <w:t xml:space="preserve"> is the virus that causes the disease COVID-19. It is a </w:t>
      </w:r>
      <w:proofErr w:type="spellStart"/>
      <w:r>
        <w:t>betacoronavirus</w:t>
      </w:r>
      <w:proofErr w:type="spellEnd"/>
      <w:r>
        <w:t xml:space="preserve"> genetically related to the 2003 Severe acute respiratory syndrome coronavirus (SARS-</w:t>
      </w:r>
      <w:proofErr w:type="spellStart"/>
      <w:r>
        <w:t>CoV</w:t>
      </w:r>
      <w:proofErr w:type="spellEnd"/>
      <w:r>
        <w:t xml:space="preserve">). </w:t>
      </w:r>
    </w:p>
    <w:p w14:paraId="330ABDA1" w14:textId="77777777" w:rsidR="001E4DF2" w:rsidRDefault="001E4DF2" w:rsidP="001E4DF2">
      <w:r>
        <w:rPr>
          <w:rStyle w:val="Strong"/>
        </w:rPr>
        <w:t>“True onset date”</w:t>
      </w:r>
      <w:r>
        <w:t xml:space="preserve"> (previously “date of illness onset”) is reported in the NINDSS and represents the earliest date the case exhibited symptoms. </w:t>
      </w:r>
    </w:p>
    <w:p w14:paraId="3E199DB6" w14:textId="77777777" w:rsidR="001E4DF2" w:rsidRPr="001E4DF2" w:rsidRDefault="001E4DF2" w:rsidP="001E4DF2">
      <w:pPr>
        <w:pStyle w:val="Heading1"/>
      </w:pPr>
      <w:r w:rsidRPr="001E4DF2">
        <w:t xml:space="preserve">Acknowledgements </w:t>
      </w:r>
    </w:p>
    <w:p w14:paraId="77C41FE3" w14:textId="77777777" w:rsidR="001E4DF2" w:rsidRDefault="001E4DF2" w:rsidP="001E4DF2">
      <w:r>
        <w:t xml:space="preserve">This supplement describes the technical background to the surveillance data reported through Communicable Diseases Network Australia (CDNA) as part of the </w:t>
      </w:r>
      <w:proofErr w:type="gramStart"/>
      <w:r>
        <w:t>nationally-coordinated</w:t>
      </w:r>
      <w:proofErr w:type="gramEnd"/>
      <w:r>
        <w:t xml:space="preserve"> response to COVID-19. 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ASPREN, </w:t>
      </w:r>
      <w:proofErr w:type="spellStart"/>
      <w:r>
        <w:t>Flutracking</w:t>
      </w:r>
      <w:proofErr w:type="spellEnd"/>
      <w:r>
        <w:t xml:space="preserve">, SPRINT-SARI, FluCAN, Communicable Disease Genomics Network, </w:t>
      </w:r>
      <w:proofErr w:type="spellStart"/>
      <w:r>
        <w:t>AusTrakka</w:t>
      </w:r>
      <w:proofErr w:type="spellEnd"/>
      <w:r>
        <w:t xml:space="preserve"> and jurisdictional sequencing laboratories. </w:t>
      </w:r>
    </w:p>
    <w:p w14:paraId="3A084053" w14:textId="77777777" w:rsidR="001E4DF2" w:rsidRPr="001E4DF2" w:rsidRDefault="001E4DF2" w:rsidP="001E4DF2">
      <w:pPr>
        <w:pStyle w:val="Heading1"/>
      </w:pPr>
      <w:r w:rsidRPr="001E4DF2">
        <w:t xml:space="preserve">Author details </w:t>
      </w:r>
    </w:p>
    <w:p w14:paraId="6998898A" w14:textId="77777777" w:rsidR="001E4DF2" w:rsidRPr="001E4DF2" w:rsidRDefault="001E4DF2" w:rsidP="001E4DF2">
      <w:pPr>
        <w:pStyle w:val="Heading2"/>
      </w:pPr>
      <w:r w:rsidRPr="001E4DF2">
        <w:t xml:space="preserve">Corresponding author </w:t>
      </w:r>
    </w:p>
    <w:p w14:paraId="1BE167B9" w14:textId="77777777" w:rsidR="001E4DF2" w:rsidRDefault="001E4DF2" w:rsidP="001E4DF2">
      <w:r>
        <w:t>COVID-19 National Incident Room Surveillance Team Australian Government Department of Health, GPO Box 9484, MDP 14, Canberra, ACT 2601. Email: epi.coronavirus@health.gov.au</w:t>
      </w:r>
    </w:p>
    <w:p w14:paraId="2518FECC" w14:textId="77777777" w:rsidR="001A0398" w:rsidRDefault="001A0398">
      <w:pPr>
        <w:rPr>
          <w:rFonts w:asciiTheme="majorHAnsi" w:eastAsiaTheme="majorEastAsia" w:hAnsiTheme="majorHAnsi" w:cstheme="majorBidi"/>
          <w:b/>
          <w:bCs/>
          <w:sz w:val="32"/>
          <w:szCs w:val="28"/>
        </w:rPr>
      </w:pPr>
      <w:r>
        <w:br w:type="page"/>
      </w:r>
    </w:p>
    <w:p w14:paraId="3154EFF6" w14:textId="6DB71E79" w:rsidR="001E4DF2" w:rsidRPr="001E4DF2" w:rsidRDefault="001E4DF2" w:rsidP="001E4DF2">
      <w:pPr>
        <w:pStyle w:val="Heading1"/>
      </w:pPr>
      <w:r w:rsidRPr="001E4DF2">
        <w:lastRenderedPageBreak/>
        <w:t xml:space="preserve">References </w:t>
      </w:r>
    </w:p>
    <w:p w14:paraId="22867C59"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World Health Organization (WHO). Speeches detail: WHO Director-General’s opening remarks at the media briefing on COVID-19 - 11 March 2020. [Internet.] Geneva: WHO; 11 March 2020. Available from: https://www.who.int/dg/speeches/detail/who-director-general-s-opening-remarks-at-the-media-briefing-on-covid-19---11-march-2020. </w:t>
      </w:r>
    </w:p>
    <w:p w14:paraId="1C5D1CDB"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Transmission of SARS-CoV-2: implications for infection prevention precautions. Scientific brief. [Internet.] Geneva: WHO; 9 July 2020. [Accessed on 14 October 2020.] Available from: https://www.who.int/news-room/commentaries/detail/transmission-of-sars-cov-2-implications-for-infection-prevention-precautions. </w:t>
      </w:r>
    </w:p>
    <w:p w14:paraId="3B28ABB7"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McAloon C, Collins Á, Hunt K, Barber A, Byrne AW, Butler F et al. Incubation period of COVID-19: a rapid systematic review and meta-analysis of observational research. </w:t>
      </w:r>
      <w:r w:rsidRPr="003A56D1">
        <w:rPr>
          <w:rStyle w:val="Emphasis"/>
          <w:rFonts w:eastAsia="Times New Roman"/>
          <w:b w:val="0"/>
          <w:bCs w:val="0"/>
        </w:rPr>
        <w:t>BMJ Open</w:t>
      </w:r>
      <w:r w:rsidRPr="001E4DF2">
        <w:rPr>
          <w:rFonts w:eastAsia="Times New Roman"/>
        </w:rPr>
        <w:t xml:space="preserve">. 2020;10(8). </w:t>
      </w:r>
      <w:proofErr w:type="spellStart"/>
      <w:r w:rsidRPr="001E4DF2">
        <w:rPr>
          <w:rFonts w:eastAsia="Times New Roman"/>
        </w:rPr>
        <w:t>doi</w:t>
      </w:r>
      <w:proofErr w:type="spellEnd"/>
      <w:r w:rsidRPr="001E4DF2">
        <w:rPr>
          <w:rFonts w:eastAsia="Times New Roman"/>
        </w:rPr>
        <w:t xml:space="preserve">: https://doi.org/10.1136/bmjopen-2020-039652. </w:t>
      </w:r>
    </w:p>
    <w:p w14:paraId="22506120"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Australian Government Department of Health. Australian National Disease Surveillance Plan for COVID-19. [Internet.] Canberra: Australian Government Department of Health; 30 May 2020. Available from: https://www.health.gov.au/resources/publications/australian-national-disease-surveillance-plan-for-covid-19. </w:t>
      </w:r>
    </w:p>
    <w:p w14:paraId="00AAD3B5"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Yuan Z, Xiao Y, Dai Z, Huang J, Zhang Z, Chen Y. Modelling the effects of Wuhan’s lockdown during COVID-19, China. </w:t>
      </w:r>
      <w:r w:rsidRPr="003A56D1">
        <w:rPr>
          <w:rStyle w:val="Emphasis"/>
          <w:rFonts w:eastAsia="Times New Roman"/>
          <w:b w:val="0"/>
          <w:bCs w:val="0"/>
        </w:rPr>
        <w:t>Bull World Health Organ</w:t>
      </w:r>
      <w:r w:rsidRPr="001E4DF2">
        <w:rPr>
          <w:rFonts w:eastAsia="Times New Roman"/>
        </w:rPr>
        <w:t xml:space="preserve">. 2020;98(7):484–94. </w:t>
      </w:r>
    </w:p>
    <w:p w14:paraId="34887A61" w14:textId="77777777" w:rsidR="001E4DF2" w:rsidRPr="001E4DF2" w:rsidRDefault="001E4DF2" w:rsidP="001E4DF2">
      <w:pPr>
        <w:pStyle w:val="ListParagraph"/>
        <w:numPr>
          <w:ilvl w:val="0"/>
          <w:numId w:val="8"/>
        </w:numPr>
        <w:rPr>
          <w:rFonts w:eastAsia="Times New Roman"/>
        </w:rPr>
      </w:pPr>
      <w:proofErr w:type="spellStart"/>
      <w:r w:rsidRPr="001E4DF2">
        <w:rPr>
          <w:rFonts w:eastAsia="Times New Roman"/>
        </w:rPr>
        <w:t>Rothan</w:t>
      </w:r>
      <w:proofErr w:type="spellEnd"/>
      <w:r w:rsidRPr="001E4DF2">
        <w:rPr>
          <w:rFonts w:eastAsia="Times New Roman"/>
        </w:rPr>
        <w:t xml:space="preserve"> HA, </w:t>
      </w:r>
      <w:proofErr w:type="spellStart"/>
      <w:r w:rsidRPr="001E4DF2">
        <w:rPr>
          <w:rFonts w:eastAsia="Times New Roman"/>
        </w:rPr>
        <w:t>Byrareddy</w:t>
      </w:r>
      <w:proofErr w:type="spellEnd"/>
      <w:r w:rsidRPr="001E4DF2">
        <w:rPr>
          <w:rFonts w:eastAsia="Times New Roman"/>
        </w:rPr>
        <w:t xml:space="preserve"> SN. The epidemiology and pathogenesis of coronavirus disease (COVID-19) outbreak. </w:t>
      </w:r>
      <w:r w:rsidRPr="003A56D1">
        <w:rPr>
          <w:rStyle w:val="Emphasis"/>
          <w:rFonts w:eastAsia="Times New Roman"/>
          <w:b w:val="0"/>
          <w:bCs w:val="0"/>
        </w:rPr>
        <w:t xml:space="preserve">J </w:t>
      </w:r>
      <w:proofErr w:type="spellStart"/>
      <w:r w:rsidRPr="003A56D1">
        <w:rPr>
          <w:rStyle w:val="Emphasis"/>
          <w:rFonts w:eastAsia="Times New Roman"/>
          <w:b w:val="0"/>
          <w:bCs w:val="0"/>
        </w:rPr>
        <w:t>Autoimmun</w:t>
      </w:r>
      <w:proofErr w:type="spellEnd"/>
      <w:r w:rsidRPr="001E4DF2">
        <w:rPr>
          <w:rFonts w:eastAsia="Times New Roman"/>
        </w:rPr>
        <w:t xml:space="preserve">. 2020;109. </w:t>
      </w:r>
      <w:proofErr w:type="spellStart"/>
      <w:r w:rsidRPr="001E4DF2">
        <w:rPr>
          <w:rFonts w:eastAsia="Times New Roman"/>
        </w:rPr>
        <w:t>doi</w:t>
      </w:r>
      <w:proofErr w:type="spellEnd"/>
      <w:r w:rsidRPr="001E4DF2">
        <w:rPr>
          <w:rFonts w:eastAsia="Times New Roman"/>
        </w:rPr>
        <w:t xml:space="preserve">: https://doi.org/10.1016/j.jaut.2020.102433. </w:t>
      </w:r>
    </w:p>
    <w:p w14:paraId="72CBBAD8"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Hu Y, Sun J, Dai Z, Deng H, Li X, Huang Q et al. Prevalence and severity of corona virus disease 2019 (COVID-19): A systematic review and meta-analysis. </w:t>
      </w:r>
      <w:r w:rsidRPr="003A56D1">
        <w:rPr>
          <w:rStyle w:val="Emphasis"/>
          <w:rFonts w:eastAsia="Times New Roman"/>
          <w:b w:val="0"/>
          <w:bCs w:val="0"/>
        </w:rPr>
        <w:t xml:space="preserve">J Clin </w:t>
      </w:r>
      <w:proofErr w:type="spellStart"/>
      <w:r w:rsidRPr="003A56D1">
        <w:rPr>
          <w:rStyle w:val="Emphasis"/>
          <w:rFonts w:eastAsia="Times New Roman"/>
          <w:b w:val="0"/>
          <w:bCs w:val="0"/>
        </w:rPr>
        <w:t>Virol</w:t>
      </w:r>
      <w:proofErr w:type="spellEnd"/>
      <w:r w:rsidRPr="001E4DF2">
        <w:rPr>
          <w:rFonts w:eastAsia="Times New Roman"/>
        </w:rPr>
        <w:t xml:space="preserve">. 2020; 127. </w:t>
      </w:r>
      <w:proofErr w:type="spellStart"/>
      <w:r w:rsidRPr="001E4DF2">
        <w:rPr>
          <w:rFonts w:eastAsia="Times New Roman"/>
        </w:rPr>
        <w:t>doi</w:t>
      </w:r>
      <w:proofErr w:type="spellEnd"/>
      <w:r w:rsidRPr="001E4DF2">
        <w:rPr>
          <w:rFonts w:eastAsia="Times New Roman"/>
        </w:rPr>
        <w:t xml:space="preserve">: https://doi.org/10.1016/j.jcv.2020.104371. </w:t>
      </w:r>
    </w:p>
    <w:p w14:paraId="0CCBF37C"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w:t>
      </w:r>
      <w:r w:rsidRPr="003A56D1">
        <w:rPr>
          <w:rStyle w:val="Emphasis"/>
          <w:rFonts w:eastAsia="Times New Roman"/>
          <w:b w:val="0"/>
          <w:bCs w:val="0"/>
        </w:rPr>
        <w:t>Report of the WHO-China Joint Mission on Coronavirus Disease 2019 (COVID-19)</w:t>
      </w:r>
      <w:r w:rsidRPr="001E4DF2">
        <w:rPr>
          <w:rFonts w:eastAsia="Times New Roman"/>
        </w:rPr>
        <w:t xml:space="preserve">. Geneva: WHO; 2020. [Accessed on 14 October 2020.] Available from: https://www.who.int/docs/default-source/coronaviruse/who-china-joint-mission-on-covid-19-final-report.pdf. </w:t>
      </w:r>
    </w:p>
    <w:p w14:paraId="0748936C"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Australian Government Federal Register of Legislation. </w:t>
      </w:r>
      <w:r w:rsidRPr="003A56D1">
        <w:rPr>
          <w:rStyle w:val="Emphasis"/>
          <w:rFonts w:eastAsia="Times New Roman"/>
          <w:b w:val="0"/>
          <w:bCs w:val="0"/>
        </w:rPr>
        <w:t>National Health Security Act 2007</w:t>
      </w:r>
      <w:r w:rsidRPr="001E4DF2">
        <w:rPr>
          <w:rFonts w:eastAsia="Times New Roman"/>
        </w:rPr>
        <w:t xml:space="preserve">. No. 174, 2007. Compilation No. 15. [Legislation.] Canberra: Australian Government, Federal Register of Legislation; 19 July 2016. Available from: https://www.legislation.gov.au/Details/C2016C00847. </w:t>
      </w:r>
    </w:p>
    <w:p w14:paraId="064C52A1"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Australian Government Department of Health. </w:t>
      </w:r>
      <w:r w:rsidRPr="003A56D1">
        <w:rPr>
          <w:rStyle w:val="Emphasis"/>
          <w:rFonts w:eastAsia="Times New Roman"/>
          <w:b w:val="0"/>
          <w:bCs w:val="0"/>
        </w:rPr>
        <w:t>Coronavirus Disease 2019 (COVID-19): CDNA national guidelines for public health units</w:t>
      </w:r>
      <w:r w:rsidRPr="001E4DF2">
        <w:rPr>
          <w:rFonts w:eastAsia="Times New Roman"/>
        </w:rPr>
        <w:t xml:space="preserve">. Canberra: Australian Government Department of Health; 11 January 2021. [Accessed on 18 January 2021.] Available from: https://www1.health.gov.au/internet/main/publishing.nsf/Content/7A8654A8CB144F5FCA2584F8001F91E2/$File/COVID-19-SoNG-v4.1.pdf. </w:t>
      </w:r>
    </w:p>
    <w:p w14:paraId="390AAD66"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Dalton C, </w:t>
      </w:r>
      <w:proofErr w:type="spellStart"/>
      <w:r w:rsidRPr="001E4DF2">
        <w:rPr>
          <w:rFonts w:eastAsia="Times New Roman"/>
        </w:rPr>
        <w:t>Durrheim</w:t>
      </w:r>
      <w:proofErr w:type="spellEnd"/>
      <w:r w:rsidRPr="001E4DF2">
        <w:rPr>
          <w:rFonts w:eastAsia="Times New Roman"/>
        </w:rPr>
        <w:t xml:space="preserve"> D, </w:t>
      </w:r>
      <w:proofErr w:type="spellStart"/>
      <w:r w:rsidRPr="001E4DF2">
        <w:rPr>
          <w:rFonts w:eastAsia="Times New Roman"/>
        </w:rPr>
        <w:t>Fejsa</w:t>
      </w:r>
      <w:proofErr w:type="spellEnd"/>
      <w:r w:rsidRPr="001E4DF2">
        <w:rPr>
          <w:rFonts w:eastAsia="Times New Roman"/>
        </w:rPr>
        <w:t xml:space="preserve"> J, Francis L, Carlson S, </w:t>
      </w:r>
      <w:proofErr w:type="spellStart"/>
      <w:r w:rsidRPr="001E4DF2">
        <w:rPr>
          <w:rFonts w:eastAsia="Times New Roman"/>
        </w:rPr>
        <w:t>d’Espaignet</w:t>
      </w:r>
      <w:proofErr w:type="spellEnd"/>
      <w:r w:rsidRPr="001E4DF2">
        <w:rPr>
          <w:rFonts w:eastAsia="Times New Roman"/>
        </w:rPr>
        <w:t xml:space="preserve"> ET </w:t>
      </w:r>
      <w:proofErr w:type="spellStart"/>
      <w:r w:rsidRPr="001E4DF2">
        <w:rPr>
          <w:rFonts w:eastAsia="Times New Roman"/>
        </w:rPr>
        <w:t>et</w:t>
      </w:r>
      <w:proofErr w:type="spellEnd"/>
      <w:r w:rsidRPr="001E4DF2">
        <w:rPr>
          <w:rFonts w:eastAsia="Times New Roman"/>
        </w:rPr>
        <w:t xml:space="preserve"> al. </w:t>
      </w:r>
      <w:proofErr w:type="spellStart"/>
      <w:r w:rsidRPr="001E4DF2">
        <w:rPr>
          <w:rFonts w:eastAsia="Times New Roman"/>
        </w:rPr>
        <w:t>Flutracking</w:t>
      </w:r>
      <w:proofErr w:type="spellEnd"/>
      <w:r w:rsidRPr="001E4DF2">
        <w:rPr>
          <w:rFonts w:eastAsia="Times New Roman"/>
        </w:rPr>
        <w:t xml:space="preserve">: a weekly Australian community online survey of influenza-like illness in 2006, 2007 and 2008. </w:t>
      </w:r>
      <w:proofErr w:type="spellStart"/>
      <w:r w:rsidRPr="003A56D1">
        <w:rPr>
          <w:rStyle w:val="Emphasis"/>
          <w:rFonts w:eastAsia="Times New Roman"/>
          <w:b w:val="0"/>
          <w:bCs w:val="0"/>
        </w:rPr>
        <w:t>Commun</w:t>
      </w:r>
      <w:proofErr w:type="spellEnd"/>
      <w:r w:rsidRPr="003A56D1">
        <w:rPr>
          <w:rStyle w:val="Emphasis"/>
          <w:rFonts w:eastAsia="Times New Roman"/>
          <w:b w:val="0"/>
          <w:bCs w:val="0"/>
        </w:rPr>
        <w:t xml:space="preserve"> Dis </w:t>
      </w:r>
      <w:proofErr w:type="spellStart"/>
      <w:r w:rsidRPr="003A56D1">
        <w:rPr>
          <w:rStyle w:val="Emphasis"/>
          <w:rFonts w:eastAsia="Times New Roman"/>
          <w:b w:val="0"/>
          <w:bCs w:val="0"/>
        </w:rPr>
        <w:t>Intell</w:t>
      </w:r>
      <w:proofErr w:type="spellEnd"/>
      <w:r w:rsidRPr="003A56D1">
        <w:rPr>
          <w:rStyle w:val="Emphasis"/>
          <w:rFonts w:eastAsia="Times New Roman"/>
          <w:b w:val="0"/>
          <w:bCs w:val="0"/>
        </w:rPr>
        <w:t xml:space="preserve"> Q Rep</w:t>
      </w:r>
      <w:r w:rsidRPr="001E4DF2">
        <w:rPr>
          <w:rFonts w:eastAsia="Times New Roman"/>
        </w:rPr>
        <w:t xml:space="preserve">. 2009;33(3):316–22. </w:t>
      </w:r>
    </w:p>
    <w:p w14:paraId="69AB03C2"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Monash Health. FluCAN (Influenza surveillance): FluCAN (The Influenza Complications Alert Network) [Internet.] Melbourne: Monash Health; 2020. Available from: https://monashhealth.org/services/monash-infectious-diseases/research/influenza-research/flucan-influenza-surveillance-2/. </w:t>
      </w:r>
    </w:p>
    <w:p w14:paraId="60BC2448"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Australian and New Zealand Intensive Care Society (ANZICS). SPRINT-SARI: Short period incidence study of severe acute respiratory infection. [Internet.] Camberwell: ANZICS; 2020. Available from: https://www.anzics.com.au/current-active-endorsed-research/sprint-sari/. </w:t>
      </w:r>
    </w:p>
    <w:p w14:paraId="2CC8D332"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Global Initiative on Sharing All Influenza Data (GISAID). [Website.] Berlin: Federal Republic of Germany, Freunde von GISAID </w:t>
      </w:r>
      <w:proofErr w:type="spellStart"/>
      <w:r w:rsidRPr="001E4DF2">
        <w:rPr>
          <w:rFonts w:eastAsia="Times New Roman"/>
        </w:rPr>
        <w:t>e.V</w:t>
      </w:r>
      <w:proofErr w:type="spellEnd"/>
      <w:r w:rsidRPr="001E4DF2">
        <w:rPr>
          <w:rFonts w:eastAsia="Times New Roman"/>
        </w:rPr>
        <w:t xml:space="preserve">.; 2020. Available from: https://www.gisaid.org/. </w:t>
      </w:r>
    </w:p>
    <w:p w14:paraId="2F5AF45D" w14:textId="77777777" w:rsidR="001E4DF2" w:rsidRPr="001E4DF2" w:rsidRDefault="001E4DF2" w:rsidP="001E4DF2">
      <w:pPr>
        <w:pStyle w:val="ListParagraph"/>
        <w:numPr>
          <w:ilvl w:val="0"/>
          <w:numId w:val="8"/>
        </w:numPr>
        <w:rPr>
          <w:rFonts w:eastAsia="Times New Roman"/>
        </w:rPr>
      </w:pPr>
      <w:proofErr w:type="spellStart"/>
      <w:r w:rsidRPr="001E4DF2">
        <w:rPr>
          <w:rFonts w:eastAsia="Times New Roman"/>
        </w:rPr>
        <w:lastRenderedPageBreak/>
        <w:t>Rambaut</w:t>
      </w:r>
      <w:proofErr w:type="spellEnd"/>
      <w:r w:rsidRPr="001E4DF2">
        <w:rPr>
          <w:rFonts w:eastAsia="Times New Roman"/>
        </w:rPr>
        <w:t xml:space="preserve"> A, </w:t>
      </w:r>
      <w:proofErr w:type="spellStart"/>
      <w:r w:rsidRPr="001E4DF2">
        <w:rPr>
          <w:rFonts w:eastAsia="Times New Roman"/>
        </w:rPr>
        <w:t>Homles</w:t>
      </w:r>
      <w:proofErr w:type="spellEnd"/>
      <w:r w:rsidRPr="001E4DF2">
        <w:rPr>
          <w:rFonts w:eastAsia="Times New Roman"/>
        </w:rPr>
        <w:t xml:space="preserve"> EC, O’Toole Á, Hill V, </w:t>
      </w:r>
      <w:proofErr w:type="spellStart"/>
      <w:r w:rsidRPr="001E4DF2">
        <w:rPr>
          <w:rFonts w:eastAsia="Times New Roman"/>
        </w:rPr>
        <w:t>McCrone</w:t>
      </w:r>
      <w:proofErr w:type="spellEnd"/>
      <w:r w:rsidRPr="001E4DF2">
        <w:rPr>
          <w:rFonts w:eastAsia="Times New Roman"/>
        </w:rPr>
        <w:t xml:space="preserve"> JT, </w:t>
      </w:r>
      <w:proofErr w:type="spellStart"/>
      <w:r w:rsidRPr="001E4DF2">
        <w:rPr>
          <w:rFonts w:eastAsia="Times New Roman"/>
        </w:rPr>
        <w:t>Ruis</w:t>
      </w:r>
      <w:proofErr w:type="spellEnd"/>
      <w:r w:rsidRPr="001E4DF2">
        <w:rPr>
          <w:rFonts w:eastAsia="Times New Roman"/>
        </w:rPr>
        <w:t xml:space="preserve"> C et al. A dynamic nomenclature proposal for SARS-CoV-2 lineages to assist genomic epidemiology. Nat Microbiol. </w:t>
      </w:r>
      <w:proofErr w:type="gramStart"/>
      <w:r w:rsidRPr="001E4DF2">
        <w:rPr>
          <w:rFonts w:eastAsia="Times New Roman"/>
        </w:rPr>
        <w:t>2020;5:1403</w:t>
      </w:r>
      <w:proofErr w:type="gramEnd"/>
      <w:r w:rsidRPr="001E4DF2">
        <w:rPr>
          <w:rFonts w:eastAsia="Times New Roman"/>
        </w:rPr>
        <w:t xml:space="preserve">–7. </w:t>
      </w:r>
      <w:proofErr w:type="spellStart"/>
      <w:r w:rsidRPr="001E4DF2">
        <w:rPr>
          <w:rFonts w:eastAsia="Times New Roman"/>
        </w:rPr>
        <w:t>doi</w:t>
      </w:r>
      <w:proofErr w:type="spellEnd"/>
      <w:r w:rsidRPr="001E4DF2">
        <w:rPr>
          <w:rFonts w:eastAsia="Times New Roman"/>
        </w:rPr>
        <w:t xml:space="preserve">: https://doi.org/10.1038/s41564-020-0770-5. </w:t>
      </w:r>
    </w:p>
    <w:p w14:paraId="4F5D6D66"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Tracking SARS-CoV-2 variants. [Internet.] Geneva: WHO; 1 June 2021. [Accessed on 10 June 2021.] Available from: https://www.who.int/en/activities/tracking-SARS-CoV-2-variants/. </w:t>
      </w:r>
    </w:p>
    <w:p w14:paraId="4E3AC52F"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Phylogenetic Assignment of Named Global Outbreak Lineages (PANGOLIN). Proposed new B.1 </w:t>
      </w:r>
      <w:proofErr w:type="spellStart"/>
      <w:r w:rsidRPr="001E4DF2">
        <w:rPr>
          <w:rFonts w:eastAsia="Times New Roman"/>
        </w:rPr>
        <w:t>sublineage</w:t>
      </w:r>
      <w:proofErr w:type="spellEnd"/>
      <w:r w:rsidRPr="001E4DF2">
        <w:rPr>
          <w:rFonts w:eastAsia="Times New Roman"/>
        </w:rPr>
        <w:t xml:space="preserve"> circulating in India #38. [Webpage.] San Francisco: GitHub; 30 March 2021. [Accessed on 18 October 2021.] Available from: https://github.com/cov-lineages/pango-designation/issues/38. </w:t>
      </w:r>
    </w:p>
    <w:p w14:paraId="3FAB81D4"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Public Health England (PHE). </w:t>
      </w:r>
      <w:r w:rsidRPr="003A56D1">
        <w:rPr>
          <w:rStyle w:val="Emphasis"/>
          <w:rFonts w:eastAsia="Times New Roman"/>
          <w:b w:val="0"/>
          <w:bCs w:val="0"/>
        </w:rPr>
        <w:t xml:space="preserve">SARS-CoV-2 variants of concern and variants under investigation in England. Technical briefing 9. </w:t>
      </w:r>
      <w:r w:rsidRPr="001E4DF2">
        <w:rPr>
          <w:rFonts w:eastAsia="Times New Roman"/>
        </w:rPr>
        <w:t xml:space="preserve">London: United Kingdom Government Department of Health and Social Care, PHE; 22 April 2021. [Accessed on 18 October 2021.] Available from: https://assets.publishing.service.gov.uk/government/uploads/system/uploads/attachment_data/file/979818/Variants_of_Concern_VOC_Technical_Briefing_9_England.pdf. </w:t>
      </w:r>
    </w:p>
    <w:p w14:paraId="31A06F1E"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PHE. </w:t>
      </w:r>
      <w:r w:rsidRPr="003A56D1">
        <w:rPr>
          <w:rStyle w:val="Emphasis"/>
          <w:rFonts w:eastAsia="Times New Roman"/>
          <w:b w:val="0"/>
          <w:bCs w:val="0"/>
        </w:rPr>
        <w:t>SARS-CoV-2 variants of concern and variants under investigation in England. Technical briefing 10</w:t>
      </w:r>
      <w:r w:rsidRPr="001E4DF2">
        <w:rPr>
          <w:rFonts w:eastAsia="Times New Roman"/>
        </w:rPr>
        <w:t xml:space="preserve">. London: United Kingdom Government Department of Health and Social Care, PHE; 7 May 2021. [Accessed on 18 October 2021.] Available from: https://assets.publishing.service.gov.uk/government/uploads/system/uploads/attachment_data/file/984274/Variants_of_Concern_VOC_Technical_Briefing_10_England.pdf. </w:t>
      </w:r>
    </w:p>
    <w:p w14:paraId="72D3A837"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Weekly epidemiological update on COVID-19 - 11 May 2021. [Internet.] Geneva: WHO; 11 May 2021. [Accessed on 18 October 2021.] Available from: https://www.who.int/publications/m/item/weekly-epidemiological-update-on-covid-19---11-may-2021. </w:t>
      </w:r>
    </w:p>
    <w:p w14:paraId="3CE92969"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Weekly epidemiological update on COVID-19 - 1 June 2021. [Internet.] Geneva: WHO; 1 June 2021. [Accessed on 18 October 2021.] Available from: https://www.who.int/publications/m/item/weekly-epidemiological-update-on-covid-19---1-june-2021. </w:t>
      </w:r>
    </w:p>
    <w:p w14:paraId="57E67C7B" w14:textId="77777777" w:rsidR="001E4DF2" w:rsidRPr="001E4DF2" w:rsidRDefault="001E4DF2" w:rsidP="001E4DF2">
      <w:pPr>
        <w:pStyle w:val="ListParagraph"/>
        <w:numPr>
          <w:ilvl w:val="0"/>
          <w:numId w:val="8"/>
        </w:numPr>
        <w:rPr>
          <w:rFonts w:eastAsia="Times New Roman"/>
        </w:rPr>
      </w:pPr>
      <w:r w:rsidRPr="001E4DF2">
        <w:rPr>
          <w:rFonts w:eastAsia="Times New Roman"/>
        </w:rPr>
        <w:t xml:space="preserve">Network for Genomic Surveillance in South Africa (NGS-SA). Recording: Briefing on COVID-19 and vaccination programme developments 25 November 2021. [Video recording.] Durban: NGS-SA; 25 November 2021. [Accessed on 10 December 2021.] Available from: https://sacoronavirus.co.za/2021/11/25/recording-briefing-on-covid-19-and-vaccination-programme-developments-25-november-2021/. </w:t>
      </w:r>
    </w:p>
    <w:p w14:paraId="404264A2"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Classification of Omicron (B.1.1.529): SARS-CoV-2 Variant of Concern. [Internet.] Geneva: WHO; 26 November 2021. [Accessed on 10 </w:t>
      </w:r>
      <w:proofErr w:type="spellStart"/>
      <w:r w:rsidRPr="001E4DF2">
        <w:rPr>
          <w:rFonts w:eastAsia="Times New Roman"/>
        </w:rPr>
        <w:t>Decmber</w:t>
      </w:r>
      <w:proofErr w:type="spellEnd"/>
      <w:r w:rsidRPr="001E4DF2">
        <w:rPr>
          <w:rFonts w:eastAsia="Times New Roman"/>
        </w:rPr>
        <w:t xml:space="preserve"> 2021.] Available from: https://www.who.int/news-room/statements/26-11-2021-classification-of-omicron-(b.1.1.529)-sars-cov-2-variant-of-concern. </w:t>
      </w:r>
    </w:p>
    <w:p w14:paraId="4E1B6E8C" w14:textId="77777777" w:rsidR="001E4DF2" w:rsidRPr="001E4DF2" w:rsidRDefault="001E4DF2" w:rsidP="001E4DF2">
      <w:pPr>
        <w:pStyle w:val="ListParagraph"/>
        <w:numPr>
          <w:ilvl w:val="0"/>
          <w:numId w:val="8"/>
        </w:numPr>
        <w:rPr>
          <w:rFonts w:eastAsia="Times New Roman"/>
        </w:rPr>
      </w:pPr>
      <w:proofErr w:type="gramStart"/>
      <w:r w:rsidRPr="001E4DF2">
        <w:rPr>
          <w:rFonts w:eastAsia="Times New Roman"/>
        </w:rPr>
        <w:t>WHO.</w:t>
      </w:r>
      <w:proofErr w:type="gramEnd"/>
      <w:r w:rsidRPr="001E4DF2">
        <w:rPr>
          <w:rFonts w:eastAsia="Times New Roman"/>
        </w:rPr>
        <w:t xml:space="preserve"> WHO Coronavirus Disease (COVID-19) dashboard. [Internet.] Geneva: WHO; 2021. Available from: https://covid19.who.int/. </w:t>
      </w:r>
    </w:p>
    <w:p w14:paraId="0D6CC695" w14:textId="77777777" w:rsidR="001E4DF2" w:rsidRPr="001E4DF2" w:rsidRDefault="001E4DF2" w:rsidP="001E4DF2">
      <w:pPr>
        <w:pStyle w:val="ListParagraph"/>
        <w:numPr>
          <w:ilvl w:val="0"/>
          <w:numId w:val="8"/>
        </w:numPr>
        <w:rPr>
          <w:rFonts w:eastAsia="Times New Roman"/>
        </w:rPr>
      </w:pPr>
      <w:r w:rsidRPr="001E4DF2">
        <w:rPr>
          <w:rFonts w:eastAsia="Times New Roman"/>
        </w:rPr>
        <w:t>Australian Bureau of Statistics. Articles. Measuring excess mortality in Australia during the COVID-19 pandemic: methodology. [Internet.] Canberra: Australian Bureau of Statistics; 25 November 2020. [Accessed on 25 November 2020.] Available from: https://www.abs.gov.au/articles/measuring-excess-mortality-australia-during-covid-19-pandemic#methodology.</w:t>
      </w:r>
    </w:p>
    <w:p w14:paraId="7CBD4578" w14:textId="77777777" w:rsidR="001A0398" w:rsidRDefault="001A0398">
      <w:pPr>
        <w:rPr>
          <w:rStyle w:val="Strong"/>
          <w:rFonts w:asciiTheme="majorHAnsi" w:eastAsiaTheme="majorEastAsia" w:hAnsiTheme="majorHAnsi" w:cstheme="majorBidi"/>
          <w:sz w:val="32"/>
          <w:szCs w:val="28"/>
        </w:rPr>
      </w:pPr>
      <w:r>
        <w:rPr>
          <w:rStyle w:val="Strong"/>
          <w:b w:val="0"/>
          <w:bCs w:val="0"/>
        </w:rPr>
        <w:br w:type="page"/>
      </w:r>
    </w:p>
    <w:p w14:paraId="210AEDD0" w14:textId="4AF38EE2" w:rsidR="001E4DF2" w:rsidRPr="001E4DF2" w:rsidRDefault="001E4DF2" w:rsidP="001E4DF2">
      <w:pPr>
        <w:pStyle w:val="Heading1"/>
      </w:pPr>
      <w:r w:rsidRPr="001E4DF2">
        <w:rPr>
          <w:rStyle w:val="Strong"/>
          <w:b/>
          <w:bCs/>
        </w:rPr>
        <w:lastRenderedPageBreak/>
        <w:t>Appendix A: Definitions for outbreak settings</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Appendix A: Definitions for outbreak settings"/>
      </w:tblPr>
      <w:tblGrid>
        <w:gridCol w:w="2977"/>
        <w:gridCol w:w="7486"/>
      </w:tblGrid>
      <w:tr w:rsidR="001E4DF2" w:rsidRPr="00293D91" w14:paraId="67058A8A" w14:textId="77777777" w:rsidTr="00C50F32">
        <w:trPr>
          <w:cnfStyle w:val="100000000000" w:firstRow="1" w:lastRow="0" w:firstColumn="0" w:lastColumn="0" w:oddVBand="0" w:evenVBand="0" w:oddHBand="0" w:evenHBand="0" w:firstRowFirstColumn="0" w:firstRowLastColumn="0" w:lastRowFirstColumn="0" w:lastRowLastColumn="0"/>
        </w:trPr>
        <w:tc>
          <w:tcPr>
            <w:tcW w:w="2977" w:type="dxa"/>
            <w:tcBorders>
              <w:right w:val="single" w:sz="2" w:space="0" w:color="886E49"/>
            </w:tcBorders>
            <w:hideMark/>
          </w:tcPr>
          <w:p w14:paraId="3B521A6E" w14:textId="77777777" w:rsidR="001E4DF2" w:rsidRPr="00293D91" w:rsidRDefault="001E4DF2">
            <w:pPr>
              <w:pStyle w:val="NormalWeb"/>
              <w:rPr>
                <w:color w:val="FFFFFF" w:themeColor="background1"/>
                <w:sz w:val="20"/>
                <w:szCs w:val="20"/>
              </w:rPr>
            </w:pPr>
            <w:r w:rsidRPr="00293D91">
              <w:rPr>
                <w:color w:val="FFFFFF" w:themeColor="background1"/>
                <w:sz w:val="20"/>
                <w:szCs w:val="20"/>
              </w:rPr>
              <w:t>Setting</w:t>
            </w:r>
          </w:p>
        </w:tc>
        <w:tc>
          <w:tcPr>
            <w:tcW w:w="7486" w:type="dxa"/>
            <w:tcBorders>
              <w:left w:val="single" w:sz="2" w:space="0" w:color="886E49"/>
            </w:tcBorders>
            <w:hideMark/>
          </w:tcPr>
          <w:p w14:paraId="57CCCDF1" w14:textId="77777777" w:rsidR="001E4DF2" w:rsidRPr="00293D91" w:rsidRDefault="001E4DF2">
            <w:pPr>
              <w:pStyle w:val="NormalWeb"/>
              <w:rPr>
                <w:color w:val="FFFFFF" w:themeColor="background1"/>
                <w:sz w:val="20"/>
                <w:szCs w:val="20"/>
              </w:rPr>
            </w:pPr>
            <w:r w:rsidRPr="00293D91">
              <w:rPr>
                <w:color w:val="FFFFFF" w:themeColor="background1"/>
                <w:sz w:val="20"/>
                <w:szCs w:val="20"/>
              </w:rPr>
              <w:t>Inclusions</w:t>
            </w:r>
          </w:p>
        </w:tc>
      </w:tr>
      <w:tr w:rsidR="001E4DF2" w:rsidRPr="00293D91" w14:paraId="6A8BE451" w14:textId="77777777" w:rsidTr="00C50F32">
        <w:tc>
          <w:tcPr>
            <w:tcW w:w="2977" w:type="dxa"/>
            <w:tcBorders>
              <w:right w:val="single" w:sz="2" w:space="0" w:color="886E49"/>
            </w:tcBorders>
            <w:hideMark/>
          </w:tcPr>
          <w:p w14:paraId="5AA0B0DD" w14:textId="77777777" w:rsidR="001E4DF2" w:rsidRPr="00293D91" w:rsidRDefault="001E4DF2">
            <w:pPr>
              <w:pStyle w:val="NormalWeb"/>
              <w:rPr>
                <w:sz w:val="20"/>
                <w:szCs w:val="20"/>
              </w:rPr>
            </w:pPr>
            <w:r w:rsidRPr="00293D91">
              <w:rPr>
                <w:sz w:val="20"/>
                <w:szCs w:val="20"/>
              </w:rPr>
              <w:t>Accommodation &amp; housing</w:t>
            </w:r>
          </w:p>
        </w:tc>
        <w:tc>
          <w:tcPr>
            <w:tcW w:w="7486" w:type="dxa"/>
            <w:tcBorders>
              <w:left w:val="single" w:sz="2" w:space="0" w:color="886E49"/>
            </w:tcBorders>
            <w:hideMark/>
          </w:tcPr>
          <w:p w14:paraId="61ADFB3B" w14:textId="77777777" w:rsidR="001E4DF2" w:rsidRPr="00293D91" w:rsidRDefault="001E4DF2">
            <w:pPr>
              <w:pStyle w:val="NormalWeb"/>
              <w:rPr>
                <w:sz w:val="20"/>
                <w:szCs w:val="20"/>
              </w:rPr>
            </w:pPr>
            <w:r w:rsidRPr="00293D91">
              <w:rPr>
                <w:sz w:val="20"/>
                <w:szCs w:val="20"/>
              </w:rPr>
              <w:t>Includes high-density housing; hostels and backpackers; hotels and serviced apartments; public housing; rough sleeping; and temporary accommodation.</w:t>
            </w:r>
          </w:p>
        </w:tc>
      </w:tr>
      <w:tr w:rsidR="001E4DF2" w:rsidRPr="00293D91" w14:paraId="05EA37EC" w14:textId="77777777" w:rsidTr="00766F04">
        <w:trPr>
          <w:cnfStyle w:val="000000010000" w:firstRow="0" w:lastRow="0" w:firstColumn="0" w:lastColumn="0" w:oddVBand="0" w:evenVBand="0" w:oddHBand="0" w:evenHBand="1" w:firstRowFirstColumn="0" w:firstRowLastColumn="0" w:lastRowFirstColumn="0" w:lastRowLastColumn="0"/>
        </w:trPr>
        <w:tc>
          <w:tcPr>
            <w:tcW w:w="2977" w:type="dxa"/>
            <w:tcBorders>
              <w:right w:val="single" w:sz="2" w:space="0" w:color="886E49"/>
            </w:tcBorders>
            <w:hideMark/>
          </w:tcPr>
          <w:p w14:paraId="13C2E81F" w14:textId="77777777" w:rsidR="001E4DF2" w:rsidRPr="00293D91" w:rsidRDefault="001E4DF2">
            <w:pPr>
              <w:pStyle w:val="NormalWeb"/>
              <w:rPr>
                <w:sz w:val="20"/>
                <w:szCs w:val="20"/>
              </w:rPr>
            </w:pPr>
            <w:r w:rsidRPr="00293D91">
              <w:rPr>
                <w:sz w:val="20"/>
                <w:szCs w:val="20"/>
                <w:lang w:val="en-US"/>
              </w:rPr>
              <w:t>Aged care</w:t>
            </w:r>
          </w:p>
        </w:tc>
        <w:tc>
          <w:tcPr>
            <w:tcW w:w="7486" w:type="dxa"/>
            <w:tcBorders>
              <w:left w:val="single" w:sz="2" w:space="0" w:color="886E49"/>
            </w:tcBorders>
            <w:hideMark/>
          </w:tcPr>
          <w:p w14:paraId="374FA7EE" w14:textId="77777777" w:rsidR="001E4DF2" w:rsidRPr="00293D91" w:rsidRDefault="001E4DF2">
            <w:pPr>
              <w:pStyle w:val="NormalWeb"/>
              <w:rPr>
                <w:sz w:val="20"/>
                <w:szCs w:val="20"/>
              </w:rPr>
            </w:pPr>
            <w:r w:rsidRPr="00293D91">
              <w:rPr>
                <w:sz w:val="20"/>
                <w:szCs w:val="20"/>
              </w:rPr>
              <w:t xml:space="preserve">Includes residential aged care facilities; commonwealth aged care facilities; and </w:t>
            </w:r>
            <w:proofErr w:type="gramStart"/>
            <w:r w:rsidRPr="00293D91">
              <w:rPr>
                <w:sz w:val="20"/>
                <w:szCs w:val="20"/>
              </w:rPr>
              <w:t>home-care</w:t>
            </w:r>
            <w:proofErr w:type="gramEnd"/>
            <w:r w:rsidRPr="00293D91">
              <w:rPr>
                <w:sz w:val="20"/>
                <w:szCs w:val="20"/>
              </w:rPr>
              <w:t>.</w:t>
            </w:r>
          </w:p>
        </w:tc>
      </w:tr>
      <w:tr w:rsidR="001E4DF2" w:rsidRPr="00293D91" w14:paraId="7C73576B" w14:textId="77777777" w:rsidTr="00766F04">
        <w:tc>
          <w:tcPr>
            <w:tcW w:w="2977" w:type="dxa"/>
            <w:tcBorders>
              <w:right w:val="single" w:sz="2" w:space="0" w:color="886E49"/>
            </w:tcBorders>
            <w:hideMark/>
          </w:tcPr>
          <w:p w14:paraId="056FFFC7" w14:textId="77777777" w:rsidR="001E4DF2" w:rsidRPr="00293D91" w:rsidRDefault="001E4DF2">
            <w:pPr>
              <w:pStyle w:val="NormalWeb"/>
              <w:rPr>
                <w:sz w:val="20"/>
                <w:szCs w:val="20"/>
              </w:rPr>
            </w:pPr>
            <w:r w:rsidRPr="00293D91">
              <w:rPr>
                <w:sz w:val="20"/>
                <w:szCs w:val="20"/>
                <w:lang w:val="en-US"/>
              </w:rPr>
              <w:t>Healthcare (excl. hospital)</w:t>
            </w:r>
          </w:p>
        </w:tc>
        <w:tc>
          <w:tcPr>
            <w:tcW w:w="7486" w:type="dxa"/>
            <w:tcBorders>
              <w:left w:val="single" w:sz="2" w:space="0" w:color="886E49"/>
            </w:tcBorders>
            <w:hideMark/>
          </w:tcPr>
          <w:p w14:paraId="34B41AC2" w14:textId="77777777" w:rsidR="001E4DF2" w:rsidRPr="00293D91" w:rsidRDefault="001E4DF2">
            <w:pPr>
              <w:pStyle w:val="NormalWeb"/>
              <w:rPr>
                <w:sz w:val="20"/>
                <w:szCs w:val="20"/>
              </w:rPr>
            </w:pPr>
            <w:r w:rsidRPr="00293D91">
              <w:rPr>
                <w:sz w:val="20"/>
                <w:szCs w:val="20"/>
              </w:rPr>
              <w:t>Includes primary care; and allied health services.</w:t>
            </w:r>
          </w:p>
        </w:tc>
      </w:tr>
      <w:tr w:rsidR="001E4DF2" w:rsidRPr="00293D91" w14:paraId="3F794858" w14:textId="77777777" w:rsidTr="00766F04">
        <w:trPr>
          <w:cnfStyle w:val="000000010000" w:firstRow="0" w:lastRow="0" w:firstColumn="0" w:lastColumn="0" w:oddVBand="0" w:evenVBand="0" w:oddHBand="0" w:evenHBand="1" w:firstRowFirstColumn="0" w:firstRowLastColumn="0" w:lastRowFirstColumn="0" w:lastRowLastColumn="0"/>
        </w:trPr>
        <w:tc>
          <w:tcPr>
            <w:tcW w:w="2977" w:type="dxa"/>
            <w:tcBorders>
              <w:right w:val="single" w:sz="2" w:space="0" w:color="886E49"/>
            </w:tcBorders>
            <w:hideMark/>
          </w:tcPr>
          <w:p w14:paraId="6FEDA6FE" w14:textId="77777777" w:rsidR="001E4DF2" w:rsidRPr="00293D91" w:rsidRDefault="001E4DF2">
            <w:pPr>
              <w:pStyle w:val="NormalWeb"/>
              <w:rPr>
                <w:sz w:val="20"/>
                <w:szCs w:val="20"/>
              </w:rPr>
            </w:pPr>
            <w:r w:rsidRPr="00293D91">
              <w:rPr>
                <w:sz w:val="20"/>
                <w:szCs w:val="20"/>
                <w:lang w:val="en-US"/>
              </w:rPr>
              <w:t>Hospital</w:t>
            </w:r>
          </w:p>
        </w:tc>
        <w:tc>
          <w:tcPr>
            <w:tcW w:w="7486" w:type="dxa"/>
            <w:tcBorders>
              <w:left w:val="single" w:sz="2" w:space="0" w:color="886E49"/>
            </w:tcBorders>
            <w:hideMark/>
          </w:tcPr>
          <w:p w14:paraId="0B2C59AF" w14:textId="77777777" w:rsidR="001E4DF2" w:rsidRPr="00293D91" w:rsidRDefault="001E4DF2">
            <w:pPr>
              <w:pStyle w:val="NormalWeb"/>
              <w:rPr>
                <w:sz w:val="20"/>
                <w:szCs w:val="20"/>
              </w:rPr>
            </w:pPr>
            <w:r w:rsidRPr="00293D91">
              <w:rPr>
                <w:sz w:val="20"/>
                <w:szCs w:val="20"/>
              </w:rPr>
              <w:t>Includes inpatient acute and sub-acute hospital (including psychiatric units); day surgeries; and transitional care.</w:t>
            </w:r>
          </w:p>
        </w:tc>
      </w:tr>
      <w:tr w:rsidR="001E4DF2" w:rsidRPr="00293D91" w14:paraId="70E6FEE2" w14:textId="77777777" w:rsidTr="00766F04">
        <w:tc>
          <w:tcPr>
            <w:tcW w:w="2977" w:type="dxa"/>
            <w:tcBorders>
              <w:right w:val="single" w:sz="2" w:space="0" w:color="886E49"/>
            </w:tcBorders>
            <w:hideMark/>
          </w:tcPr>
          <w:p w14:paraId="2AD93388" w14:textId="77777777" w:rsidR="001E4DF2" w:rsidRPr="00293D91" w:rsidRDefault="001E4DF2">
            <w:pPr>
              <w:pStyle w:val="NormalWeb"/>
              <w:rPr>
                <w:sz w:val="20"/>
                <w:szCs w:val="20"/>
              </w:rPr>
            </w:pPr>
            <w:r w:rsidRPr="00293D91">
              <w:rPr>
                <w:sz w:val="20"/>
                <w:szCs w:val="20"/>
                <w:lang w:val="en-US"/>
              </w:rPr>
              <w:t>Childcare</w:t>
            </w:r>
          </w:p>
        </w:tc>
        <w:tc>
          <w:tcPr>
            <w:tcW w:w="7486" w:type="dxa"/>
            <w:tcBorders>
              <w:left w:val="single" w:sz="2" w:space="0" w:color="886E49"/>
            </w:tcBorders>
            <w:hideMark/>
          </w:tcPr>
          <w:p w14:paraId="699AC0E5" w14:textId="77777777" w:rsidR="001E4DF2" w:rsidRPr="00293D91" w:rsidRDefault="001E4DF2">
            <w:pPr>
              <w:pStyle w:val="NormalWeb"/>
              <w:rPr>
                <w:sz w:val="20"/>
                <w:szCs w:val="20"/>
              </w:rPr>
            </w:pPr>
            <w:r w:rsidRPr="00293D91">
              <w:rPr>
                <w:sz w:val="20"/>
                <w:szCs w:val="20"/>
              </w:rPr>
              <w:t xml:space="preserve">Includes preschool </w:t>
            </w:r>
            <w:proofErr w:type="gramStart"/>
            <w:r w:rsidRPr="00293D91">
              <w:rPr>
                <w:sz w:val="20"/>
                <w:szCs w:val="20"/>
              </w:rPr>
              <w:t>child care</w:t>
            </w:r>
            <w:proofErr w:type="gramEnd"/>
            <w:r w:rsidRPr="00293D91">
              <w:rPr>
                <w:sz w:val="20"/>
                <w:szCs w:val="20"/>
              </w:rPr>
              <w:t xml:space="preserve"> services; and childcare services provided from home.</w:t>
            </w:r>
          </w:p>
        </w:tc>
      </w:tr>
      <w:tr w:rsidR="001E4DF2" w:rsidRPr="00293D91" w14:paraId="73E7F85B" w14:textId="77777777" w:rsidTr="00766F04">
        <w:trPr>
          <w:cnfStyle w:val="000000010000" w:firstRow="0" w:lastRow="0" w:firstColumn="0" w:lastColumn="0" w:oddVBand="0" w:evenVBand="0" w:oddHBand="0" w:evenHBand="1" w:firstRowFirstColumn="0" w:firstRowLastColumn="0" w:lastRowFirstColumn="0" w:lastRowLastColumn="0"/>
        </w:trPr>
        <w:tc>
          <w:tcPr>
            <w:tcW w:w="2977" w:type="dxa"/>
            <w:tcBorders>
              <w:right w:val="single" w:sz="2" w:space="0" w:color="886E49"/>
            </w:tcBorders>
            <w:hideMark/>
          </w:tcPr>
          <w:p w14:paraId="68CD214E" w14:textId="77777777" w:rsidR="001E4DF2" w:rsidRPr="00293D91" w:rsidRDefault="001E4DF2">
            <w:pPr>
              <w:pStyle w:val="NormalWeb"/>
              <w:rPr>
                <w:sz w:val="20"/>
                <w:szCs w:val="20"/>
              </w:rPr>
            </w:pPr>
            <w:r w:rsidRPr="00293D91">
              <w:rPr>
                <w:sz w:val="20"/>
                <w:szCs w:val="20"/>
                <w:lang w:val="en-US"/>
              </w:rPr>
              <w:t>Educational facility (excl. childcare)</w:t>
            </w:r>
          </w:p>
        </w:tc>
        <w:tc>
          <w:tcPr>
            <w:tcW w:w="7486" w:type="dxa"/>
            <w:tcBorders>
              <w:left w:val="single" w:sz="2" w:space="0" w:color="886E49"/>
            </w:tcBorders>
            <w:hideMark/>
          </w:tcPr>
          <w:p w14:paraId="20839B42" w14:textId="77777777" w:rsidR="001E4DF2" w:rsidRPr="00293D91" w:rsidRDefault="001E4DF2">
            <w:pPr>
              <w:pStyle w:val="NormalWeb"/>
              <w:rPr>
                <w:sz w:val="20"/>
                <w:szCs w:val="20"/>
              </w:rPr>
            </w:pPr>
            <w:r w:rsidRPr="00293D91">
              <w:rPr>
                <w:sz w:val="20"/>
                <w:szCs w:val="20"/>
              </w:rPr>
              <w:t>Includes schools; universities; TAFE; kindergarten; after-school care; other education and training facilities; and higher educational facilities.</w:t>
            </w:r>
          </w:p>
        </w:tc>
      </w:tr>
      <w:tr w:rsidR="001E4DF2" w:rsidRPr="00293D91" w14:paraId="3B9D1C33" w14:textId="77777777" w:rsidTr="00766F04">
        <w:tc>
          <w:tcPr>
            <w:tcW w:w="2977" w:type="dxa"/>
            <w:tcBorders>
              <w:right w:val="single" w:sz="2" w:space="0" w:color="886E49"/>
            </w:tcBorders>
            <w:hideMark/>
          </w:tcPr>
          <w:p w14:paraId="252FC2E8" w14:textId="77777777" w:rsidR="001E4DF2" w:rsidRPr="00293D91" w:rsidRDefault="001E4DF2">
            <w:pPr>
              <w:pStyle w:val="NormalWeb"/>
              <w:rPr>
                <w:sz w:val="20"/>
                <w:szCs w:val="20"/>
              </w:rPr>
            </w:pPr>
            <w:r w:rsidRPr="00293D91">
              <w:rPr>
                <w:sz w:val="20"/>
                <w:szCs w:val="20"/>
                <w:lang w:val="en-US"/>
              </w:rPr>
              <w:t>Workplace/industry</w:t>
            </w:r>
          </w:p>
        </w:tc>
        <w:tc>
          <w:tcPr>
            <w:tcW w:w="7486" w:type="dxa"/>
            <w:tcBorders>
              <w:left w:val="single" w:sz="2" w:space="0" w:color="886E49"/>
            </w:tcBorders>
            <w:hideMark/>
          </w:tcPr>
          <w:p w14:paraId="3454FDE5" w14:textId="77777777" w:rsidR="001E4DF2" w:rsidRPr="00293D91" w:rsidRDefault="001E4DF2">
            <w:pPr>
              <w:pStyle w:val="NormalWeb"/>
              <w:rPr>
                <w:sz w:val="20"/>
                <w:szCs w:val="20"/>
              </w:rPr>
            </w:pPr>
            <w:r w:rsidRPr="00293D91">
              <w:rPr>
                <w:sz w:val="20"/>
                <w:szCs w:val="20"/>
              </w:rPr>
              <w:t>Includes warehouses (not food); supermarkets; utilities; residential work sites; office spaces; manufacturing; logistics; food distribution centres; construction sites; retail and supermarkets.</w:t>
            </w:r>
          </w:p>
        </w:tc>
      </w:tr>
      <w:tr w:rsidR="001E4DF2" w:rsidRPr="00293D91" w14:paraId="01FB05DD" w14:textId="77777777" w:rsidTr="00766F04">
        <w:trPr>
          <w:cnfStyle w:val="000000010000" w:firstRow="0" w:lastRow="0" w:firstColumn="0" w:lastColumn="0" w:oddVBand="0" w:evenVBand="0" w:oddHBand="0" w:evenHBand="1" w:firstRowFirstColumn="0" w:firstRowLastColumn="0" w:lastRowFirstColumn="0" w:lastRowLastColumn="0"/>
        </w:trPr>
        <w:tc>
          <w:tcPr>
            <w:tcW w:w="2977" w:type="dxa"/>
            <w:tcBorders>
              <w:right w:val="single" w:sz="2" w:space="0" w:color="886E49"/>
            </w:tcBorders>
            <w:hideMark/>
          </w:tcPr>
          <w:p w14:paraId="154F9A7C" w14:textId="77777777" w:rsidR="001E4DF2" w:rsidRPr="00293D91" w:rsidRDefault="001E4DF2">
            <w:pPr>
              <w:pStyle w:val="NormalWeb"/>
              <w:rPr>
                <w:sz w:val="20"/>
                <w:szCs w:val="20"/>
              </w:rPr>
            </w:pPr>
            <w:r w:rsidRPr="00293D91">
              <w:rPr>
                <w:sz w:val="20"/>
                <w:szCs w:val="20"/>
                <w:lang w:val="en-US"/>
              </w:rPr>
              <w:t>Disability services</w:t>
            </w:r>
          </w:p>
        </w:tc>
        <w:tc>
          <w:tcPr>
            <w:tcW w:w="7486" w:type="dxa"/>
            <w:tcBorders>
              <w:left w:val="single" w:sz="2" w:space="0" w:color="886E49"/>
            </w:tcBorders>
            <w:hideMark/>
          </w:tcPr>
          <w:p w14:paraId="29E6453D" w14:textId="77777777" w:rsidR="001E4DF2" w:rsidRPr="00293D91" w:rsidRDefault="001E4DF2">
            <w:pPr>
              <w:pStyle w:val="NormalWeb"/>
              <w:rPr>
                <w:sz w:val="20"/>
                <w:szCs w:val="20"/>
              </w:rPr>
            </w:pPr>
            <w:r w:rsidRPr="00293D91">
              <w:rPr>
                <w:sz w:val="20"/>
                <w:szCs w:val="20"/>
              </w:rPr>
              <w:t>Includes disability services and private accommodation; and support services.</w:t>
            </w:r>
          </w:p>
        </w:tc>
      </w:tr>
      <w:tr w:rsidR="001E4DF2" w:rsidRPr="00293D91" w14:paraId="4E6E64DD" w14:textId="77777777" w:rsidTr="00766F04">
        <w:tc>
          <w:tcPr>
            <w:tcW w:w="2977" w:type="dxa"/>
            <w:tcBorders>
              <w:right w:val="single" w:sz="2" w:space="0" w:color="886E49"/>
            </w:tcBorders>
            <w:hideMark/>
          </w:tcPr>
          <w:p w14:paraId="161C9474" w14:textId="77777777" w:rsidR="001E4DF2" w:rsidRPr="00293D91" w:rsidRDefault="001E4DF2">
            <w:pPr>
              <w:pStyle w:val="NormalWeb"/>
              <w:rPr>
                <w:sz w:val="20"/>
                <w:szCs w:val="20"/>
              </w:rPr>
            </w:pPr>
            <w:r w:rsidRPr="00293D91">
              <w:rPr>
                <w:sz w:val="20"/>
                <w:szCs w:val="20"/>
                <w:lang w:val="en-US"/>
              </w:rPr>
              <w:t>Food industry</w:t>
            </w:r>
          </w:p>
        </w:tc>
        <w:tc>
          <w:tcPr>
            <w:tcW w:w="7486" w:type="dxa"/>
            <w:tcBorders>
              <w:left w:val="single" w:sz="2" w:space="0" w:color="886E49"/>
            </w:tcBorders>
            <w:hideMark/>
          </w:tcPr>
          <w:p w14:paraId="6177DD37" w14:textId="77777777" w:rsidR="001E4DF2" w:rsidRPr="00293D91" w:rsidRDefault="001E4DF2">
            <w:pPr>
              <w:pStyle w:val="NormalWeb"/>
              <w:rPr>
                <w:sz w:val="20"/>
                <w:szCs w:val="20"/>
              </w:rPr>
            </w:pPr>
            <w:r w:rsidRPr="00293D91">
              <w:rPr>
                <w:sz w:val="20"/>
                <w:szCs w:val="20"/>
              </w:rPr>
              <w:t>Includes abattoirs; factory-based food production; meat and poultry processing facilities; food production (commercial fishing, grain, dairy); and fruit or vegetable farming.</w:t>
            </w:r>
          </w:p>
        </w:tc>
      </w:tr>
      <w:tr w:rsidR="001E4DF2" w:rsidRPr="00293D91" w14:paraId="71281AB9" w14:textId="77777777" w:rsidTr="00766F04">
        <w:trPr>
          <w:cnfStyle w:val="000000010000" w:firstRow="0" w:lastRow="0" w:firstColumn="0" w:lastColumn="0" w:oddVBand="0" w:evenVBand="0" w:oddHBand="0" w:evenHBand="1" w:firstRowFirstColumn="0" w:firstRowLastColumn="0" w:lastRowFirstColumn="0" w:lastRowLastColumn="0"/>
        </w:trPr>
        <w:tc>
          <w:tcPr>
            <w:tcW w:w="2977" w:type="dxa"/>
            <w:tcBorders>
              <w:right w:val="single" w:sz="2" w:space="0" w:color="886E49"/>
            </w:tcBorders>
            <w:hideMark/>
          </w:tcPr>
          <w:p w14:paraId="7C2062F9" w14:textId="77777777" w:rsidR="001E4DF2" w:rsidRPr="00293D91" w:rsidRDefault="001E4DF2">
            <w:pPr>
              <w:pStyle w:val="NormalWeb"/>
              <w:rPr>
                <w:sz w:val="20"/>
                <w:szCs w:val="20"/>
              </w:rPr>
            </w:pPr>
            <w:r w:rsidRPr="00293D91">
              <w:rPr>
                <w:sz w:val="20"/>
                <w:szCs w:val="20"/>
                <w:lang w:val="en-US"/>
              </w:rPr>
              <w:t>Hospitality &amp; entertainment</w:t>
            </w:r>
          </w:p>
        </w:tc>
        <w:tc>
          <w:tcPr>
            <w:tcW w:w="7486" w:type="dxa"/>
            <w:tcBorders>
              <w:left w:val="single" w:sz="2" w:space="0" w:color="886E49"/>
            </w:tcBorders>
            <w:hideMark/>
          </w:tcPr>
          <w:p w14:paraId="0181F1DB" w14:textId="77777777" w:rsidR="001E4DF2" w:rsidRPr="00293D91" w:rsidRDefault="001E4DF2">
            <w:pPr>
              <w:pStyle w:val="NormalWeb"/>
              <w:rPr>
                <w:sz w:val="20"/>
                <w:szCs w:val="20"/>
              </w:rPr>
            </w:pPr>
            <w:r w:rsidRPr="00293D91">
              <w:rPr>
                <w:sz w:val="20"/>
                <w:szCs w:val="20"/>
              </w:rPr>
              <w:t>Includes cinemas and theatres; bars and music venues; and food premises (</w:t>
            </w:r>
            <w:proofErr w:type="gramStart"/>
            <w:r w:rsidRPr="00293D91">
              <w:rPr>
                <w:sz w:val="20"/>
                <w:szCs w:val="20"/>
              </w:rPr>
              <w:t>e.g.</w:t>
            </w:r>
            <w:proofErr w:type="gramEnd"/>
            <w:r w:rsidRPr="00293D91">
              <w:rPr>
                <w:sz w:val="20"/>
                <w:szCs w:val="20"/>
              </w:rPr>
              <w:t xml:space="preserve"> restaurants; takeaway food; cafes).</w:t>
            </w:r>
          </w:p>
        </w:tc>
      </w:tr>
      <w:tr w:rsidR="001E4DF2" w:rsidRPr="00293D91" w14:paraId="23C6A162" w14:textId="77777777" w:rsidTr="00766F04">
        <w:tc>
          <w:tcPr>
            <w:tcW w:w="2977" w:type="dxa"/>
            <w:tcBorders>
              <w:right w:val="single" w:sz="2" w:space="0" w:color="886E49"/>
            </w:tcBorders>
            <w:hideMark/>
          </w:tcPr>
          <w:p w14:paraId="2A9625F1" w14:textId="77777777" w:rsidR="001E4DF2" w:rsidRPr="00293D91" w:rsidRDefault="001E4DF2">
            <w:pPr>
              <w:pStyle w:val="NormalWeb"/>
              <w:rPr>
                <w:sz w:val="20"/>
                <w:szCs w:val="20"/>
              </w:rPr>
            </w:pPr>
            <w:r w:rsidRPr="00293D91">
              <w:rPr>
                <w:sz w:val="20"/>
                <w:szCs w:val="20"/>
                <w:lang w:val="en-US"/>
              </w:rPr>
              <w:t>Travel &amp; transport</w:t>
            </w:r>
          </w:p>
        </w:tc>
        <w:tc>
          <w:tcPr>
            <w:tcW w:w="7486" w:type="dxa"/>
            <w:tcBorders>
              <w:left w:val="single" w:sz="2" w:space="0" w:color="886E49"/>
            </w:tcBorders>
            <w:hideMark/>
          </w:tcPr>
          <w:p w14:paraId="5D3A61CB" w14:textId="77777777" w:rsidR="001E4DF2" w:rsidRPr="00293D91" w:rsidRDefault="001E4DF2">
            <w:pPr>
              <w:pStyle w:val="NormalWeb"/>
              <w:rPr>
                <w:sz w:val="20"/>
                <w:szCs w:val="20"/>
              </w:rPr>
            </w:pPr>
            <w:r w:rsidRPr="00293D91">
              <w:rPr>
                <w:sz w:val="20"/>
                <w:szCs w:val="20"/>
              </w:rPr>
              <w:t>Includes travel groups; cruise ships; cargo ships; mass transport (flights, trains, trams, buses); and other transport services (Uber and taxi).</w:t>
            </w:r>
          </w:p>
        </w:tc>
      </w:tr>
      <w:tr w:rsidR="001E4DF2" w:rsidRPr="00293D91" w14:paraId="1439BBDF" w14:textId="77777777" w:rsidTr="00766F04">
        <w:trPr>
          <w:cnfStyle w:val="000000010000" w:firstRow="0" w:lastRow="0" w:firstColumn="0" w:lastColumn="0" w:oddVBand="0" w:evenVBand="0" w:oddHBand="0" w:evenHBand="1" w:firstRowFirstColumn="0" w:firstRowLastColumn="0" w:lastRowFirstColumn="0" w:lastRowLastColumn="0"/>
        </w:trPr>
        <w:tc>
          <w:tcPr>
            <w:tcW w:w="2977" w:type="dxa"/>
            <w:tcBorders>
              <w:right w:val="single" w:sz="2" w:space="0" w:color="886E49"/>
            </w:tcBorders>
            <w:hideMark/>
          </w:tcPr>
          <w:p w14:paraId="1629F104" w14:textId="77777777" w:rsidR="001E4DF2" w:rsidRPr="00293D91" w:rsidRDefault="001E4DF2">
            <w:pPr>
              <w:pStyle w:val="NormalWeb"/>
              <w:rPr>
                <w:sz w:val="20"/>
                <w:szCs w:val="20"/>
              </w:rPr>
            </w:pPr>
            <w:r w:rsidRPr="00293D91">
              <w:rPr>
                <w:sz w:val="20"/>
                <w:szCs w:val="20"/>
                <w:lang w:val="en-US"/>
              </w:rPr>
              <w:t>Justice &amp; emergency</w:t>
            </w:r>
          </w:p>
        </w:tc>
        <w:tc>
          <w:tcPr>
            <w:tcW w:w="7486" w:type="dxa"/>
            <w:tcBorders>
              <w:left w:val="single" w:sz="2" w:space="0" w:color="886E49"/>
            </w:tcBorders>
            <w:hideMark/>
          </w:tcPr>
          <w:p w14:paraId="620FD3B5" w14:textId="77777777" w:rsidR="001E4DF2" w:rsidRPr="00293D91" w:rsidRDefault="001E4DF2">
            <w:pPr>
              <w:pStyle w:val="NormalWeb"/>
              <w:rPr>
                <w:sz w:val="20"/>
                <w:szCs w:val="20"/>
              </w:rPr>
            </w:pPr>
            <w:r w:rsidRPr="00293D91">
              <w:rPr>
                <w:sz w:val="20"/>
                <w:szCs w:val="20"/>
              </w:rPr>
              <w:t xml:space="preserve">Includes emergency services; </w:t>
            </w:r>
            <w:proofErr w:type="gramStart"/>
            <w:r w:rsidRPr="00293D91">
              <w:rPr>
                <w:sz w:val="20"/>
                <w:szCs w:val="20"/>
              </w:rPr>
              <w:t>correctional facilities</w:t>
            </w:r>
            <w:proofErr w:type="gramEnd"/>
            <w:r w:rsidRPr="00293D91">
              <w:rPr>
                <w:sz w:val="20"/>
                <w:szCs w:val="20"/>
              </w:rPr>
              <w:t>; and prisons.</w:t>
            </w:r>
          </w:p>
        </w:tc>
      </w:tr>
      <w:tr w:rsidR="001E4DF2" w:rsidRPr="00293D91" w14:paraId="6E8E2860" w14:textId="77777777" w:rsidTr="00766F04">
        <w:tc>
          <w:tcPr>
            <w:tcW w:w="2977" w:type="dxa"/>
            <w:tcBorders>
              <w:right w:val="single" w:sz="2" w:space="0" w:color="886E49"/>
            </w:tcBorders>
            <w:hideMark/>
          </w:tcPr>
          <w:p w14:paraId="05E909D2" w14:textId="77777777" w:rsidR="001E4DF2" w:rsidRPr="00293D91" w:rsidRDefault="001E4DF2">
            <w:pPr>
              <w:pStyle w:val="NormalWeb"/>
              <w:rPr>
                <w:sz w:val="20"/>
                <w:szCs w:val="20"/>
              </w:rPr>
            </w:pPr>
            <w:r w:rsidRPr="00293D91">
              <w:rPr>
                <w:sz w:val="20"/>
                <w:szCs w:val="20"/>
                <w:lang w:val="en-US"/>
              </w:rPr>
              <w:t>Other</w:t>
            </w:r>
          </w:p>
        </w:tc>
        <w:tc>
          <w:tcPr>
            <w:tcW w:w="7486" w:type="dxa"/>
            <w:tcBorders>
              <w:left w:val="single" w:sz="2" w:space="0" w:color="886E49"/>
            </w:tcBorders>
            <w:hideMark/>
          </w:tcPr>
          <w:p w14:paraId="582A6C6B" w14:textId="77777777" w:rsidR="001E4DF2" w:rsidRPr="00293D91" w:rsidRDefault="001E4DF2">
            <w:pPr>
              <w:pStyle w:val="NormalWeb"/>
              <w:rPr>
                <w:sz w:val="20"/>
                <w:szCs w:val="20"/>
              </w:rPr>
            </w:pPr>
            <w:r w:rsidRPr="00293D91">
              <w:rPr>
                <w:sz w:val="20"/>
                <w:szCs w:val="20"/>
              </w:rPr>
              <w:t xml:space="preserve">Includes other various settings not captured by the other exposure settings, </w:t>
            </w:r>
            <w:proofErr w:type="gramStart"/>
            <w:r w:rsidRPr="00293D91">
              <w:rPr>
                <w:sz w:val="20"/>
                <w:szCs w:val="20"/>
              </w:rPr>
              <w:t>e.g.</w:t>
            </w:r>
            <w:proofErr w:type="gramEnd"/>
            <w:r w:rsidRPr="00293D91">
              <w:rPr>
                <w:sz w:val="20"/>
                <w:szCs w:val="20"/>
              </w:rPr>
              <w:t xml:space="preserve"> extended family gatherings (where two or more separate households come together); religious services; and sports and recreation venues.</w:t>
            </w:r>
          </w:p>
        </w:tc>
      </w:tr>
    </w:tbl>
    <w:p w14:paraId="26A73030" w14:textId="77777777" w:rsidR="006A472D" w:rsidRDefault="006A472D" w:rsidP="001E4DF2">
      <w:pPr>
        <w:pStyle w:val="Heading1"/>
      </w:pPr>
    </w:p>
    <w:p w14:paraId="01A230E2" w14:textId="77777777" w:rsidR="006A472D" w:rsidRDefault="006A472D">
      <w:pPr>
        <w:rPr>
          <w:rFonts w:asciiTheme="majorHAnsi" w:eastAsiaTheme="majorEastAsia" w:hAnsiTheme="majorHAnsi" w:cstheme="majorBidi"/>
          <w:b/>
          <w:bCs/>
          <w:sz w:val="32"/>
          <w:szCs w:val="28"/>
        </w:rPr>
      </w:pPr>
      <w:r>
        <w:br w:type="page"/>
      </w:r>
    </w:p>
    <w:p w14:paraId="5EAFCD1B" w14:textId="76F07415" w:rsidR="001E4DF2" w:rsidRPr="001E4DF2" w:rsidRDefault="001E4DF2" w:rsidP="001E4DF2">
      <w:pPr>
        <w:pStyle w:val="Heading1"/>
      </w:pPr>
      <w:r w:rsidRPr="001E4DF2">
        <w:lastRenderedPageBreak/>
        <w:t xml:space="preserve">Appendix B: Frequently asked questions </w:t>
      </w:r>
    </w:p>
    <w:p w14:paraId="195C63BF" w14:textId="77777777" w:rsidR="001E4DF2" w:rsidRDefault="001E4DF2" w:rsidP="001E4DF2">
      <w:r>
        <w:rPr>
          <w:rStyle w:val="Strong"/>
        </w:rPr>
        <w:t xml:space="preserve">Q: Where can I find more detailed data on COVID-19 cases? </w:t>
      </w:r>
    </w:p>
    <w:p w14:paraId="086B4F30" w14:textId="77777777" w:rsidR="001E4DF2" w:rsidRDefault="001E4DF2" w:rsidP="00CB77D8">
      <w:r>
        <w:t xml:space="preserve">A: We are currently looking into ways to provide more in-depth epidemiological analyses of COVID-19 cases, </w:t>
      </w:r>
      <w:proofErr w:type="gramStart"/>
      <w:r>
        <w:t>with regard to</w:t>
      </w:r>
      <w:proofErr w:type="gramEnd"/>
      <w:r>
        <w:t xml:space="preserve"> transmission and severity, including hospitalisation. These analyses will continue to be built upon in future iterations of the CDI report.</w:t>
      </w:r>
      <w:r>
        <w:rPr>
          <w:rStyle w:val="Strong"/>
        </w:rPr>
        <w:t xml:space="preserve"> </w:t>
      </w:r>
    </w:p>
    <w:p w14:paraId="17C98BC7" w14:textId="77777777" w:rsidR="001E4DF2" w:rsidRDefault="001E4DF2" w:rsidP="001E4DF2">
      <w:r>
        <w:rPr>
          <w:rStyle w:val="Strong"/>
        </w:rPr>
        <w:t xml:space="preserve">Q: Can I request access to the COVID-19 data behind your CDI epidemiology reports? </w:t>
      </w:r>
    </w:p>
    <w:p w14:paraId="2A0412A2" w14:textId="77777777" w:rsidR="001E4DF2" w:rsidRDefault="001E4DF2" w:rsidP="001E4DF2">
      <w:r>
        <w:t xml:space="preserve">A: National notification data on COVID-19 confirmed cases is collated in the National Interoperable Notifiable Diseases Surveillance System (NINDSS) based on notifications made to state and territory health authorities under the provisions of their relevant public health legislation. </w:t>
      </w:r>
    </w:p>
    <w:p w14:paraId="794B934F" w14:textId="77777777" w:rsidR="001E4DF2" w:rsidRDefault="001E4DF2" w:rsidP="001E4DF2">
      <w:r>
        <w:t xml:space="preserve">Normally, requests for the release of data from the NINDSS requires agreement from states and territories via the Communicable Diseases Network Australia (CDNA), and, depending on the sensitivity of the data sought and proposed, ethics approval may also be required. </w:t>
      </w:r>
    </w:p>
    <w:p w14:paraId="635F4252" w14:textId="408B3504" w:rsidR="001E4DF2" w:rsidRDefault="001E4DF2" w:rsidP="001E4DF2">
      <w:r>
        <w:t>For information on how to apply to access data from the NINDSS please contact the NINDSS Data Requests inbox.</w:t>
      </w:r>
      <w:r w:rsidR="00FE497F">
        <w:rPr>
          <w:rStyle w:val="FootnoteReference"/>
        </w:rPr>
        <w:footnoteReference w:id="5"/>
      </w:r>
      <w:r>
        <w:t xml:space="preserve"> We can then provide you with further information about the process and the required data request forms. Please note data requests for NINDSS data, including COVID data, will continue to be processed in line with CDNA policies and procedures. The time it takes to process your request may vary depending on the type(s) of data you request and the necessary approval steps. </w:t>
      </w:r>
    </w:p>
    <w:p w14:paraId="5880311C" w14:textId="77777777" w:rsidR="001E4DF2" w:rsidRDefault="001E4DF2" w:rsidP="001E4DF2">
      <w:r>
        <w:t xml:space="preserve">We will continue to publish regular summaries and analyses of the NINDSS dataset and recommend the following resources be referred to in the meantime: </w:t>
      </w:r>
    </w:p>
    <w:p w14:paraId="48E8D989" w14:textId="5B798760" w:rsidR="001E4DF2" w:rsidRPr="00857944" w:rsidRDefault="001E4DF2" w:rsidP="00857944">
      <w:pPr>
        <w:pStyle w:val="ListParagraph"/>
        <w:numPr>
          <w:ilvl w:val="0"/>
          <w:numId w:val="10"/>
        </w:numPr>
        <w:rPr>
          <w:rFonts w:eastAsia="Times New Roman"/>
        </w:rPr>
      </w:pPr>
      <w:r w:rsidRPr="00857944">
        <w:rPr>
          <w:rFonts w:eastAsia="Times New Roman"/>
        </w:rPr>
        <w:t>NINDSS summary tables;</w:t>
      </w:r>
      <w:r w:rsidR="00670EA7">
        <w:rPr>
          <w:rStyle w:val="FootnoteReference"/>
          <w:rFonts w:eastAsia="Times New Roman"/>
        </w:rPr>
        <w:footnoteReference w:id="6"/>
      </w:r>
      <w:r w:rsidRPr="00857944">
        <w:rPr>
          <w:rFonts w:eastAsia="Times New Roman"/>
        </w:rPr>
        <w:t xml:space="preserve"> </w:t>
      </w:r>
    </w:p>
    <w:p w14:paraId="27EE38DC" w14:textId="4010391F" w:rsidR="001E4DF2" w:rsidRPr="00857944" w:rsidRDefault="001E4DF2" w:rsidP="00857944">
      <w:pPr>
        <w:pStyle w:val="ListParagraph"/>
        <w:numPr>
          <w:ilvl w:val="0"/>
          <w:numId w:val="10"/>
        </w:numPr>
        <w:rPr>
          <w:rFonts w:eastAsia="Times New Roman"/>
        </w:rPr>
      </w:pPr>
      <w:r w:rsidRPr="00857944">
        <w:rPr>
          <w:rFonts w:eastAsia="Times New Roman"/>
        </w:rPr>
        <w:t>Daily case summary of cases;</w:t>
      </w:r>
      <w:r w:rsidR="000F68DD">
        <w:rPr>
          <w:rStyle w:val="FootnoteReference"/>
          <w:rFonts w:eastAsia="Times New Roman"/>
        </w:rPr>
        <w:footnoteReference w:id="7"/>
      </w:r>
      <w:r w:rsidRPr="00857944">
        <w:rPr>
          <w:rFonts w:eastAsia="Times New Roman"/>
        </w:rPr>
        <w:t xml:space="preserve"> </w:t>
      </w:r>
    </w:p>
    <w:p w14:paraId="79080C76" w14:textId="560776D6" w:rsidR="001E4DF2" w:rsidRPr="00857944" w:rsidRDefault="001E4DF2" w:rsidP="00857944">
      <w:pPr>
        <w:pStyle w:val="ListParagraph"/>
        <w:numPr>
          <w:ilvl w:val="0"/>
          <w:numId w:val="10"/>
        </w:numPr>
        <w:rPr>
          <w:rFonts w:eastAsia="Times New Roman"/>
        </w:rPr>
      </w:pPr>
      <w:r w:rsidRPr="00857944">
        <w:rPr>
          <w:rStyle w:val="Emphasis"/>
          <w:rFonts w:eastAsia="Times New Roman"/>
          <w:b w:val="0"/>
          <w:bCs w:val="0"/>
        </w:rPr>
        <w:t>Communicable Diseases Intelligence</w:t>
      </w:r>
      <w:r w:rsidRPr="00857944">
        <w:rPr>
          <w:rFonts w:eastAsia="Times New Roman"/>
        </w:rPr>
        <w:t xml:space="preserve"> COVID-19 epidemiology report;</w:t>
      </w:r>
      <w:r w:rsidR="001D4E41">
        <w:rPr>
          <w:rStyle w:val="FootnoteReference"/>
          <w:rFonts w:eastAsia="Times New Roman"/>
        </w:rPr>
        <w:footnoteReference w:id="8"/>
      </w:r>
      <w:r w:rsidRPr="00857944">
        <w:rPr>
          <w:rFonts w:eastAsia="Times New Roman"/>
        </w:rPr>
        <w:t xml:space="preserve"> </w:t>
      </w:r>
    </w:p>
    <w:p w14:paraId="44D30214" w14:textId="756247D7" w:rsidR="001E4DF2" w:rsidRPr="00857944" w:rsidRDefault="001E4DF2" w:rsidP="00857944">
      <w:pPr>
        <w:pStyle w:val="ListParagraph"/>
        <w:numPr>
          <w:ilvl w:val="0"/>
          <w:numId w:val="10"/>
        </w:numPr>
        <w:rPr>
          <w:rFonts w:eastAsia="Times New Roman"/>
        </w:rPr>
      </w:pPr>
      <w:r w:rsidRPr="00857944">
        <w:rPr>
          <w:rFonts w:eastAsia="Times New Roman"/>
        </w:rPr>
        <w:t xml:space="preserve">State and territory public health websites. </w:t>
      </w:r>
    </w:p>
    <w:p w14:paraId="6E0392CD" w14:textId="77777777" w:rsidR="001E4DF2" w:rsidRDefault="001E4DF2" w:rsidP="001E4DF2">
      <w:r>
        <w:rPr>
          <w:rStyle w:val="Strong"/>
        </w:rPr>
        <w:t xml:space="preserve">Q: Can I request access to data at postcode level of confirmed cases? </w:t>
      </w:r>
    </w:p>
    <w:p w14:paraId="1A23C500" w14:textId="77777777" w:rsidR="001E4DF2" w:rsidRDefault="001E4DF2" w:rsidP="001E4DF2">
      <w:r>
        <w:t xml:space="preserve">A: Data at this level cannot be released without ethics approval and permission would need to be sought from all states and territories via CDNA. As noted above, specific requests for NINDSS data are currently on hold. </w:t>
      </w:r>
    </w:p>
    <w:p w14:paraId="694954A8" w14:textId="77777777" w:rsidR="001E4DF2" w:rsidRDefault="001E4DF2" w:rsidP="001E4DF2">
      <w:r>
        <w:t xml:space="preserve">Where current or recent reported case numbers are high enough to justify it, a GIS/mapping analysis of cases will be included in the CDI COVID-19 epidemiology report. </w:t>
      </w:r>
      <w:proofErr w:type="gramStart"/>
      <w:r>
        <w:t>In order to</w:t>
      </w:r>
      <w:proofErr w:type="gramEnd"/>
      <w:r>
        <w:t xml:space="preserve"> protect privacy of confirmed cases, data in this map will be presented at SA3 level. </w:t>
      </w:r>
    </w:p>
    <w:p w14:paraId="3D41B20F" w14:textId="77777777" w:rsidR="001E4DF2" w:rsidRDefault="001E4DF2" w:rsidP="001E4DF2">
      <w:r>
        <w:rPr>
          <w:rStyle w:val="Strong"/>
        </w:rPr>
        <w:t xml:space="preserve">Q: Where do I find the COVID-19 background information which was included as Appendix A in previous epidemiology reports? </w:t>
      </w:r>
    </w:p>
    <w:p w14:paraId="5C5BF731" w14:textId="056F2ABD" w:rsidR="008B5348" w:rsidRPr="009B4733" w:rsidRDefault="001E4DF2" w:rsidP="009B4733">
      <w:pPr>
        <w:rPr>
          <w:rStyle w:val="A10"/>
          <w:rFonts w:cstheme="minorBidi"/>
          <w:color w:val="auto"/>
        </w:rPr>
      </w:pPr>
      <w:r>
        <w:lastRenderedPageBreak/>
        <w:t>A: This information was most recently published in Epidemiology Report 24</w:t>
      </w:r>
      <w:r w:rsidR="008E5080">
        <w:t>.</w:t>
      </w:r>
      <w:r w:rsidR="00F14F4A">
        <w:rPr>
          <w:rStyle w:val="FootnoteReference"/>
        </w:rPr>
        <w:footnoteReference w:id="9"/>
      </w:r>
      <w:r>
        <w:t xml:space="preserve"> Additional information can be found in the CDNA Series of National Guidelines (SoNG) for COVID-19.</w:t>
      </w:r>
      <w:r w:rsidR="005068CB">
        <w:rPr>
          <w:rStyle w:val="FootnoteReference"/>
        </w:rPr>
        <w:footnoteReference w:id="10"/>
      </w:r>
      <w:r w:rsidR="008B5348">
        <w:rPr>
          <w:rStyle w:val="A10"/>
        </w:rPr>
        <w:br w:type="page"/>
      </w:r>
    </w:p>
    <w:p w14:paraId="25E64382" w14:textId="77777777"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0DB8907F"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C8C097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352FB76" w14:textId="77777777" w:rsidR="000A5F42" w:rsidRPr="000606CC" w:rsidRDefault="000A5F42" w:rsidP="000A5F42">
      <w:pPr>
        <w:pStyle w:val="NoSpacing"/>
        <w:rPr>
          <w:rStyle w:val="URI"/>
          <w:rFonts w:cstheme="minorHAnsi"/>
          <w:sz w:val="20"/>
          <w:szCs w:val="18"/>
        </w:rPr>
      </w:pPr>
    </w:p>
    <w:p w14:paraId="4185956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CC0E7A8" w14:textId="77777777" w:rsidR="000A5F42" w:rsidRPr="000606CC" w:rsidRDefault="000A5F42" w:rsidP="000A5F42">
      <w:pPr>
        <w:pStyle w:val="NoSpacing"/>
        <w:rPr>
          <w:rStyle w:val="Strong"/>
          <w:rFonts w:cstheme="minorHAnsi"/>
          <w:sz w:val="20"/>
          <w:szCs w:val="18"/>
        </w:rPr>
      </w:pPr>
    </w:p>
    <w:p w14:paraId="4F83F91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14F6BD4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8C7CD7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422406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10E422E" w14:textId="77777777" w:rsidR="000A5F42" w:rsidRPr="000606CC" w:rsidRDefault="000A5F42" w:rsidP="000A5F42">
      <w:pPr>
        <w:pStyle w:val="NoSpacing"/>
        <w:rPr>
          <w:rStyle w:val="Strong"/>
          <w:rFonts w:cstheme="minorHAnsi"/>
          <w:sz w:val="20"/>
          <w:szCs w:val="18"/>
        </w:rPr>
      </w:pPr>
    </w:p>
    <w:p w14:paraId="0B0DBB7A" w14:textId="4D63D6B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8DDE5DA" w14:textId="77777777" w:rsidR="000A5F42" w:rsidRPr="000606CC" w:rsidRDefault="000A5F42" w:rsidP="000A5F42">
      <w:pPr>
        <w:pStyle w:val="NoSpacing"/>
        <w:rPr>
          <w:rStyle w:val="Strong"/>
          <w:rFonts w:cstheme="minorHAnsi"/>
          <w:sz w:val="20"/>
          <w:szCs w:val="18"/>
        </w:rPr>
      </w:pPr>
    </w:p>
    <w:p w14:paraId="63C7AE5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7E773642" w14:textId="77777777" w:rsidR="000A5F42" w:rsidRPr="000606CC" w:rsidRDefault="000A5F42" w:rsidP="000A5F42">
      <w:pPr>
        <w:pStyle w:val="NoSpacing"/>
        <w:rPr>
          <w:rStyle w:val="Strong"/>
          <w:rFonts w:cstheme="minorHAnsi"/>
          <w:sz w:val="20"/>
          <w:szCs w:val="18"/>
        </w:rPr>
      </w:pPr>
    </w:p>
    <w:p w14:paraId="3E698434" w14:textId="6531326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1018D0A" w14:textId="77777777" w:rsidR="000A5F42" w:rsidRPr="000606CC" w:rsidRDefault="000A5F42" w:rsidP="000A5F42">
      <w:pPr>
        <w:pStyle w:val="NoSpacing"/>
        <w:rPr>
          <w:rStyle w:val="Strong"/>
          <w:rFonts w:cstheme="minorHAnsi"/>
          <w:sz w:val="20"/>
          <w:szCs w:val="18"/>
        </w:rPr>
      </w:pPr>
    </w:p>
    <w:p w14:paraId="638CA3C7" w14:textId="6D4EE9A8"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573FFE8" w14:textId="1037A92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E2D2F5C" w14:textId="77777777" w:rsidR="000A5F42" w:rsidRPr="000606CC" w:rsidRDefault="000A5F42" w:rsidP="000A5F42">
      <w:pPr>
        <w:pStyle w:val="NoSpacing"/>
        <w:pBdr>
          <w:bottom w:val="single" w:sz="6" w:space="1" w:color="auto"/>
        </w:pBdr>
        <w:rPr>
          <w:rStyle w:val="Strong"/>
          <w:rFonts w:cstheme="minorHAnsi"/>
          <w:sz w:val="12"/>
          <w:szCs w:val="18"/>
        </w:rPr>
      </w:pPr>
    </w:p>
    <w:p w14:paraId="567ED295" w14:textId="77777777" w:rsidR="000A5F42" w:rsidRPr="000606CC" w:rsidRDefault="000A5F42" w:rsidP="000A5F42">
      <w:pPr>
        <w:pStyle w:val="NoSpacing"/>
        <w:rPr>
          <w:rFonts w:cstheme="minorHAnsi"/>
          <w:sz w:val="20"/>
          <w:szCs w:val="18"/>
        </w:rPr>
      </w:pPr>
    </w:p>
    <w:p w14:paraId="5A61893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AD95905" w14:textId="77777777" w:rsidR="000A5F42" w:rsidRPr="000606CC" w:rsidRDefault="000A5F42" w:rsidP="000A5F42">
      <w:pPr>
        <w:pStyle w:val="NoSpacing"/>
        <w:rPr>
          <w:rFonts w:cstheme="minorHAnsi"/>
          <w:sz w:val="20"/>
          <w:szCs w:val="18"/>
        </w:rPr>
      </w:pPr>
    </w:p>
    <w:p w14:paraId="2F38F97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7C6622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50B066E8" w14:textId="3A94F52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A68ABF9" w14:textId="77777777" w:rsidR="000A5F42" w:rsidRPr="000606CC" w:rsidRDefault="000A5F42" w:rsidP="000A5F42">
      <w:pPr>
        <w:pStyle w:val="NoSpacing"/>
        <w:rPr>
          <w:rFonts w:cstheme="minorHAnsi"/>
          <w:sz w:val="20"/>
          <w:szCs w:val="18"/>
        </w:rPr>
      </w:pPr>
    </w:p>
    <w:p w14:paraId="3C9A333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2AAC070" w14:textId="1FCAD25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6BA52FC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3B279E4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9EFA2E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948FF4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0757FB1" w14:textId="77777777" w:rsidR="000A5F42" w:rsidRPr="000606CC" w:rsidRDefault="000A5F42" w:rsidP="000A5F42">
      <w:pPr>
        <w:pStyle w:val="NoSpacing"/>
        <w:rPr>
          <w:rStyle w:val="Strong"/>
          <w:rFonts w:cstheme="minorHAnsi"/>
          <w:sz w:val="20"/>
          <w:szCs w:val="18"/>
        </w:rPr>
      </w:pPr>
    </w:p>
    <w:p w14:paraId="36B04E6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4BC28CC" w14:textId="77777777" w:rsidR="000A5F42" w:rsidRPr="000606CC" w:rsidRDefault="000A5F42" w:rsidP="000A5F42">
      <w:pPr>
        <w:pStyle w:val="NoSpacing"/>
        <w:rPr>
          <w:rStyle w:val="Strong"/>
          <w:rFonts w:cstheme="minorHAnsi"/>
          <w:sz w:val="20"/>
          <w:szCs w:val="18"/>
        </w:rPr>
      </w:pPr>
    </w:p>
    <w:p w14:paraId="6175F093" w14:textId="38E2C7B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49B28C6" w14:textId="77777777" w:rsidR="000A5F42" w:rsidRPr="000606CC" w:rsidRDefault="000A5F42" w:rsidP="000A5F42">
      <w:pPr>
        <w:pStyle w:val="NoSpacing"/>
        <w:rPr>
          <w:rStyle w:val="URI"/>
          <w:rFonts w:cstheme="minorHAnsi"/>
          <w:sz w:val="20"/>
          <w:szCs w:val="18"/>
        </w:rPr>
      </w:pPr>
    </w:p>
    <w:p w14:paraId="4F77E096" w14:textId="09AE120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44EFBE39"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A80F" w14:textId="77777777" w:rsidR="001C0ACC" w:rsidRDefault="001C0ACC" w:rsidP="00E54DBA">
      <w:r>
        <w:separator/>
      </w:r>
    </w:p>
    <w:p w14:paraId="08811F32" w14:textId="77777777" w:rsidR="001C0ACC" w:rsidRDefault="001C0ACC"/>
    <w:p w14:paraId="5C96692D" w14:textId="77777777" w:rsidR="001C0ACC" w:rsidRDefault="001C0ACC" w:rsidP="008714B0"/>
  </w:endnote>
  <w:endnote w:type="continuationSeparator" w:id="0">
    <w:p w14:paraId="6E59EC5E" w14:textId="77777777" w:rsidR="001C0ACC" w:rsidRDefault="001C0ACC" w:rsidP="00E54DBA">
      <w:r>
        <w:continuationSeparator/>
      </w:r>
    </w:p>
    <w:p w14:paraId="0ACDB3C9" w14:textId="77777777" w:rsidR="001C0ACC" w:rsidRDefault="001C0ACC"/>
    <w:p w14:paraId="1076CD36" w14:textId="77777777" w:rsidR="001C0ACC" w:rsidRDefault="001C0AC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4BC8" w14:textId="4A7CBDB0"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A56D1">
      <w:rPr>
        <w:i/>
        <w:sz w:val="18"/>
      </w:rPr>
      <w:t>Commun</w:t>
    </w:r>
    <w:proofErr w:type="spellEnd"/>
    <w:r w:rsidR="00CE342B" w:rsidRPr="003A56D1">
      <w:rPr>
        <w:i/>
        <w:sz w:val="18"/>
      </w:rPr>
      <w:t xml:space="preserve"> Dis </w:t>
    </w:r>
    <w:proofErr w:type="spellStart"/>
    <w:r w:rsidR="00CE342B" w:rsidRPr="003A56D1">
      <w:rPr>
        <w:i/>
        <w:sz w:val="18"/>
      </w:rPr>
      <w:t>Intell</w:t>
    </w:r>
    <w:proofErr w:type="spellEnd"/>
    <w:r w:rsidR="00CE342B" w:rsidRPr="003A56D1">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A4582">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A4582">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928DD">
      <w:rPr>
        <w:sz w:val="18"/>
      </w:rPr>
      <w:t>https://doi.org/10.33321/cdi.2021.45.2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928DD">
      <w:rPr>
        <w:sz w:val="18"/>
      </w:rPr>
      <w:t>24/3/2022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0F46" w14:textId="2D1CEE5C"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A56D1">
      <w:rPr>
        <w:i/>
        <w:sz w:val="18"/>
      </w:rPr>
      <w:t>Commun</w:t>
    </w:r>
    <w:proofErr w:type="spellEnd"/>
    <w:r w:rsidR="00A164D5" w:rsidRPr="003A56D1">
      <w:rPr>
        <w:i/>
        <w:sz w:val="18"/>
      </w:rPr>
      <w:t xml:space="preserve"> Dis </w:t>
    </w:r>
    <w:proofErr w:type="spellStart"/>
    <w:r w:rsidR="00A164D5" w:rsidRPr="003A56D1">
      <w:rPr>
        <w:i/>
        <w:sz w:val="18"/>
      </w:rPr>
      <w:t>Intell</w:t>
    </w:r>
    <w:proofErr w:type="spellEnd"/>
    <w:r w:rsidR="00A164D5" w:rsidRPr="003A56D1">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A4582">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A4582">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928DD">
      <w:rPr>
        <w:sz w:val="18"/>
      </w:rPr>
      <w:t>https://doi.org/10.33321/cdi.2021.45.2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928DD">
      <w:rPr>
        <w:sz w:val="18"/>
      </w:rPr>
      <w:t>24/3/2022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C86C" w14:textId="77777777" w:rsidR="001C0ACC" w:rsidRPr="00B91FB5" w:rsidRDefault="001C0ACC" w:rsidP="00B91FB5">
      <w:pPr>
        <w:spacing w:after="0" w:line="240" w:lineRule="auto"/>
        <w:rPr>
          <w:sz w:val="18"/>
          <w:szCs w:val="18"/>
        </w:rPr>
      </w:pPr>
      <w:r w:rsidRPr="00B91FB5">
        <w:rPr>
          <w:sz w:val="18"/>
          <w:szCs w:val="18"/>
        </w:rPr>
        <w:separator/>
      </w:r>
    </w:p>
  </w:footnote>
  <w:footnote w:type="continuationSeparator" w:id="0">
    <w:p w14:paraId="147C2D8C" w14:textId="77777777" w:rsidR="001C0ACC" w:rsidRDefault="001C0ACC" w:rsidP="00E54DBA">
      <w:r>
        <w:continuationSeparator/>
      </w:r>
    </w:p>
  </w:footnote>
  <w:footnote w:type="continuationNotice" w:id="1">
    <w:p w14:paraId="4C525ADF" w14:textId="77777777" w:rsidR="001C0ACC" w:rsidRPr="00224EFF" w:rsidRDefault="001C0ACC" w:rsidP="00224EFF">
      <w:pPr>
        <w:pStyle w:val="Footer"/>
      </w:pPr>
    </w:p>
  </w:footnote>
  <w:footnote w:id="2">
    <w:p w14:paraId="2822F33F" w14:textId="712FB887" w:rsidR="003D0BBF" w:rsidRPr="003D0BBF" w:rsidRDefault="003D0BBF" w:rsidP="003D0BBF">
      <w:pPr>
        <w:pStyle w:val="CDIfootnotes"/>
      </w:pPr>
      <w:r w:rsidRPr="003D0BBF">
        <w:rPr>
          <w:rStyle w:val="FootnoteReference"/>
          <w:vertAlign w:val="baseline"/>
        </w:rPr>
        <w:footnoteRef/>
      </w:r>
      <w:r w:rsidRPr="003D0BBF">
        <w:tab/>
        <w:t>Previously known as the National Notifiable Diseases Surveillance System (NNDSS).</w:t>
      </w:r>
    </w:p>
  </w:footnote>
  <w:footnote w:id="3">
    <w:p w14:paraId="7D71166B" w14:textId="121420B2" w:rsidR="00725F73" w:rsidRPr="00725F73" w:rsidRDefault="00725F73" w:rsidP="00725F73">
      <w:pPr>
        <w:pStyle w:val="CDIfootnotes"/>
      </w:pPr>
      <w:r w:rsidRPr="00725F73">
        <w:rPr>
          <w:rStyle w:val="FootnoteReference"/>
          <w:vertAlign w:val="baseline"/>
        </w:rPr>
        <w:footnoteRef/>
      </w:r>
      <w:r w:rsidRPr="00725F73">
        <w:tab/>
        <w:t>www.cdgn.org.au/austrakka.</w:t>
      </w:r>
    </w:p>
  </w:footnote>
  <w:footnote w:id="4">
    <w:p w14:paraId="2B8791FE" w14:textId="74FBD7A2" w:rsidR="00D10C6F" w:rsidRPr="00D10C6F" w:rsidRDefault="00D10C6F" w:rsidP="00D10C6F">
      <w:pPr>
        <w:pStyle w:val="CDIfootnotes"/>
      </w:pPr>
      <w:r w:rsidRPr="00D10C6F">
        <w:rPr>
          <w:rStyle w:val="FootnoteReference"/>
          <w:vertAlign w:val="baseline"/>
        </w:rPr>
        <w:footnoteRef/>
      </w:r>
      <w:r w:rsidRPr="00D10C6F">
        <w:tab/>
        <w:t>Additional detailed information on SARS-CoV-2 lineages can be found at https://cov-lineages.org/descriptions.html.</w:t>
      </w:r>
    </w:p>
  </w:footnote>
  <w:footnote w:id="5">
    <w:p w14:paraId="377DACBA" w14:textId="19C0B71C" w:rsidR="00FE497F" w:rsidRPr="001D4E41" w:rsidRDefault="00FE497F" w:rsidP="001D4E41">
      <w:pPr>
        <w:pStyle w:val="CDIfootnotes"/>
      </w:pPr>
      <w:r w:rsidRPr="001D4E41">
        <w:rPr>
          <w:rStyle w:val="FootnoteReference"/>
          <w:vertAlign w:val="baseline"/>
        </w:rPr>
        <w:footnoteRef/>
      </w:r>
      <w:r w:rsidRPr="001D4E41">
        <w:tab/>
        <w:t>nndss.datarequests@health.gov.au.</w:t>
      </w:r>
    </w:p>
  </w:footnote>
  <w:footnote w:id="6">
    <w:p w14:paraId="604B4A43" w14:textId="1DD37FCE" w:rsidR="00670EA7" w:rsidRPr="001D4E41" w:rsidRDefault="00670EA7" w:rsidP="001D4E41">
      <w:pPr>
        <w:pStyle w:val="CDIfootnotes"/>
      </w:pPr>
      <w:r w:rsidRPr="001D4E41">
        <w:rPr>
          <w:rStyle w:val="FootnoteReference"/>
          <w:vertAlign w:val="baseline"/>
        </w:rPr>
        <w:footnoteRef/>
      </w:r>
      <w:r w:rsidRPr="001D4E41">
        <w:tab/>
        <w:t>http://www9.health.gov.au/cda/source/cda-index.cfm.</w:t>
      </w:r>
    </w:p>
  </w:footnote>
  <w:footnote w:id="7">
    <w:p w14:paraId="496C31ED" w14:textId="7A1DE2C4" w:rsidR="000F68DD" w:rsidRPr="001D4E41" w:rsidRDefault="000F68DD" w:rsidP="001D4E41">
      <w:pPr>
        <w:pStyle w:val="CDIfootnotes"/>
      </w:pPr>
      <w:r w:rsidRPr="001D4E41">
        <w:rPr>
          <w:rStyle w:val="FootnoteReference"/>
          <w:vertAlign w:val="baseline"/>
        </w:rPr>
        <w:footnoteRef/>
      </w:r>
      <w:r w:rsidRPr="001D4E41">
        <w:tab/>
        <w:t>https://www.health.gov.au/news/health-alerts/novel-coronavirus-2019-ncov-health-alert/coronavirus-covid-19-current-situation-and-case-numbers.</w:t>
      </w:r>
    </w:p>
  </w:footnote>
  <w:footnote w:id="8">
    <w:p w14:paraId="7766D4F8" w14:textId="3F245A22" w:rsidR="001D4E41" w:rsidRDefault="001D4E41" w:rsidP="001D4E41">
      <w:pPr>
        <w:pStyle w:val="CDIfootnotes"/>
      </w:pPr>
      <w:r w:rsidRPr="001D4E41">
        <w:rPr>
          <w:rStyle w:val="FootnoteReference"/>
          <w:vertAlign w:val="baseline"/>
        </w:rPr>
        <w:footnoteRef/>
      </w:r>
      <w:r w:rsidRPr="001D4E41">
        <w:t xml:space="preserve"> https://www1.health.gov.au/internet/main/publishing.nsf/Content/novel_coronavirus_2019_ncov_weekly_epidemiology_reports_australia_2020.htm</w:t>
      </w:r>
    </w:p>
  </w:footnote>
  <w:footnote w:id="9">
    <w:p w14:paraId="29AE1770" w14:textId="7F352ED7" w:rsidR="00F14F4A" w:rsidRPr="00F14F4A" w:rsidRDefault="00F14F4A" w:rsidP="00F14F4A">
      <w:pPr>
        <w:pStyle w:val="CDIfootnotes"/>
      </w:pPr>
      <w:r w:rsidRPr="00F14F4A">
        <w:rPr>
          <w:rStyle w:val="FootnoteReference"/>
          <w:vertAlign w:val="baseline"/>
        </w:rPr>
        <w:footnoteRef/>
      </w:r>
      <w:r>
        <w:tab/>
      </w:r>
      <w:r w:rsidRPr="00F14F4A">
        <w:t>https://doi.org/10.33321/cdi.2020.44.75.</w:t>
      </w:r>
    </w:p>
  </w:footnote>
  <w:footnote w:id="10">
    <w:p w14:paraId="021F89C3" w14:textId="3736F238" w:rsidR="005068CB" w:rsidRPr="005068CB" w:rsidRDefault="005068CB" w:rsidP="005068CB">
      <w:pPr>
        <w:pStyle w:val="CDIfootnotes"/>
      </w:pPr>
      <w:r w:rsidRPr="005068CB">
        <w:rPr>
          <w:rStyle w:val="FootnoteReference"/>
          <w:vertAlign w:val="baseline"/>
        </w:rPr>
        <w:footnoteRef/>
      </w:r>
      <w:r w:rsidRPr="005068CB">
        <w:tab/>
        <w:t>https://www1.health.gov.au/internet/main/publishing.nsf/Content/cdna-song-novel-coronavirus.htm.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5ED8" w14:textId="61ABC684" w:rsidR="00257484" w:rsidRPr="00A153B6" w:rsidRDefault="001C0AC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411D9">
          <w:t>Technical supplement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EC29"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6DCF2F8" wp14:editId="156202E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E319D"/>
    <w:multiLevelType w:val="multilevel"/>
    <w:tmpl w:val="3C2E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AF610E"/>
    <w:multiLevelType w:val="hybridMultilevel"/>
    <w:tmpl w:val="28C2E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911D50"/>
    <w:multiLevelType w:val="hybridMultilevel"/>
    <w:tmpl w:val="5A5AB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B24282"/>
    <w:multiLevelType w:val="hybridMultilevel"/>
    <w:tmpl w:val="288CF5B6"/>
    <w:lvl w:ilvl="0" w:tplc="8532765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2"/>
    <w:rsid w:val="00000B5B"/>
    <w:rsid w:val="00001611"/>
    <w:rsid w:val="000104A8"/>
    <w:rsid w:val="0001246E"/>
    <w:rsid w:val="000124B1"/>
    <w:rsid w:val="00016FE6"/>
    <w:rsid w:val="00031064"/>
    <w:rsid w:val="00031692"/>
    <w:rsid w:val="00032531"/>
    <w:rsid w:val="000325A0"/>
    <w:rsid w:val="000411D9"/>
    <w:rsid w:val="000471BF"/>
    <w:rsid w:val="00047B68"/>
    <w:rsid w:val="00052600"/>
    <w:rsid w:val="0005643C"/>
    <w:rsid w:val="0006264A"/>
    <w:rsid w:val="00073D77"/>
    <w:rsid w:val="00081655"/>
    <w:rsid w:val="000864E0"/>
    <w:rsid w:val="000928DD"/>
    <w:rsid w:val="000969B3"/>
    <w:rsid w:val="000A5F42"/>
    <w:rsid w:val="000D4B4D"/>
    <w:rsid w:val="000F68DD"/>
    <w:rsid w:val="00113D58"/>
    <w:rsid w:val="001200CB"/>
    <w:rsid w:val="001378A3"/>
    <w:rsid w:val="00155582"/>
    <w:rsid w:val="00161590"/>
    <w:rsid w:val="00171CC0"/>
    <w:rsid w:val="00175494"/>
    <w:rsid w:val="00175629"/>
    <w:rsid w:val="001830EC"/>
    <w:rsid w:val="00183534"/>
    <w:rsid w:val="001A0398"/>
    <w:rsid w:val="001A4A96"/>
    <w:rsid w:val="001A5D05"/>
    <w:rsid w:val="001A76CF"/>
    <w:rsid w:val="001A796C"/>
    <w:rsid w:val="001B2614"/>
    <w:rsid w:val="001B37B8"/>
    <w:rsid w:val="001B552F"/>
    <w:rsid w:val="001C0893"/>
    <w:rsid w:val="001C0ACC"/>
    <w:rsid w:val="001C1303"/>
    <w:rsid w:val="001C70B2"/>
    <w:rsid w:val="001D37C7"/>
    <w:rsid w:val="001D4E41"/>
    <w:rsid w:val="001D6888"/>
    <w:rsid w:val="001E4DF2"/>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93D91"/>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01BB"/>
    <w:rsid w:val="003601C0"/>
    <w:rsid w:val="003635F5"/>
    <w:rsid w:val="00372A88"/>
    <w:rsid w:val="00381A0F"/>
    <w:rsid w:val="003A1B3A"/>
    <w:rsid w:val="003A40F5"/>
    <w:rsid w:val="003A56D1"/>
    <w:rsid w:val="003B5B8C"/>
    <w:rsid w:val="003D0BBF"/>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56232"/>
    <w:rsid w:val="00464A58"/>
    <w:rsid w:val="004663A2"/>
    <w:rsid w:val="00473D2D"/>
    <w:rsid w:val="004A2125"/>
    <w:rsid w:val="004A38F6"/>
    <w:rsid w:val="004B4EB6"/>
    <w:rsid w:val="004C083C"/>
    <w:rsid w:val="004C67C6"/>
    <w:rsid w:val="004D29DE"/>
    <w:rsid w:val="004E5DBD"/>
    <w:rsid w:val="005068CB"/>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B6B6A"/>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70EA7"/>
    <w:rsid w:val="006971F3"/>
    <w:rsid w:val="006A472D"/>
    <w:rsid w:val="006C74A3"/>
    <w:rsid w:val="006D1381"/>
    <w:rsid w:val="006D31BC"/>
    <w:rsid w:val="006E7943"/>
    <w:rsid w:val="006F24EA"/>
    <w:rsid w:val="00701ED2"/>
    <w:rsid w:val="00704CA9"/>
    <w:rsid w:val="0071048D"/>
    <w:rsid w:val="00710F86"/>
    <w:rsid w:val="007111A8"/>
    <w:rsid w:val="00725F73"/>
    <w:rsid w:val="00731BC3"/>
    <w:rsid w:val="00741192"/>
    <w:rsid w:val="00743A33"/>
    <w:rsid w:val="00746080"/>
    <w:rsid w:val="0075144A"/>
    <w:rsid w:val="00766F04"/>
    <w:rsid w:val="00786329"/>
    <w:rsid w:val="00792C7D"/>
    <w:rsid w:val="00794A4D"/>
    <w:rsid w:val="007A5234"/>
    <w:rsid w:val="007B7854"/>
    <w:rsid w:val="007C56A1"/>
    <w:rsid w:val="007C6454"/>
    <w:rsid w:val="007E01E0"/>
    <w:rsid w:val="007E580C"/>
    <w:rsid w:val="007F0B93"/>
    <w:rsid w:val="007F2ECA"/>
    <w:rsid w:val="00811708"/>
    <w:rsid w:val="00816B90"/>
    <w:rsid w:val="00817799"/>
    <w:rsid w:val="00822F5F"/>
    <w:rsid w:val="00824FD3"/>
    <w:rsid w:val="00826589"/>
    <w:rsid w:val="00834BCC"/>
    <w:rsid w:val="00850D54"/>
    <w:rsid w:val="00857944"/>
    <w:rsid w:val="008714B0"/>
    <w:rsid w:val="00876331"/>
    <w:rsid w:val="00880726"/>
    <w:rsid w:val="008A3544"/>
    <w:rsid w:val="008A4582"/>
    <w:rsid w:val="008B48B8"/>
    <w:rsid w:val="008B5348"/>
    <w:rsid w:val="008B58F8"/>
    <w:rsid w:val="008C0712"/>
    <w:rsid w:val="008C4520"/>
    <w:rsid w:val="008C5F09"/>
    <w:rsid w:val="008D470F"/>
    <w:rsid w:val="008D69D6"/>
    <w:rsid w:val="008E1F8F"/>
    <w:rsid w:val="008E4768"/>
    <w:rsid w:val="008E5080"/>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473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6C3D"/>
    <w:rsid w:val="00C03D55"/>
    <w:rsid w:val="00C07606"/>
    <w:rsid w:val="00C12542"/>
    <w:rsid w:val="00C24725"/>
    <w:rsid w:val="00C30BA9"/>
    <w:rsid w:val="00C3541E"/>
    <w:rsid w:val="00C36A8F"/>
    <w:rsid w:val="00C42834"/>
    <w:rsid w:val="00C42FFA"/>
    <w:rsid w:val="00C507D8"/>
    <w:rsid w:val="00C50F32"/>
    <w:rsid w:val="00C62EAC"/>
    <w:rsid w:val="00C63F9F"/>
    <w:rsid w:val="00C7723C"/>
    <w:rsid w:val="00C838F5"/>
    <w:rsid w:val="00C841C0"/>
    <w:rsid w:val="00C96085"/>
    <w:rsid w:val="00CA1AF4"/>
    <w:rsid w:val="00CA6068"/>
    <w:rsid w:val="00CB15E1"/>
    <w:rsid w:val="00CB3D46"/>
    <w:rsid w:val="00CB77D8"/>
    <w:rsid w:val="00CD1A87"/>
    <w:rsid w:val="00CD35F3"/>
    <w:rsid w:val="00CD5C93"/>
    <w:rsid w:val="00CE342B"/>
    <w:rsid w:val="00CF320C"/>
    <w:rsid w:val="00CF3A4B"/>
    <w:rsid w:val="00CF4001"/>
    <w:rsid w:val="00D05837"/>
    <w:rsid w:val="00D10C6F"/>
    <w:rsid w:val="00D12D8A"/>
    <w:rsid w:val="00D13E0C"/>
    <w:rsid w:val="00D25896"/>
    <w:rsid w:val="00D373A1"/>
    <w:rsid w:val="00D37C0F"/>
    <w:rsid w:val="00D45661"/>
    <w:rsid w:val="00D45943"/>
    <w:rsid w:val="00D47D22"/>
    <w:rsid w:val="00D51865"/>
    <w:rsid w:val="00D51D0C"/>
    <w:rsid w:val="00D70504"/>
    <w:rsid w:val="00D74140"/>
    <w:rsid w:val="00D77EEE"/>
    <w:rsid w:val="00DA6E56"/>
    <w:rsid w:val="00DC24E5"/>
    <w:rsid w:val="00DC6705"/>
    <w:rsid w:val="00DD2DE8"/>
    <w:rsid w:val="00DD5B6A"/>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1577"/>
    <w:rsid w:val="00EA3D54"/>
    <w:rsid w:val="00EA56D9"/>
    <w:rsid w:val="00EA5CE3"/>
    <w:rsid w:val="00EB51C1"/>
    <w:rsid w:val="00EB5AE1"/>
    <w:rsid w:val="00EB5E0B"/>
    <w:rsid w:val="00EC2171"/>
    <w:rsid w:val="00ED442D"/>
    <w:rsid w:val="00ED70C2"/>
    <w:rsid w:val="00EE13CF"/>
    <w:rsid w:val="00EE18FF"/>
    <w:rsid w:val="00EE489F"/>
    <w:rsid w:val="00F0647F"/>
    <w:rsid w:val="00F10CE3"/>
    <w:rsid w:val="00F12006"/>
    <w:rsid w:val="00F14F3B"/>
    <w:rsid w:val="00F14F4A"/>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D1EE2"/>
    <w:rsid w:val="00FE2AE4"/>
    <w:rsid w:val="00FE497F"/>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981C9"/>
  <w15:docId w15:val="{21FF35EE-9D95-4CD7-BF72-4B047846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D77EEE"/>
    <w:rPr>
      <w:sz w:val="16"/>
      <w:szCs w:val="16"/>
    </w:rPr>
  </w:style>
  <w:style w:type="paragraph" w:styleId="CommentText">
    <w:name w:val="annotation text"/>
    <w:basedOn w:val="Normal"/>
    <w:link w:val="CommentTextChar"/>
    <w:uiPriority w:val="99"/>
    <w:semiHidden/>
    <w:unhideWhenUsed/>
    <w:rsid w:val="00D77EEE"/>
    <w:pPr>
      <w:spacing w:line="240" w:lineRule="auto"/>
    </w:pPr>
    <w:rPr>
      <w:sz w:val="20"/>
      <w:szCs w:val="20"/>
    </w:rPr>
  </w:style>
  <w:style w:type="character" w:customStyle="1" w:styleId="CommentTextChar">
    <w:name w:val="Comment Text Char"/>
    <w:basedOn w:val="DefaultParagraphFont"/>
    <w:link w:val="CommentText"/>
    <w:uiPriority w:val="99"/>
    <w:semiHidden/>
    <w:rsid w:val="00D77EEE"/>
    <w:rPr>
      <w:sz w:val="20"/>
      <w:szCs w:val="20"/>
    </w:rPr>
  </w:style>
  <w:style w:type="paragraph" w:styleId="CommentSubject">
    <w:name w:val="annotation subject"/>
    <w:basedOn w:val="CommentText"/>
    <w:next w:val="CommentText"/>
    <w:link w:val="CommentSubjectChar"/>
    <w:uiPriority w:val="99"/>
    <w:semiHidden/>
    <w:unhideWhenUsed/>
    <w:rsid w:val="00D77EEE"/>
    <w:rPr>
      <w:b/>
      <w:bCs/>
    </w:rPr>
  </w:style>
  <w:style w:type="character" w:customStyle="1" w:styleId="CommentSubjectChar">
    <w:name w:val="Comment Subject Char"/>
    <w:basedOn w:val="CommentTextChar"/>
    <w:link w:val="CommentSubject"/>
    <w:uiPriority w:val="99"/>
    <w:semiHidden/>
    <w:rsid w:val="00D77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reporting - Last updated 22 February 2022</vt:lpstr>
    </vt:vector>
  </TitlesOfParts>
  <Company>Australian Government, Department of Health</Company>
  <LinksUpToDate>false</LinksUpToDate>
  <CharactersWithSpaces>31801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reporting - Last updated 22 February 2022</dc:title>
  <dc:subject>This supplement to the series of regular Australian coronavirus disease 2019 (COVID-19) epidemiological reports describes the technical background to the surveillance data reported through Communicable Diseases Network Australia (CDNA) as part of the nationally-coordinated response to COVID-19.</dc:subject>
  <dc:creator>COVID-19 National Incident Room Surveillance Team</dc:creator>
  <cp:keywords>2019-nCoV; Australia; COVID-19; acute respiratory disease; coronavirus disease 2019; epidemiology; novel coronavirus; SARS-CoV-2</cp:keywords>
  <dc:description>© Commonwealth of Australia CC BY-NC-ND ISSN: 2209-6051 (Online)</dc:description>
  <cp:lastModifiedBy>YOUSEFI, Kasra</cp:lastModifiedBy>
  <cp:revision>7</cp:revision>
  <cp:lastPrinted>2018-05-10T02:19:00Z</cp:lastPrinted>
  <dcterms:created xsi:type="dcterms:W3CDTF">2022-02-24T22:49:00Z</dcterms:created>
  <dcterms:modified xsi:type="dcterms:W3CDTF">2022-03-24T01:35:00Z</dcterms:modified>
  <cp:category>Technical supplement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24/3/2022</vt:lpwstr>
  </property>
  <property fmtid="{D5CDD505-2E9C-101B-9397-08002B2CF9AE}" pid="5" name="DOI">
    <vt:lpwstr>https://doi.org/10.33321/cdi.2021.45.2</vt:lpwstr>
  </property>
</Properties>
</file>