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D2E61" w14:textId="36BBBB2A" w:rsidR="00B50D8D" w:rsidRPr="00341720" w:rsidRDefault="009533E1" w:rsidP="00341720">
      <w:pPr>
        <w:pStyle w:val="CDIDOIInformation"/>
      </w:pPr>
      <w:r w:rsidRPr="00341720">
        <w:fldChar w:fldCharType="begin"/>
      </w:r>
      <w:r w:rsidRPr="00341720">
        <w:instrText xml:space="preserve"> DOCPROPERTY  Year  \* MERGEFORMAT </w:instrText>
      </w:r>
      <w:r w:rsidRPr="00341720">
        <w:fldChar w:fldCharType="separate"/>
      </w:r>
      <w:r w:rsidR="00C47780" w:rsidRPr="00341720">
        <w:t>2024</w:t>
      </w:r>
      <w:r w:rsidRPr="00341720">
        <w:fldChar w:fldCharType="end"/>
      </w:r>
      <w:r w:rsidR="00A623E8" w:rsidRPr="00341720">
        <w:t xml:space="preserve"> • </w:t>
      </w:r>
      <w:r w:rsidR="00B50D8D" w:rsidRPr="00341720">
        <w:t xml:space="preserve">Volume </w:t>
      </w:r>
      <w:r w:rsidR="00D56D46">
        <w:fldChar w:fldCharType="begin"/>
      </w:r>
      <w:r w:rsidR="00D56D46">
        <w:instrText xml:space="preserve"> DOCPROPERTY  Vol  \* MERGEFORMAT </w:instrText>
      </w:r>
      <w:r w:rsidR="00D56D46">
        <w:fldChar w:fldCharType="separate"/>
      </w:r>
      <w:r w:rsidR="00C47780" w:rsidRPr="00341720">
        <w:t>48</w:t>
      </w:r>
      <w:r w:rsidR="00D56D46">
        <w:fldChar w:fldCharType="end"/>
      </w:r>
      <w:r w:rsidR="00725C33" w:rsidRPr="00341720">
        <w:t xml:space="preserve"> </w:t>
      </w:r>
      <w:r w:rsidR="008E3F81" w:rsidRPr="00341720">
        <w:t>•</w:t>
      </w:r>
      <w:r w:rsidR="00725C33" w:rsidRPr="00341720">
        <w:t xml:space="preserve"> </w:t>
      </w:r>
      <w:r w:rsidR="00D56D46">
        <w:fldChar w:fldCharType="begin"/>
      </w:r>
      <w:r w:rsidR="00D56D46">
        <w:instrText xml:space="preserve"> DOCPROPERTY  DOI  \* MERGEFORMAT </w:instrText>
      </w:r>
      <w:r w:rsidR="00D56D46">
        <w:fldChar w:fldCharType="separate"/>
      </w:r>
      <w:r w:rsidR="004B7A20">
        <w:t>https://doi.org/10.33321/cdi.2024.48.8</w:t>
      </w:r>
      <w:r w:rsidR="00D56D46">
        <w:fldChar w:fldCharType="end"/>
      </w:r>
      <w:r w:rsidR="00725C33" w:rsidRPr="00341720">
        <w:t xml:space="preserve"> </w:t>
      </w:r>
      <w:r w:rsidR="00D20FB5" w:rsidRPr="00341720">
        <w:t>•</w:t>
      </w:r>
      <w:r w:rsidR="00D20FB5">
        <w:t xml:space="preserve"> </w:t>
      </w:r>
      <w:r w:rsidR="00D20FB5" w:rsidRPr="00341720">
        <w:t xml:space="preserve">Electronic publication date: </w:t>
      </w:r>
      <w:fldSimple w:instr=" DOCPROPERTY  ePubDate  \* MERGEFORMAT ">
        <w:r w:rsidR="00D56D46">
          <w:t>10/04/2024</w:t>
        </w:r>
      </w:fldSimple>
    </w:p>
    <w:p w14:paraId="66AF6541" w14:textId="527A7A52" w:rsidR="00E30C30" w:rsidRPr="003F5172" w:rsidRDefault="004B7A20" w:rsidP="003F5172">
      <w:pPr>
        <w:pStyle w:val="Title"/>
        <w:divId w:val="935526654"/>
      </w:pPr>
      <w:r w:rsidRPr="004B7A20">
        <w:t>A severe case of swimmer’s itch in Victoria, Australia with bullous eruption</w:t>
      </w:r>
    </w:p>
    <w:p w14:paraId="510A6B67" w14:textId="06D395C8" w:rsidR="007A33B9" w:rsidRDefault="004B7A20" w:rsidP="007A33B9">
      <w:pPr>
        <w:pStyle w:val="Subtitle"/>
        <w:divId w:val="935526654"/>
      </w:pPr>
      <w:r w:rsidRPr="004B7A20">
        <w:t xml:space="preserve">Michael </w:t>
      </w:r>
      <w:proofErr w:type="spellStart"/>
      <w:r w:rsidRPr="004B7A20">
        <w:t>Sangiorgio</w:t>
      </w:r>
      <w:proofErr w:type="spellEnd"/>
      <w:r w:rsidRPr="004B7A20">
        <w:t xml:space="preserve">, Karen Liu, Lachlan Lau, Charlotte Krones, Adrian Tramontana, James </w:t>
      </w:r>
      <w:proofErr w:type="spellStart"/>
      <w:r w:rsidRPr="004B7A20">
        <w:t>Molton</w:t>
      </w:r>
      <w:proofErr w:type="spellEnd"/>
      <w:r w:rsidRPr="004B7A20">
        <w:t>, Alex Nirenberg</w:t>
      </w:r>
    </w:p>
    <w:p w14:paraId="1C4D91E2" w14:textId="1E001A05" w:rsidR="00E30C30" w:rsidRDefault="004B7A20" w:rsidP="003F5172">
      <w:pPr>
        <w:pStyle w:val="Heading1"/>
        <w:divId w:val="935526654"/>
      </w:pPr>
      <w:r>
        <w:t>Abstract</w:t>
      </w:r>
    </w:p>
    <w:p w14:paraId="1A5DEC9B" w14:textId="77777777" w:rsidR="004B7A20" w:rsidRPr="004B7A20" w:rsidRDefault="004B7A20" w:rsidP="004B7A20">
      <w:pPr>
        <w:divId w:val="935526654"/>
        <w:rPr>
          <w:lang w:val="en-GB"/>
        </w:rPr>
      </w:pPr>
      <w:r w:rsidRPr="004B7A20">
        <w:rPr>
          <w:lang w:val="en-GB"/>
        </w:rPr>
        <w:t xml:space="preserve">Cutaneous schistosomiasis (swimmer’s itch) is an itchy maculopapular rash that follows skin penetration by cercariae of nonhuman schistosomes, during fresh or brackish water exposure. It is typically a mild skin reaction that settles in one to three weeks. </w:t>
      </w:r>
    </w:p>
    <w:p w14:paraId="204AB40D" w14:textId="77777777" w:rsidR="004B7A20" w:rsidRPr="004B7A20" w:rsidRDefault="004B7A20" w:rsidP="004B7A20">
      <w:pPr>
        <w:spacing w:after="240"/>
        <w:divId w:val="935526654"/>
        <w:rPr>
          <w:lang w:val="en-GB"/>
        </w:rPr>
      </w:pPr>
      <w:r w:rsidRPr="004B7A20">
        <w:rPr>
          <w:lang w:val="en-GB"/>
        </w:rPr>
        <w:t>Here we describe a case of severe swimmer’s itch acquired in Victoria, Australia, with widespread bullous lesions on water-exposed areas of skin. This case presented a diagnostic challenge and is unique given the severity of the reaction and the geographic occurrence; the condition rarely causes bullae, and to date has been reported only in more northern latitudes of Australia. With climate change trends, swimmer’s itch is likely to become increasingly prevalent in more temperate regions, illustrating the importance of clinician awareness of this condition.</w:t>
      </w:r>
    </w:p>
    <w:p w14:paraId="6CEA23F9" w14:textId="77777777" w:rsidR="004B7A20" w:rsidRPr="004B7A20" w:rsidRDefault="004B7A20" w:rsidP="004B7A20">
      <w:pPr>
        <w:pStyle w:val="CDIBoxTextGreen"/>
        <w:divId w:val="935526654"/>
        <w:rPr>
          <w:lang w:val="en-GB"/>
        </w:rPr>
      </w:pPr>
      <w:r w:rsidRPr="004B7A20">
        <w:rPr>
          <w:lang w:val="en-GB"/>
        </w:rPr>
        <w:t>Keywords: Swimmer’s itch; cercarial dermatitis; avian schistosomiasis</w:t>
      </w:r>
    </w:p>
    <w:p w14:paraId="177E4CD5" w14:textId="6760EF8E" w:rsidR="002C3003" w:rsidRPr="0009348B" w:rsidRDefault="004B7A20" w:rsidP="0009348B">
      <w:pPr>
        <w:pStyle w:val="Heading1"/>
        <w:divId w:val="935526654"/>
      </w:pPr>
      <w:r w:rsidRPr="0009348B">
        <w:t>Case</w:t>
      </w:r>
    </w:p>
    <w:p w14:paraId="61FB9EE8" w14:textId="77777777" w:rsidR="0009348B" w:rsidRDefault="0009348B" w:rsidP="0009348B">
      <w:pPr>
        <w:divId w:val="935526654"/>
        <w:rPr>
          <w:vertAlign w:val="superscript"/>
          <w:lang w:val="en-GB"/>
        </w:rPr>
      </w:pPr>
      <w:r w:rsidRPr="0009348B">
        <w:rPr>
          <w:lang w:val="en-GB"/>
        </w:rPr>
        <w:t>A 56-year-old woman presented to our health service in February 2023 with a seven-day history of a progressive pruritic cutaneous eruption after swimming in the Jawbone Marine Sanctuary in Williamstown, Victoria. The Marine Sanctuary is a coastal haven with a wide range of marine and bird life (including marine snails) in diverse habitats (Figure 1).</w:t>
      </w:r>
      <w:r w:rsidRPr="0009348B">
        <w:rPr>
          <w:vertAlign w:val="superscript"/>
          <w:lang w:val="en-GB"/>
        </w:rPr>
        <w:t>1</w:t>
      </w:r>
      <w:r w:rsidRPr="0009348B">
        <w:rPr>
          <w:lang w:val="en-GB"/>
        </w:rPr>
        <w:t xml:space="preserve"> The sanctuary has access to Port Phillip Bay, but freshwater runoff from a creek and stormwater drains </w:t>
      </w:r>
      <w:proofErr w:type="gramStart"/>
      <w:r w:rsidRPr="0009348B">
        <w:rPr>
          <w:lang w:val="en-GB"/>
        </w:rPr>
        <w:t>create</w:t>
      </w:r>
      <w:proofErr w:type="gramEnd"/>
      <w:r w:rsidRPr="0009348B">
        <w:rPr>
          <w:lang w:val="en-GB"/>
        </w:rPr>
        <w:t xml:space="preserve"> episodes of brackish water.</w:t>
      </w:r>
      <w:r w:rsidRPr="0009348B">
        <w:rPr>
          <w:vertAlign w:val="superscript"/>
          <w:lang w:val="en-GB"/>
        </w:rPr>
        <w:t>1</w:t>
      </w:r>
    </w:p>
    <w:p w14:paraId="29486831" w14:textId="77777777" w:rsidR="0009348B" w:rsidRPr="0009348B" w:rsidRDefault="0009348B" w:rsidP="0009348B">
      <w:pPr>
        <w:pStyle w:val="CDIFigure-Table-ImagePlaceholder"/>
        <w:divId w:val="935526654"/>
      </w:pPr>
    </w:p>
    <w:p w14:paraId="7926B4CF" w14:textId="77777777" w:rsidR="00187511" w:rsidRPr="00323916" w:rsidRDefault="00187511" w:rsidP="00187511">
      <w:pPr>
        <w:pStyle w:val="CDIFigure-Table-Title"/>
        <w:divId w:val="935526654"/>
      </w:pPr>
      <w:r w:rsidRPr="0009348B">
        <w:lastRenderedPageBreak/>
        <w:t xml:space="preserve">Figure 1: Jawbone Marine Sanctuary, Victoria, </w:t>
      </w:r>
      <w:proofErr w:type="spellStart"/>
      <w:r w:rsidRPr="0009348B">
        <w:t>Australia</w:t>
      </w:r>
      <w:r w:rsidRPr="0009348B">
        <w:rPr>
          <w:vertAlign w:val="superscript"/>
        </w:rPr>
        <w:t>a</w:t>
      </w:r>
      <w:proofErr w:type="spellEnd"/>
    </w:p>
    <w:p w14:paraId="5CF35013" w14:textId="77777777" w:rsidR="00187511" w:rsidRPr="0009348B" w:rsidRDefault="00187511" w:rsidP="00187511">
      <w:pPr>
        <w:pStyle w:val="CDIFigure-Table-ImagePlaceholder"/>
        <w:spacing w:after="120"/>
        <w:divId w:val="935526654"/>
      </w:pPr>
      <w:r>
        <w:rPr>
          <w:noProof/>
          <w14:ligatures w14:val="none"/>
        </w:rPr>
        <w:drawing>
          <wp:inline distT="0" distB="0" distL="0" distR="0" wp14:anchorId="13A76A93" wp14:editId="1C00211C">
            <wp:extent cx="6120765" cy="3021965"/>
            <wp:effectExtent l="0" t="0" r="0" b="6985"/>
            <wp:docPr id="2" name="Picture 2" descr="On the left, a picture of the Jawbone Marine Sanctuary showing a walkway through shrubs and vegetation, with water in the background. On the right, an overhead map showing the shape and extent of the sanctuary within Port Phillip Bay and Williamst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On the left, a picture of the Jawbone Marine Sanctuary showing a walkway through shrubs and vegetation, with water in the background. On the right, an overhead map showing the shape and extent of the sanctuary within Port Phillip Bay and Williamstown."/>
                    <pic:cNvPicPr/>
                  </pic:nvPicPr>
                  <pic:blipFill>
                    <a:blip r:embed="rId9">
                      <a:extLst>
                        <a:ext uri="{28A0092B-C50C-407E-A947-70E740481C1C}">
                          <a14:useLocalDpi xmlns:a14="http://schemas.microsoft.com/office/drawing/2010/main" val="0"/>
                        </a:ext>
                      </a:extLst>
                    </a:blip>
                    <a:stretch>
                      <a:fillRect/>
                    </a:stretch>
                  </pic:blipFill>
                  <pic:spPr>
                    <a:xfrm>
                      <a:off x="0" y="0"/>
                      <a:ext cx="6120765" cy="3021965"/>
                    </a:xfrm>
                    <a:prstGeom prst="rect">
                      <a:avLst/>
                    </a:prstGeom>
                  </pic:spPr>
                </pic:pic>
              </a:graphicData>
            </a:graphic>
          </wp:inline>
        </w:drawing>
      </w:r>
    </w:p>
    <w:p w14:paraId="7D53D1E0" w14:textId="77777777" w:rsidR="00187511" w:rsidRPr="0009348B" w:rsidRDefault="00187511" w:rsidP="00187511">
      <w:pPr>
        <w:pStyle w:val="CDIFigure-Table-Footnote"/>
        <w:divId w:val="935526654"/>
      </w:pPr>
      <w:proofErr w:type="spellStart"/>
      <w:proofErr w:type="gramStart"/>
      <w:r w:rsidRPr="0009348B">
        <w:t>a</w:t>
      </w:r>
      <w:proofErr w:type="spellEnd"/>
      <w:proofErr w:type="gramEnd"/>
      <w:r w:rsidRPr="0009348B">
        <w:tab/>
        <w:t>Image credit: Parks Victoria. Source of images: https://www.parks.vic.gov.au/places-to-see/parks/jawbone-marine-sanctuary.</w:t>
      </w:r>
    </w:p>
    <w:p w14:paraId="0D0C25FE" w14:textId="6489E6E3" w:rsidR="0009348B" w:rsidRPr="0009348B" w:rsidRDefault="0009348B" w:rsidP="0009348B">
      <w:pPr>
        <w:divId w:val="935526654"/>
        <w:rPr>
          <w:lang w:val="en-GB"/>
        </w:rPr>
      </w:pPr>
      <w:r w:rsidRPr="0009348B">
        <w:rPr>
          <w:lang w:val="en-GB"/>
        </w:rPr>
        <w:t>The case’s past medical history included type II diabetes mellitus, hypertension, and dyslipidaemia. Medications were empagliflozin–metformin 12.5 mg – 1000 mg BD; sitagliptin 100 mg daily; dulaglutide 1.5</w:t>
      </w:r>
      <w:r w:rsidR="00187511">
        <w:rPr>
          <w:lang w:val="en-GB"/>
        </w:rPr>
        <w:t> </w:t>
      </w:r>
      <w:r w:rsidRPr="0009348B">
        <w:rPr>
          <w:lang w:val="en-GB"/>
        </w:rPr>
        <w:t>mg SC weekly; perindopril 2.5 mg daily; and rosuvastatin 5 mg nocte. She reported no medication allergies.</w:t>
      </w:r>
    </w:p>
    <w:p w14:paraId="261A307B" w14:textId="77777777" w:rsidR="0009348B" w:rsidRPr="0009348B" w:rsidRDefault="0009348B" w:rsidP="0009348B">
      <w:pPr>
        <w:divId w:val="935526654"/>
        <w:rPr>
          <w:lang w:val="en-GB"/>
        </w:rPr>
      </w:pPr>
      <w:r w:rsidRPr="0009348B">
        <w:rPr>
          <w:lang w:val="en-GB"/>
        </w:rPr>
        <w:t>At the sanctuary, she spent 90–120 minutes in waist-deep warm water (air temperature 34 °C), mostly snorkelling face-down, with occasional short periods standing. The water was clear, with yellow-white sand, and with no visible flora or fauna. Whilst in the water, she experienced a sensation of something crawling on her, and of her legs being bitten; after exiting, she did not immediately shower or change and waited until returning home to do so, about two hours later.</w:t>
      </w:r>
    </w:p>
    <w:p w14:paraId="55C2A2CB" w14:textId="77777777" w:rsidR="0009348B" w:rsidRPr="0009348B" w:rsidRDefault="0009348B" w:rsidP="0009348B">
      <w:pPr>
        <w:divId w:val="935526654"/>
        <w:rPr>
          <w:lang w:val="en-GB"/>
        </w:rPr>
      </w:pPr>
      <w:r w:rsidRPr="0009348B">
        <w:rPr>
          <w:lang w:val="en-GB"/>
        </w:rPr>
        <w:t xml:space="preserve">The next morning, she developed an erythematous maculopapular rash on her lower limbs; over the next 48 hours, this spread to her upper limbs, face, neck, upper chest and back. Lesions were confined to areas of skin exposed to water. She also described tingling in the affected areas which continued for several days. </w:t>
      </w:r>
    </w:p>
    <w:p w14:paraId="26EC23DC" w14:textId="77777777" w:rsidR="0009348B" w:rsidRPr="0009348B" w:rsidRDefault="0009348B" w:rsidP="0009348B">
      <w:pPr>
        <w:divId w:val="935526654"/>
        <w:rPr>
          <w:lang w:val="en-GB"/>
        </w:rPr>
      </w:pPr>
      <w:r w:rsidRPr="0009348B">
        <w:rPr>
          <w:lang w:val="en-GB"/>
        </w:rPr>
        <w:t xml:space="preserve">Over the next five days, the lesions evolved into bullae with surrounding erythema; she then presented to hospital. She denied systemic symptoms. </w:t>
      </w:r>
    </w:p>
    <w:p w14:paraId="5E16E516" w14:textId="77777777" w:rsidR="0009348B" w:rsidRPr="0009348B" w:rsidRDefault="0009348B" w:rsidP="0009348B">
      <w:pPr>
        <w:divId w:val="935526654"/>
        <w:rPr>
          <w:lang w:val="en-GB"/>
        </w:rPr>
      </w:pPr>
      <w:r w:rsidRPr="0009348B">
        <w:rPr>
          <w:lang w:val="en-GB"/>
        </w:rPr>
        <w:t>She reported no prior history of any rashes after swimming. This was her first occasion swimming in the Marine Sanctuary, although she swam regularly during summer months at beaches in Port Phillip Bay.</w:t>
      </w:r>
    </w:p>
    <w:p w14:paraId="2F5F6631" w14:textId="77777777" w:rsidR="0009348B" w:rsidRPr="0009348B" w:rsidRDefault="0009348B" w:rsidP="0009348B">
      <w:pPr>
        <w:divId w:val="935526654"/>
        <w:rPr>
          <w:lang w:val="en-GB"/>
        </w:rPr>
      </w:pPr>
      <w:r w:rsidRPr="0009348B">
        <w:rPr>
          <w:lang w:val="en-GB"/>
        </w:rPr>
        <w:t xml:space="preserve">Her brother and ten-year-old nephew were also at the sanctuary that day but swam mostly in deeper </w:t>
      </w:r>
      <w:proofErr w:type="gramStart"/>
      <w:r w:rsidRPr="0009348B">
        <w:rPr>
          <w:lang w:val="en-GB"/>
        </w:rPr>
        <w:t>water, and</w:t>
      </w:r>
      <w:proofErr w:type="gramEnd"/>
      <w:r w:rsidRPr="0009348B">
        <w:rPr>
          <w:lang w:val="en-GB"/>
        </w:rPr>
        <w:t xml:space="preserve"> showered earlier (one hour) after swimming. They developed a similar, but milder maculopapular rash, without bullae, on exposed areas of skin. Their rash largely resolved within one week.</w:t>
      </w:r>
    </w:p>
    <w:p w14:paraId="79E04089" w14:textId="77777777" w:rsidR="0009348B" w:rsidRPr="0009348B" w:rsidRDefault="0009348B" w:rsidP="0009348B">
      <w:pPr>
        <w:divId w:val="935526654"/>
        <w:rPr>
          <w:lang w:val="en-GB"/>
        </w:rPr>
      </w:pPr>
      <w:r w:rsidRPr="0009348B">
        <w:rPr>
          <w:lang w:val="en-GB"/>
        </w:rPr>
        <w:t xml:space="preserve">On examination, the patient was afebrile and haemodynamically stable. There were numerous lesions on the legs, forearms, upper back, and face with confluent bullae (up to 3–4cm length) and surrounding erythema; some bullae had ruptured and had begun to crust over (Figures 2–4). </w:t>
      </w:r>
    </w:p>
    <w:p w14:paraId="2B18C6B3" w14:textId="49E47579" w:rsidR="0009348B" w:rsidRDefault="0009348B" w:rsidP="0009348B">
      <w:pPr>
        <w:pStyle w:val="CDIFigure-Table-Title"/>
        <w:divId w:val="935526654"/>
      </w:pPr>
      <w:r w:rsidRPr="0009348B">
        <w:lastRenderedPageBreak/>
        <w:t>Figure 2: Progression of facial rash (from left to right): 9 days post exposure, 12 days post exposure, 5</w:t>
      </w:r>
      <w:r w:rsidR="00187511">
        <w:t> </w:t>
      </w:r>
      <w:r w:rsidRPr="0009348B">
        <w:t xml:space="preserve">weeks post exposure and 9 weeks post </w:t>
      </w:r>
      <w:proofErr w:type="gramStart"/>
      <w:r w:rsidRPr="0009348B">
        <w:t>exposure</w:t>
      </w:r>
      <w:proofErr w:type="gramEnd"/>
    </w:p>
    <w:p w14:paraId="07D9F683" w14:textId="536E20BE" w:rsidR="00187511" w:rsidRDefault="00187511" w:rsidP="00187511">
      <w:pPr>
        <w:pStyle w:val="CDIFigure-Table-ImagePlaceholder"/>
        <w:divId w:val="935526654"/>
      </w:pPr>
      <w:r>
        <w:rPr>
          <w:noProof/>
          <w14:ligatures w14:val="none"/>
        </w:rPr>
        <w:drawing>
          <wp:inline distT="0" distB="0" distL="0" distR="0" wp14:anchorId="42EAF9C2" wp14:editId="45ED2A56">
            <wp:extent cx="6120521" cy="1682115"/>
            <wp:effectExtent l="0" t="0" r="0" b="0"/>
            <wp:docPr id="3" name="Picture 3" descr="Progression of facial rash from left to right: 9 days post exposure (showing lesions on the cheek and chin) 12 days post exposure (significant progression of lesions with lesions on nose, chin, cheeks and top lip with redness and inflammation), 5 weeks post exposure (with significant resolution of lesions) and 9 weeks post exposure (almost complete reso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rogression of facial rash from left to right: 9 days post exposure (showing lesions on the cheek and chin) 12 days post exposure (significant progression of lesions with lesions on nose, chin, cheeks and top lip with redness and inflammation), 5 weeks post exposure (with significant resolution of lesions) and 9 weeks post exposure (almost complete resolution)."/>
                    <pic:cNvPicPr/>
                  </pic:nvPicPr>
                  <pic:blipFill>
                    <a:blip r:embed="rId10">
                      <a:extLst>
                        <a:ext uri="{28A0092B-C50C-407E-A947-70E740481C1C}">
                          <a14:useLocalDpi xmlns:a14="http://schemas.microsoft.com/office/drawing/2010/main" val="0"/>
                        </a:ext>
                      </a:extLst>
                    </a:blip>
                    <a:stretch>
                      <a:fillRect/>
                    </a:stretch>
                  </pic:blipFill>
                  <pic:spPr>
                    <a:xfrm>
                      <a:off x="0" y="0"/>
                      <a:ext cx="6120521" cy="1682115"/>
                    </a:xfrm>
                    <a:prstGeom prst="rect">
                      <a:avLst/>
                    </a:prstGeom>
                  </pic:spPr>
                </pic:pic>
              </a:graphicData>
            </a:graphic>
          </wp:inline>
        </w:drawing>
      </w:r>
    </w:p>
    <w:p w14:paraId="2DAB203C" w14:textId="77777777" w:rsidR="00187511" w:rsidRDefault="00187511" w:rsidP="00187511">
      <w:pPr>
        <w:pStyle w:val="CDIFigure-Table-Title"/>
        <w:spacing w:before="360"/>
        <w:divId w:val="935526654"/>
      </w:pPr>
      <w:r w:rsidRPr="0009348B">
        <w:t xml:space="preserve">Figure 3: Progression of upper limb rash (from left to right): 9 days post exposure, 12 days post exposure, 5 weeks post exposure and 9 weeks post </w:t>
      </w:r>
      <w:proofErr w:type="gramStart"/>
      <w:r w:rsidRPr="0009348B">
        <w:t>exposure</w:t>
      </w:r>
      <w:proofErr w:type="gramEnd"/>
    </w:p>
    <w:p w14:paraId="190068A7" w14:textId="77777777" w:rsidR="00187511" w:rsidRPr="0009348B" w:rsidRDefault="00187511" w:rsidP="00187511">
      <w:pPr>
        <w:pStyle w:val="CDIFigure-Table-ImagePlaceholder"/>
        <w:divId w:val="935526654"/>
      </w:pPr>
      <w:r>
        <w:rPr>
          <w:noProof/>
          <w14:ligatures w14:val="none"/>
        </w:rPr>
        <w:drawing>
          <wp:inline distT="0" distB="0" distL="0" distR="0" wp14:anchorId="3FBB93C1" wp14:editId="05E00F86">
            <wp:extent cx="6120765" cy="2404745"/>
            <wp:effectExtent l="0" t="0" r="0" b="0"/>
            <wp:docPr id="4" name="Picture 4" descr="Progression of upper limb rash from left to right: 9 days post exposure (raised circular red lesions with bullous formation and surrounding erythema), 12 days post exposure (significant evolution of lesions with breakdown and crusting of bullae) , 5 weeks post exposure (lesions healed with some post inflamatory change with large pink erythematous areas) and 9 weeks post exposure (fading of erythematous ar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Progression of upper limb rash from left to right: 9 days post exposure (raised circular red lesions with bullous formation and surrounding erythema), 12 days post exposure (significant evolution of lesions with breakdown and crusting of bullae) , 5 weeks post exposure (lesions healed with some post inflamatory change with large pink erythematous areas) and 9 weeks post exposure (fading of erythematous areas)."/>
                    <pic:cNvPicPr/>
                  </pic:nvPicPr>
                  <pic:blipFill>
                    <a:blip r:embed="rId11">
                      <a:extLst>
                        <a:ext uri="{28A0092B-C50C-407E-A947-70E740481C1C}">
                          <a14:useLocalDpi xmlns:a14="http://schemas.microsoft.com/office/drawing/2010/main" val="0"/>
                        </a:ext>
                      </a:extLst>
                    </a:blip>
                    <a:stretch>
                      <a:fillRect/>
                    </a:stretch>
                  </pic:blipFill>
                  <pic:spPr>
                    <a:xfrm>
                      <a:off x="0" y="0"/>
                      <a:ext cx="6120765" cy="2404745"/>
                    </a:xfrm>
                    <a:prstGeom prst="rect">
                      <a:avLst/>
                    </a:prstGeom>
                  </pic:spPr>
                </pic:pic>
              </a:graphicData>
            </a:graphic>
          </wp:inline>
        </w:drawing>
      </w:r>
    </w:p>
    <w:p w14:paraId="3E313213" w14:textId="77777777" w:rsidR="00187511" w:rsidRDefault="00187511" w:rsidP="00187511">
      <w:pPr>
        <w:pStyle w:val="CDIFigure-Table-Title"/>
        <w:spacing w:before="360"/>
        <w:divId w:val="935526654"/>
      </w:pPr>
      <w:r w:rsidRPr="0009348B">
        <w:t xml:space="preserve">Figure 4: Progression of lower limb rash (from left to right): 9 days post exposure, 12 days post exposure, 5 weeks post exposure and 9 weeks post </w:t>
      </w:r>
      <w:proofErr w:type="gramStart"/>
      <w:r w:rsidRPr="0009348B">
        <w:t>exposure</w:t>
      </w:r>
      <w:proofErr w:type="gramEnd"/>
    </w:p>
    <w:p w14:paraId="005ADCAC" w14:textId="77777777" w:rsidR="00187511" w:rsidRPr="0009348B" w:rsidRDefault="00187511" w:rsidP="00187511">
      <w:pPr>
        <w:pStyle w:val="CDIFigure-Table-ImagePlaceholder"/>
        <w:divId w:val="935526654"/>
      </w:pPr>
      <w:r>
        <w:rPr>
          <w:noProof/>
          <w14:ligatures w14:val="none"/>
        </w:rPr>
        <w:drawing>
          <wp:inline distT="0" distB="0" distL="0" distR="0" wp14:anchorId="38D056D3" wp14:editId="31FCCFB9">
            <wp:extent cx="6120765" cy="1417320"/>
            <wp:effectExtent l="0" t="0" r="0" b="0"/>
            <wp:docPr id="5" name="Picture 5" descr="Progression of lower limb rash from left to right: 9 days post exposure (bullous lesions with surrounding erythema), 12 days post exposure (significant evolution of lesions with confluence, breakdown, and crusting of bullae), 5 weeks post exposure (lesions healed with some post inflamatory change with large pink erythematous areas) and 9 weeks post exposure (fading of erythematous ar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Progression of lower limb rash from left to right: 9 days post exposure (bullous lesions with surrounding erythema), 12 days post exposure (significant evolution of lesions with confluence, breakdown, and crusting of bullae), 5 weeks post exposure (lesions healed with some post inflamatory change with large pink erythematous areas) and 9 weeks post exposure (fading of erythematous areas)."/>
                    <pic:cNvPicPr/>
                  </pic:nvPicPr>
                  <pic:blipFill>
                    <a:blip r:embed="rId12">
                      <a:extLst>
                        <a:ext uri="{28A0092B-C50C-407E-A947-70E740481C1C}">
                          <a14:useLocalDpi xmlns:a14="http://schemas.microsoft.com/office/drawing/2010/main" val="0"/>
                        </a:ext>
                      </a:extLst>
                    </a:blip>
                    <a:stretch>
                      <a:fillRect/>
                    </a:stretch>
                  </pic:blipFill>
                  <pic:spPr>
                    <a:xfrm>
                      <a:off x="0" y="0"/>
                      <a:ext cx="6120765" cy="1417320"/>
                    </a:xfrm>
                    <a:prstGeom prst="rect">
                      <a:avLst/>
                    </a:prstGeom>
                  </pic:spPr>
                </pic:pic>
              </a:graphicData>
            </a:graphic>
          </wp:inline>
        </w:drawing>
      </w:r>
    </w:p>
    <w:p w14:paraId="708B8F7A" w14:textId="5426323B" w:rsidR="0009348B" w:rsidRPr="0009348B" w:rsidRDefault="0009348B" w:rsidP="0009348B">
      <w:pPr>
        <w:divId w:val="935526654"/>
        <w:rPr>
          <w:lang w:val="en-GB"/>
        </w:rPr>
      </w:pPr>
      <w:r w:rsidRPr="0009348B">
        <w:rPr>
          <w:lang w:val="en-GB"/>
        </w:rPr>
        <w:t xml:space="preserve">Notably, areas covered by swimwear were completely spared. The largest and highest densities of bullae were on areas with the longest exposure to the water (anterior lower limbs, face, lateral upper limbs). </w:t>
      </w:r>
    </w:p>
    <w:p w14:paraId="350C1BFB" w14:textId="77777777" w:rsidR="0009348B" w:rsidRPr="0009348B" w:rsidRDefault="0009348B" w:rsidP="0009348B">
      <w:pPr>
        <w:divId w:val="935526654"/>
        <w:rPr>
          <w:lang w:val="en-GB"/>
        </w:rPr>
      </w:pPr>
      <w:r w:rsidRPr="0009348B">
        <w:rPr>
          <w:lang w:val="en-GB"/>
        </w:rPr>
        <w:t>Mucosal lesions were absent, and there was no lymphadenopathy.</w:t>
      </w:r>
    </w:p>
    <w:p w14:paraId="2C9A2BF3" w14:textId="77777777" w:rsidR="0009348B" w:rsidRPr="0009348B" w:rsidRDefault="0009348B" w:rsidP="0009348B">
      <w:pPr>
        <w:divId w:val="935526654"/>
        <w:rPr>
          <w:lang w:val="en-GB"/>
        </w:rPr>
      </w:pPr>
      <w:r w:rsidRPr="00323916">
        <w:lastRenderedPageBreak/>
        <w:t>On presentation, she was commenced on oral flucloxacillin</w:t>
      </w:r>
      <w:r w:rsidRPr="0009348B">
        <w:rPr>
          <w:lang w:val="en-GB"/>
        </w:rPr>
        <w:t xml:space="preserve"> for presumed staphylococcal skin infection and discharged. However, after further worsening of the rash, she re-presented within 24 hours and antibiotics were changed to trimethoprim–sulfamethoxazole.</w:t>
      </w:r>
    </w:p>
    <w:p w14:paraId="3F1A4328" w14:textId="3B9A079E" w:rsidR="0009348B" w:rsidRPr="0009348B" w:rsidRDefault="0009348B" w:rsidP="0009348B">
      <w:pPr>
        <w:divId w:val="935526654"/>
        <w:rPr>
          <w:lang w:val="en-GB"/>
        </w:rPr>
      </w:pPr>
      <w:r w:rsidRPr="0009348B">
        <w:rPr>
          <w:lang w:val="en-GB"/>
        </w:rPr>
        <w:t xml:space="preserve">Full blood examination (including eosinophils), urea and electrolytes, and liver enzymes were normal. C-reactive protein was raised (144 mg/L) (Table 1). </w:t>
      </w:r>
    </w:p>
    <w:p w14:paraId="6D8F1F2F" w14:textId="77777777" w:rsidR="0009348B" w:rsidRPr="0009348B" w:rsidRDefault="0009348B" w:rsidP="0009348B">
      <w:pPr>
        <w:divId w:val="935526654"/>
        <w:rPr>
          <w:lang w:val="en-GB"/>
        </w:rPr>
      </w:pPr>
      <w:r w:rsidRPr="0009348B">
        <w:rPr>
          <w:lang w:val="en-GB"/>
        </w:rPr>
        <w:t xml:space="preserve">Histopathology of skin biopsies showed spongiosis with perivascular lymphocytic infiltrate, consistent with a spongiotic dermatitis; direct immunofluorescence was negative (Figures 5, 6). Bacterial (including mycobacteria) and fungal culture, viral PCR (herpes simplex virus, varicella zoster virus) and acid-fast-bacilli testing were also negative. </w:t>
      </w:r>
    </w:p>
    <w:p w14:paraId="26AC3D1F" w14:textId="77777777" w:rsidR="0009348B" w:rsidRPr="0009348B" w:rsidRDefault="0009348B" w:rsidP="0009348B">
      <w:pPr>
        <w:divId w:val="935526654"/>
        <w:rPr>
          <w:lang w:val="en-GB"/>
        </w:rPr>
      </w:pPr>
      <w:r w:rsidRPr="0009348B">
        <w:rPr>
          <w:lang w:val="en-GB"/>
        </w:rPr>
        <w:t xml:space="preserve">She was diagnosed with a severe case of cercarial dermatitis. Antibiotics were ceased, and a tapering course of oral prednisolone (initially 50 mg), oral antihistamines, and topical steroids (betamethasone dipropionate 0.05% ointment and methylprednisolone </w:t>
      </w:r>
      <w:proofErr w:type="spellStart"/>
      <w:r w:rsidRPr="0009348B">
        <w:rPr>
          <w:lang w:val="en-GB"/>
        </w:rPr>
        <w:t>aceponate</w:t>
      </w:r>
      <w:proofErr w:type="spellEnd"/>
      <w:r w:rsidRPr="0009348B">
        <w:rPr>
          <w:lang w:val="en-GB"/>
        </w:rPr>
        <w:t xml:space="preserve"> 0.1% fatty ointment) were commenced. </w:t>
      </w:r>
    </w:p>
    <w:p w14:paraId="38B1893B" w14:textId="3FBDD64F" w:rsidR="0009348B" w:rsidRPr="0009348B" w:rsidRDefault="0009348B" w:rsidP="0009348B">
      <w:pPr>
        <w:divId w:val="935526654"/>
        <w:rPr>
          <w:lang w:val="en-GB"/>
        </w:rPr>
      </w:pPr>
      <w:r w:rsidRPr="0009348B">
        <w:rPr>
          <w:lang w:val="en-GB"/>
        </w:rPr>
        <w:t>Two weeks after discharge, she had marked improvement of her rash, with subsequent resolution. After completion of her steroid course, there was no recurrence and only post inflammatory erythema (Figures</w:t>
      </w:r>
      <w:r w:rsidR="00E82182">
        <w:rPr>
          <w:lang w:val="en-GB"/>
        </w:rPr>
        <w:t> </w:t>
      </w:r>
      <w:r w:rsidRPr="0009348B">
        <w:rPr>
          <w:lang w:val="en-GB"/>
        </w:rPr>
        <w:t>2–4). She was advised to avoid swimming in wildlife sanctuaries to prevent future recurrence.</w:t>
      </w:r>
    </w:p>
    <w:p w14:paraId="0A7B977B" w14:textId="77777777" w:rsidR="00EF55AE" w:rsidRDefault="00EF55AE" w:rsidP="000420DA">
      <w:pPr>
        <w:divId w:val="935526654"/>
      </w:pPr>
    </w:p>
    <w:p w14:paraId="6C533BD5" w14:textId="77777777" w:rsidR="00AC659C" w:rsidRDefault="00AC659C" w:rsidP="00EA1A80">
      <w:pPr>
        <w:divId w:val="935526654"/>
        <w:sectPr w:rsidR="00AC659C" w:rsidSect="008E3F81">
          <w:headerReference w:type="even" r:id="rId13"/>
          <w:headerReference w:type="default" r:id="rId14"/>
          <w:footerReference w:type="even" r:id="rId15"/>
          <w:footerReference w:type="default" r:id="rId16"/>
          <w:headerReference w:type="first" r:id="rId17"/>
          <w:footerReference w:type="first" r:id="rId18"/>
          <w:pgSz w:w="11907" w:h="16840" w:code="9"/>
          <w:pgMar w:top="1304" w:right="1134" w:bottom="1304" w:left="1134" w:header="709" w:footer="527" w:gutter="0"/>
          <w:cols w:space="708"/>
          <w:titlePg/>
          <w:docGrid w:linePitch="360"/>
        </w:sectPr>
      </w:pPr>
    </w:p>
    <w:p w14:paraId="2C05DC8E" w14:textId="12A381F1" w:rsidR="00910578" w:rsidRPr="00910578" w:rsidRDefault="00AC659C" w:rsidP="00910578">
      <w:pPr>
        <w:pStyle w:val="CDIFigure-Table-Title"/>
        <w:divId w:val="935526654"/>
      </w:pPr>
      <w:r w:rsidRPr="00910578">
        <w:lastRenderedPageBreak/>
        <w:t xml:space="preserve">Table </w:t>
      </w:r>
      <w:r w:rsidR="004B7A20">
        <w:t>1</w:t>
      </w:r>
      <w:r w:rsidRPr="00910578">
        <w:t xml:space="preserve">: </w:t>
      </w:r>
      <w:r w:rsidR="004B7A20">
        <w:t>Laboratory results</w:t>
      </w:r>
    </w:p>
    <w:tbl>
      <w:tblPr>
        <w:tblStyle w:val="CDI-StandardTable"/>
        <w:tblW w:w="14343" w:type="dxa"/>
        <w:tblLayout w:type="fixed"/>
        <w:tblLook w:val="0220" w:firstRow="1" w:lastRow="0" w:firstColumn="0" w:lastColumn="0" w:noHBand="1" w:noVBand="0"/>
        <w:tblCaption w:val="Table 1: Laboratory results"/>
        <w:tblDescription w:val="Laboratory results including full blood count, urea, electrolytes and creatinine, inflammatory and autoimmune screen, and skin autoantibodies. Inflammatory markers are raised (CRP 150 mg/L ESR 25 mm/h), results are otherwise essentially normal. Punch biopsy of skin shows the following: The epidermis is spongiotic and hyperkeratotic. In the superficial to deep dermis there is a mild, predominantly perivascular lymphocytic infiltrate."/>
      </w:tblPr>
      <w:tblGrid>
        <w:gridCol w:w="2324"/>
        <w:gridCol w:w="2325"/>
        <w:gridCol w:w="2324"/>
        <w:gridCol w:w="2325"/>
        <w:gridCol w:w="5045"/>
      </w:tblGrid>
      <w:tr w:rsidR="00E82182" w14:paraId="02635E26" w14:textId="77777777" w:rsidTr="00567A2D">
        <w:trPr>
          <w:cnfStyle w:val="100000000000" w:firstRow="1" w:lastRow="0" w:firstColumn="0" w:lastColumn="0" w:oddVBand="0" w:evenVBand="0" w:oddHBand="0" w:evenHBand="0" w:firstRowFirstColumn="0" w:firstRowLastColumn="0" w:lastRowFirstColumn="0" w:lastRowLastColumn="0"/>
          <w:divId w:val="935526654"/>
          <w:trHeight w:val="60"/>
          <w:tblHeader/>
        </w:trPr>
        <w:tc>
          <w:tcPr>
            <w:tcW w:w="2324" w:type="dxa"/>
          </w:tcPr>
          <w:p w14:paraId="2FBA67D8" w14:textId="77777777" w:rsidR="00E82182" w:rsidRDefault="00E82182" w:rsidP="00E82182">
            <w:pPr>
              <w:jc w:val="left"/>
            </w:pPr>
            <w:r>
              <w:t>Category</w:t>
            </w:r>
          </w:p>
        </w:tc>
        <w:tc>
          <w:tcPr>
            <w:tcW w:w="2325" w:type="dxa"/>
          </w:tcPr>
          <w:p w14:paraId="1D2E8FFB" w14:textId="77777777" w:rsidR="00E82182" w:rsidRDefault="00E82182" w:rsidP="00E82182">
            <w:r>
              <w:t>Test</w:t>
            </w:r>
            <w:r>
              <w:rPr>
                <w:rStyle w:val="Superscript"/>
              </w:rPr>
              <w:t>a</w:t>
            </w:r>
          </w:p>
        </w:tc>
        <w:tc>
          <w:tcPr>
            <w:tcW w:w="2324" w:type="dxa"/>
          </w:tcPr>
          <w:p w14:paraId="1E5640BD" w14:textId="77777777" w:rsidR="00E82182" w:rsidRDefault="00E82182" w:rsidP="00E82182">
            <w:r>
              <w:t>Result</w:t>
            </w:r>
          </w:p>
        </w:tc>
        <w:tc>
          <w:tcPr>
            <w:tcW w:w="2325" w:type="dxa"/>
          </w:tcPr>
          <w:p w14:paraId="6DFE611C" w14:textId="77777777" w:rsidR="00E82182" w:rsidRDefault="00E82182" w:rsidP="00E82182">
            <w:r>
              <w:t>Normal range</w:t>
            </w:r>
          </w:p>
        </w:tc>
        <w:tc>
          <w:tcPr>
            <w:tcW w:w="5045" w:type="dxa"/>
          </w:tcPr>
          <w:p w14:paraId="52E04FD4" w14:textId="77777777" w:rsidR="00E82182" w:rsidRDefault="00E82182" w:rsidP="00E82182">
            <w:pPr>
              <w:jc w:val="left"/>
            </w:pPr>
            <w:r>
              <w:t>Comments</w:t>
            </w:r>
          </w:p>
        </w:tc>
      </w:tr>
      <w:tr w:rsidR="00E82182" w14:paraId="729E3E49" w14:textId="77777777" w:rsidTr="00E82182">
        <w:trPr>
          <w:divId w:val="935526654"/>
          <w:trHeight w:val="60"/>
        </w:trPr>
        <w:tc>
          <w:tcPr>
            <w:tcW w:w="2324" w:type="dxa"/>
            <w:vMerge w:val="restart"/>
            <w:shd w:val="clear" w:color="auto" w:fill="C5FFEF" w:themeFill="background2" w:themeFillTint="33"/>
          </w:tcPr>
          <w:p w14:paraId="391F7B06" w14:textId="77777777" w:rsidR="00E82182" w:rsidRDefault="00E82182" w:rsidP="00E82182">
            <w:pPr>
              <w:jc w:val="left"/>
            </w:pPr>
            <w:r>
              <w:rPr>
                <w:rStyle w:val="Bold"/>
              </w:rPr>
              <w:t>Full blood count</w:t>
            </w:r>
          </w:p>
        </w:tc>
        <w:tc>
          <w:tcPr>
            <w:tcW w:w="2325" w:type="dxa"/>
          </w:tcPr>
          <w:p w14:paraId="07BF56E6" w14:textId="77777777" w:rsidR="00E82182" w:rsidRDefault="00E82182" w:rsidP="00E82182">
            <w:r>
              <w:t>Haemoglobin</w:t>
            </w:r>
          </w:p>
        </w:tc>
        <w:tc>
          <w:tcPr>
            <w:tcW w:w="2324" w:type="dxa"/>
          </w:tcPr>
          <w:p w14:paraId="52756522" w14:textId="77777777" w:rsidR="00E82182" w:rsidRDefault="00E82182" w:rsidP="00E82182">
            <w:r>
              <w:t>141 g/L</w:t>
            </w:r>
          </w:p>
        </w:tc>
        <w:tc>
          <w:tcPr>
            <w:tcW w:w="2325" w:type="dxa"/>
          </w:tcPr>
          <w:p w14:paraId="7CB5B04D" w14:textId="77777777" w:rsidR="00E82182" w:rsidRDefault="00E82182" w:rsidP="00E82182">
            <w:r>
              <w:t>115–165</w:t>
            </w:r>
          </w:p>
        </w:tc>
        <w:tc>
          <w:tcPr>
            <w:tcW w:w="5045" w:type="dxa"/>
          </w:tcPr>
          <w:p w14:paraId="613969D7" w14:textId="77777777" w:rsidR="00E82182" w:rsidRDefault="00E82182" w:rsidP="00E82182">
            <w:pPr>
              <w:jc w:val="left"/>
            </w:pPr>
          </w:p>
        </w:tc>
      </w:tr>
      <w:tr w:rsidR="00E82182" w14:paraId="6B969503" w14:textId="77777777" w:rsidTr="00E82182">
        <w:trPr>
          <w:divId w:val="935526654"/>
          <w:trHeight w:val="60"/>
        </w:trPr>
        <w:tc>
          <w:tcPr>
            <w:tcW w:w="2324" w:type="dxa"/>
            <w:vMerge/>
            <w:shd w:val="clear" w:color="auto" w:fill="C5FFEF" w:themeFill="background2" w:themeFillTint="33"/>
          </w:tcPr>
          <w:p w14:paraId="3BC866EA" w14:textId="77777777" w:rsidR="00E82182" w:rsidRDefault="00E82182" w:rsidP="00E82182">
            <w:pPr>
              <w:jc w:val="left"/>
            </w:pPr>
          </w:p>
        </w:tc>
        <w:tc>
          <w:tcPr>
            <w:tcW w:w="2325" w:type="dxa"/>
          </w:tcPr>
          <w:p w14:paraId="1220E42B" w14:textId="77777777" w:rsidR="00E82182" w:rsidRDefault="00E82182" w:rsidP="00E82182">
            <w:r>
              <w:t>White cell count</w:t>
            </w:r>
          </w:p>
        </w:tc>
        <w:tc>
          <w:tcPr>
            <w:tcW w:w="2324" w:type="dxa"/>
          </w:tcPr>
          <w:p w14:paraId="12DE1233" w14:textId="77777777" w:rsidR="00E82182" w:rsidRDefault="00E82182" w:rsidP="00E82182">
            <w:r>
              <w:t>10.8 × 10</w:t>
            </w:r>
            <w:r>
              <w:rPr>
                <w:rStyle w:val="Superscript"/>
              </w:rPr>
              <w:t>9</w:t>
            </w:r>
            <w:r>
              <w:t>/L</w:t>
            </w:r>
          </w:p>
        </w:tc>
        <w:tc>
          <w:tcPr>
            <w:tcW w:w="2325" w:type="dxa"/>
          </w:tcPr>
          <w:p w14:paraId="6C6CFA6D" w14:textId="77777777" w:rsidR="00E82182" w:rsidRDefault="00E82182" w:rsidP="00E82182">
            <w:r>
              <w:t>(4.0–11.0) × 10</w:t>
            </w:r>
            <w:r>
              <w:rPr>
                <w:rStyle w:val="Superscript"/>
              </w:rPr>
              <w:t>9</w:t>
            </w:r>
          </w:p>
        </w:tc>
        <w:tc>
          <w:tcPr>
            <w:tcW w:w="5045" w:type="dxa"/>
          </w:tcPr>
          <w:p w14:paraId="2BD027E0" w14:textId="77777777" w:rsidR="00E82182" w:rsidRDefault="00E82182" w:rsidP="00E82182">
            <w:pPr>
              <w:jc w:val="left"/>
            </w:pPr>
          </w:p>
        </w:tc>
      </w:tr>
      <w:tr w:rsidR="00E82182" w14:paraId="421D0FE2" w14:textId="77777777" w:rsidTr="00E82182">
        <w:trPr>
          <w:divId w:val="935526654"/>
          <w:trHeight w:val="60"/>
        </w:trPr>
        <w:tc>
          <w:tcPr>
            <w:tcW w:w="2324" w:type="dxa"/>
            <w:vMerge/>
            <w:shd w:val="clear" w:color="auto" w:fill="C5FFEF" w:themeFill="background2" w:themeFillTint="33"/>
          </w:tcPr>
          <w:p w14:paraId="0ADF8FBA" w14:textId="77777777" w:rsidR="00E82182" w:rsidRDefault="00E82182" w:rsidP="00E82182">
            <w:pPr>
              <w:jc w:val="left"/>
            </w:pPr>
          </w:p>
        </w:tc>
        <w:tc>
          <w:tcPr>
            <w:tcW w:w="2325" w:type="dxa"/>
          </w:tcPr>
          <w:p w14:paraId="3D997AF5" w14:textId="77777777" w:rsidR="00E82182" w:rsidRDefault="00E82182" w:rsidP="00E82182">
            <w:r>
              <w:t>Neutrophils</w:t>
            </w:r>
          </w:p>
        </w:tc>
        <w:tc>
          <w:tcPr>
            <w:tcW w:w="2324" w:type="dxa"/>
          </w:tcPr>
          <w:p w14:paraId="440EDF2C" w14:textId="77777777" w:rsidR="00E82182" w:rsidRDefault="00E82182" w:rsidP="00E82182">
            <w:r>
              <w:t>6.5 × 10</w:t>
            </w:r>
            <w:r>
              <w:rPr>
                <w:rStyle w:val="Superscript"/>
              </w:rPr>
              <w:t>9</w:t>
            </w:r>
            <w:r>
              <w:t>/L</w:t>
            </w:r>
          </w:p>
        </w:tc>
        <w:tc>
          <w:tcPr>
            <w:tcW w:w="2325" w:type="dxa"/>
          </w:tcPr>
          <w:p w14:paraId="0994707B" w14:textId="77777777" w:rsidR="00E82182" w:rsidRDefault="00E82182" w:rsidP="00E82182">
            <w:r>
              <w:t>(2.0–8.0) × 10</w:t>
            </w:r>
            <w:r>
              <w:rPr>
                <w:rStyle w:val="Superscript"/>
              </w:rPr>
              <w:t>9</w:t>
            </w:r>
          </w:p>
        </w:tc>
        <w:tc>
          <w:tcPr>
            <w:tcW w:w="5045" w:type="dxa"/>
          </w:tcPr>
          <w:p w14:paraId="1EABDBD4" w14:textId="77777777" w:rsidR="00E82182" w:rsidRDefault="00E82182" w:rsidP="00E82182">
            <w:pPr>
              <w:jc w:val="left"/>
            </w:pPr>
          </w:p>
        </w:tc>
      </w:tr>
      <w:tr w:rsidR="00E82182" w14:paraId="4DDBEEF1" w14:textId="77777777" w:rsidTr="00E82182">
        <w:trPr>
          <w:divId w:val="935526654"/>
          <w:trHeight w:val="60"/>
        </w:trPr>
        <w:tc>
          <w:tcPr>
            <w:tcW w:w="2324" w:type="dxa"/>
            <w:vMerge/>
            <w:tcBorders>
              <w:bottom w:val="single" w:sz="4" w:space="0" w:color="033636" w:themeColor="text2"/>
            </w:tcBorders>
            <w:shd w:val="clear" w:color="auto" w:fill="C5FFEF" w:themeFill="background2" w:themeFillTint="33"/>
          </w:tcPr>
          <w:p w14:paraId="6FF72FF5" w14:textId="77777777" w:rsidR="00E82182" w:rsidRDefault="00E82182" w:rsidP="00E82182">
            <w:pPr>
              <w:jc w:val="left"/>
            </w:pPr>
          </w:p>
        </w:tc>
        <w:tc>
          <w:tcPr>
            <w:tcW w:w="2325" w:type="dxa"/>
            <w:tcBorders>
              <w:bottom w:val="single" w:sz="4" w:space="0" w:color="auto"/>
            </w:tcBorders>
          </w:tcPr>
          <w:p w14:paraId="78F7C88E" w14:textId="77777777" w:rsidR="00E82182" w:rsidRDefault="00E82182" w:rsidP="00E82182">
            <w:r>
              <w:t>Eosinophils</w:t>
            </w:r>
          </w:p>
        </w:tc>
        <w:tc>
          <w:tcPr>
            <w:tcW w:w="2324" w:type="dxa"/>
            <w:tcBorders>
              <w:bottom w:val="single" w:sz="4" w:space="0" w:color="auto"/>
            </w:tcBorders>
          </w:tcPr>
          <w:p w14:paraId="54D5E7D8" w14:textId="77777777" w:rsidR="00E82182" w:rsidRDefault="00E82182" w:rsidP="00E82182">
            <w:r>
              <w:t>0.3 × 10</w:t>
            </w:r>
            <w:r>
              <w:rPr>
                <w:rStyle w:val="Superscript"/>
              </w:rPr>
              <w:t>9</w:t>
            </w:r>
            <w:r>
              <w:t>/L</w:t>
            </w:r>
          </w:p>
        </w:tc>
        <w:tc>
          <w:tcPr>
            <w:tcW w:w="2325" w:type="dxa"/>
            <w:tcBorders>
              <w:bottom w:val="single" w:sz="4" w:space="0" w:color="auto"/>
            </w:tcBorders>
          </w:tcPr>
          <w:p w14:paraId="2D2C37D7" w14:textId="77777777" w:rsidR="00E82182" w:rsidRDefault="00E82182" w:rsidP="00E82182">
            <w:r>
              <w:t>&lt; 0.5 × 10</w:t>
            </w:r>
            <w:r>
              <w:rPr>
                <w:rStyle w:val="Superscript"/>
              </w:rPr>
              <w:t>9</w:t>
            </w:r>
          </w:p>
        </w:tc>
        <w:tc>
          <w:tcPr>
            <w:tcW w:w="5045" w:type="dxa"/>
            <w:tcBorders>
              <w:bottom w:val="single" w:sz="4" w:space="0" w:color="auto"/>
            </w:tcBorders>
          </w:tcPr>
          <w:p w14:paraId="1466FBF0" w14:textId="77777777" w:rsidR="00E82182" w:rsidRDefault="00E82182" w:rsidP="00E82182">
            <w:pPr>
              <w:jc w:val="left"/>
            </w:pPr>
          </w:p>
        </w:tc>
      </w:tr>
      <w:tr w:rsidR="00E82182" w14:paraId="7F7C95DC" w14:textId="77777777" w:rsidTr="00E82182">
        <w:trPr>
          <w:divId w:val="935526654"/>
          <w:trHeight w:val="60"/>
        </w:trPr>
        <w:tc>
          <w:tcPr>
            <w:tcW w:w="2324" w:type="dxa"/>
            <w:vMerge w:val="restart"/>
            <w:tcBorders>
              <w:top w:val="single" w:sz="4" w:space="0" w:color="033636" w:themeColor="text2"/>
            </w:tcBorders>
            <w:shd w:val="clear" w:color="auto" w:fill="C5FFEF" w:themeFill="background2" w:themeFillTint="33"/>
          </w:tcPr>
          <w:p w14:paraId="096A7BB4" w14:textId="77777777" w:rsidR="00E82182" w:rsidRDefault="00E82182" w:rsidP="00E82182">
            <w:pPr>
              <w:jc w:val="left"/>
            </w:pPr>
            <w:r>
              <w:rPr>
                <w:rStyle w:val="Bold"/>
              </w:rPr>
              <w:t>Urea, electrolytes, and creatinine</w:t>
            </w:r>
          </w:p>
        </w:tc>
        <w:tc>
          <w:tcPr>
            <w:tcW w:w="2325" w:type="dxa"/>
            <w:tcBorders>
              <w:top w:val="single" w:sz="4" w:space="0" w:color="auto"/>
            </w:tcBorders>
          </w:tcPr>
          <w:p w14:paraId="55186E4C" w14:textId="77777777" w:rsidR="00E82182" w:rsidRDefault="00E82182" w:rsidP="00E82182">
            <w:r>
              <w:t>Urea</w:t>
            </w:r>
          </w:p>
        </w:tc>
        <w:tc>
          <w:tcPr>
            <w:tcW w:w="2324" w:type="dxa"/>
            <w:tcBorders>
              <w:top w:val="single" w:sz="4" w:space="0" w:color="auto"/>
            </w:tcBorders>
          </w:tcPr>
          <w:p w14:paraId="254C4582" w14:textId="77777777" w:rsidR="00E82182" w:rsidRDefault="00E82182" w:rsidP="00E82182">
            <w:r>
              <w:t>4.4 mmol/L</w:t>
            </w:r>
          </w:p>
        </w:tc>
        <w:tc>
          <w:tcPr>
            <w:tcW w:w="2325" w:type="dxa"/>
            <w:tcBorders>
              <w:top w:val="single" w:sz="4" w:space="0" w:color="auto"/>
            </w:tcBorders>
          </w:tcPr>
          <w:p w14:paraId="7A135547" w14:textId="77777777" w:rsidR="00E82182" w:rsidRDefault="00E82182" w:rsidP="00E82182">
            <w:r>
              <w:t>3.0–10.0</w:t>
            </w:r>
          </w:p>
        </w:tc>
        <w:tc>
          <w:tcPr>
            <w:tcW w:w="5045" w:type="dxa"/>
            <w:tcBorders>
              <w:top w:val="single" w:sz="4" w:space="0" w:color="auto"/>
            </w:tcBorders>
          </w:tcPr>
          <w:p w14:paraId="52BB88D1" w14:textId="77777777" w:rsidR="00E82182" w:rsidRDefault="00E82182" w:rsidP="00E82182">
            <w:pPr>
              <w:jc w:val="left"/>
            </w:pPr>
          </w:p>
        </w:tc>
      </w:tr>
      <w:tr w:rsidR="00E82182" w14:paraId="4F6A4952" w14:textId="77777777" w:rsidTr="00E82182">
        <w:trPr>
          <w:divId w:val="935526654"/>
          <w:trHeight w:val="60"/>
        </w:trPr>
        <w:tc>
          <w:tcPr>
            <w:tcW w:w="2324" w:type="dxa"/>
            <w:vMerge/>
            <w:tcBorders>
              <w:bottom w:val="single" w:sz="4" w:space="0" w:color="033636" w:themeColor="text2"/>
            </w:tcBorders>
            <w:shd w:val="clear" w:color="auto" w:fill="C5FFEF" w:themeFill="background2" w:themeFillTint="33"/>
          </w:tcPr>
          <w:p w14:paraId="698E1440" w14:textId="77777777" w:rsidR="00E82182" w:rsidRDefault="00E82182" w:rsidP="00E82182">
            <w:pPr>
              <w:jc w:val="left"/>
            </w:pPr>
          </w:p>
        </w:tc>
        <w:tc>
          <w:tcPr>
            <w:tcW w:w="2325" w:type="dxa"/>
            <w:tcBorders>
              <w:bottom w:val="single" w:sz="4" w:space="0" w:color="033636" w:themeColor="text2"/>
            </w:tcBorders>
          </w:tcPr>
          <w:p w14:paraId="0AABDADB" w14:textId="77777777" w:rsidR="00E82182" w:rsidRDefault="00E82182" w:rsidP="00E82182">
            <w:r>
              <w:t>Creatinine</w:t>
            </w:r>
          </w:p>
        </w:tc>
        <w:tc>
          <w:tcPr>
            <w:tcW w:w="2324" w:type="dxa"/>
            <w:tcBorders>
              <w:bottom w:val="single" w:sz="4" w:space="0" w:color="033636" w:themeColor="text2"/>
            </w:tcBorders>
          </w:tcPr>
          <w:p w14:paraId="7DF7C3D8" w14:textId="77777777" w:rsidR="00E82182" w:rsidRDefault="00E82182" w:rsidP="00E82182">
            <w:r>
              <w:t>71 µmol/L</w:t>
            </w:r>
          </w:p>
        </w:tc>
        <w:tc>
          <w:tcPr>
            <w:tcW w:w="2325" w:type="dxa"/>
            <w:tcBorders>
              <w:bottom w:val="single" w:sz="4" w:space="0" w:color="033636" w:themeColor="text2"/>
            </w:tcBorders>
          </w:tcPr>
          <w:p w14:paraId="25212FD4" w14:textId="77777777" w:rsidR="00E82182" w:rsidRDefault="00E82182" w:rsidP="00E82182">
            <w:r>
              <w:t>40–90</w:t>
            </w:r>
          </w:p>
        </w:tc>
        <w:tc>
          <w:tcPr>
            <w:tcW w:w="5045" w:type="dxa"/>
            <w:tcBorders>
              <w:bottom w:val="single" w:sz="4" w:space="0" w:color="033636" w:themeColor="text2"/>
            </w:tcBorders>
          </w:tcPr>
          <w:p w14:paraId="0534A353" w14:textId="77777777" w:rsidR="00E82182" w:rsidRDefault="00E82182" w:rsidP="00E82182">
            <w:pPr>
              <w:jc w:val="left"/>
            </w:pPr>
          </w:p>
        </w:tc>
      </w:tr>
      <w:tr w:rsidR="00E82182" w14:paraId="170AB82F" w14:textId="77777777" w:rsidTr="00E82182">
        <w:trPr>
          <w:divId w:val="935526654"/>
          <w:trHeight w:val="60"/>
        </w:trPr>
        <w:tc>
          <w:tcPr>
            <w:tcW w:w="2324" w:type="dxa"/>
            <w:vMerge w:val="restart"/>
            <w:tcBorders>
              <w:top w:val="single" w:sz="4" w:space="0" w:color="033636" w:themeColor="text2"/>
            </w:tcBorders>
            <w:shd w:val="clear" w:color="auto" w:fill="C5FFEF" w:themeFill="background2" w:themeFillTint="33"/>
          </w:tcPr>
          <w:p w14:paraId="3B8BA209" w14:textId="77777777" w:rsidR="00E82182" w:rsidRDefault="00E82182" w:rsidP="00E82182">
            <w:pPr>
              <w:jc w:val="left"/>
            </w:pPr>
            <w:r>
              <w:rPr>
                <w:rStyle w:val="Bold"/>
              </w:rPr>
              <w:t xml:space="preserve">Inflammatory and </w:t>
            </w:r>
            <w:r>
              <w:rPr>
                <w:rFonts w:ascii="MyriadPro-Bold" w:hAnsi="MyriadPro-Bold" w:cs="MyriadPro-Bold"/>
                <w:b/>
                <w:bCs/>
              </w:rPr>
              <w:t>autoimmune</w:t>
            </w:r>
            <w:r>
              <w:rPr>
                <w:rStyle w:val="Bold"/>
              </w:rPr>
              <w:t xml:space="preserve"> screen</w:t>
            </w:r>
          </w:p>
        </w:tc>
        <w:tc>
          <w:tcPr>
            <w:tcW w:w="2325" w:type="dxa"/>
            <w:tcBorders>
              <w:top w:val="single" w:sz="4" w:space="0" w:color="033636" w:themeColor="text2"/>
            </w:tcBorders>
          </w:tcPr>
          <w:p w14:paraId="76D4058A" w14:textId="77777777" w:rsidR="00E82182" w:rsidRDefault="00E82182" w:rsidP="00E82182">
            <w:r>
              <w:t>CRP</w:t>
            </w:r>
          </w:p>
        </w:tc>
        <w:tc>
          <w:tcPr>
            <w:tcW w:w="2324" w:type="dxa"/>
            <w:tcBorders>
              <w:top w:val="single" w:sz="4" w:space="0" w:color="033636" w:themeColor="text2"/>
            </w:tcBorders>
          </w:tcPr>
          <w:p w14:paraId="3EE569E8" w14:textId="77777777" w:rsidR="00E82182" w:rsidRDefault="00E82182" w:rsidP="00E82182">
            <w:r>
              <w:t>150 mg/L</w:t>
            </w:r>
          </w:p>
        </w:tc>
        <w:tc>
          <w:tcPr>
            <w:tcW w:w="2325" w:type="dxa"/>
            <w:tcBorders>
              <w:top w:val="single" w:sz="4" w:space="0" w:color="033636" w:themeColor="text2"/>
            </w:tcBorders>
          </w:tcPr>
          <w:p w14:paraId="021CBCFB" w14:textId="77777777" w:rsidR="00E82182" w:rsidRDefault="00E82182" w:rsidP="00E82182">
            <w:r>
              <w:t>&lt; 10</w:t>
            </w:r>
          </w:p>
        </w:tc>
        <w:tc>
          <w:tcPr>
            <w:tcW w:w="5045" w:type="dxa"/>
            <w:tcBorders>
              <w:top w:val="single" w:sz="4" w:space="0" w:color="033636" w:themeColor="text2"/>
            </w:tcBorders>
          </w:tcPr>
          <w:p w14:paraId="238A988A" w14:textId="77777777" w:rsidR="00E82182" w:rsidRDefault="00E82182" w:rsidP="00E82182">
            <w:pPr>
              <w:jc w:val="left"/>
            </w:pPr>
          </w:p>
        </w:tc>
      </w:tr>
      <w:tr w:rsidR="00E82182" w14:paraId="22710385" w14:textId="77777777" w:rsidTr="00E82182">
        <w:trPr>
          <w:divId w:val="935526654"/>
          <w:trHeight w:val="60"/>
        </w:trPr>
        <w:tc>
          <w:tcPr>
            <w:tcW w:w="2324" w:type="dxa"/>
            <w:vMerge/>
            <w:shd w:val="clear" w:color="auto" w:fill="C5FFEF" w:themeFill="background2" w:themeFillTint="33"/>
          </w:tcPr>
          <w:p w14:paraId="1148A996" w14:textId="77777777" w:rsidR="00E82182" w:rsidRDefault="00E82182" w:rsidP="00E82182">
            <w:pPr>
              <w:jc w:val="left"/>
            </w:pPr>
          </w:p>
        </w:tc>
        <w:tc>
          <w:tcPr>
            <w:tcW w:w="2325" w:type="dxa"/>
          </w:tcPr>
          <w:p w14:paraId="2B9E900C" w14:textId="77777777" w:rsidR="00E82182" w:rsidRDefault="00E82182" w:rsidP="00E82182">
            <w:r>
              <w:t>ESR</w:t>
            </w:r>
          </w:p>
        </w:tc>
        <w:tc>
          <w:tcPr>
            <w:tcW w:w="2324" w:type="dxa"/>
          </w:tcPr>
          <w:p w14:paraId="7D08EACE" w14:textId="77777777" w:rsidR="00E82182" w:rsidRDefault="00E82182" w:rsidP="00E82182">
            <w:r>
              <w:t>25 mm/h</w:t>
            </w:r>
          </w:p>
        </w:tc>
        <w:tc>
          <w:tcPr>
            <w:tcW w:w="2325" w:type="dxa"/>
          </w:tcPr>
          <w:p w14:paraId="5A24E7DB" w14:textId="77777777" w:rsidR="00E82182" w:rsidRDefault="00E82182" w:rsidP="00E82182">
            <w:r>
              <w:t>&lt; 20</w:t>
            </w:r>
          </w:p>
        </w:tc>
        <w:tc>
          <w:tcPr>
            <w:tcW w:w="5045" w:type="dxa"/>
          </w:tcPr>
          <w:p w14:paraId="54DFA2AF" w14:textId="77777777" w:rsidR="00E82182" w:rsidRDefault="00E82182" w:rsidP="00E82182">
            <w:pPr>
              <w:jc w:val="left"/>
            </w:pPr>
          </w:p>
        </w:tc>
      </w:tr>
      <w:tr w:rsidR="00E82182" w14:paraId="6EBBC529" w14:textId="77777777" w:rsidTr="00E82182">
        <w:trPr>
          <w:divId w:val="935526654"/>
          <w:trHeight w:val="60"/>
        </w:trPr>
        <w:tc>
          <w:tcPr>
            <w:tcW w:w="2324" w:type="dxa"/>
            <w:vMerge/>
            <w:shd w:val="clear" w:color="auto" w:fill="C5FFEF" w:themeFill="background2" w:themeFillTint="33"/>
          </w:tcPr>
          <w:p w14:paraId="64A0C707" w14:textId="77777777" w:rsidR="00E82182" w:rsidRDefault="00E82182" w:rsidP="00E82182">
            <w:pPr>
              <w:jc w:val="left"/>
            </w:pPr>
          </w:p>
        </w:tc>
        <w:tc>
          <w:tcPr>
            <w:tcW w:w="2325" w:type="dxa"/>
          </w:tcPr>
          <w:p w14:paraId="07003CDA" w14:textId="77777777" w:rsidR="00E82182" w:rsidRDefault="00E82182" w:rsidP="00E82182">
            <w:r>
              <w:t>ANA</w:t>
            </w:r>
          </w:p>
        </w:tc>
        <w:tc>
          <w:tcPr>
            <w:tcW w:w="2324" w:type="dxa"/>
          </w:tcPr>
          <w:p w14:paraId="2F2B1A7D" w14:textId="77777777" w:rsidR="00E82182" w:rsidRDefault="00E82182" w:rsidP="00E82182">
            <w:r>
              <w:t>Negative</w:t>
            </w:r>
          </w:p>
        </w:tc>
        <w:tc>
          <w:tcPr>
            <w:tcW w:w="2325" w:type="dxa"/>
          </w:tcPr>
          <w:p w14:paraId="23A3F618" w14:textId="77777777" w:rsidR="00E82182" w:rsidRDefault="00E82182" w:rsidP="00E82182"/>
        </w:tc>
        <w:tc>
          <w:tcPr>
            <w:tcW w:w="5045" w:type="dxa"/>
          </w:tcPr>
          <w:p w14:paraId="6424B189" w14:textId="77777777" w:rsidR="00E82182" w:rsidRDefault="00E82182" w:rsidP="00E82182">
            <w:pPr>
              <w:jc w:val="left"/>
            </w:pPr>
          </w:p>
        </w:tc>
      </w:tr>
      <w:tr w:rsidR="00E82182" w14:paraId="3F189B57" w14:textId="77777777" w:rsidTr="00E82182">
        <w:trPr>
          <w:divId w:val="935526654"/>
          <w:trHeight w:val="60"/>
        </w:trPr>
        <w:tc>
          <w:tcPr>
            <w:tcW w:w="2324" w:type="dxa"/>
            <w:vMerge/>
            <w:shd w:val="clear" w:color="auto" w:fill="C5FFEF" w:themeFill="background2" w:themeFillTint="33"/>
          </w:tcPr>
          <w:p w14:paraId="3487A16B" w14:textId="77777777" w:rsidR="00E82182" w:rsidRDefault="00E82182" w:rsidP="00E82182">
            <w:pPr>
              <w:jc w:val="left"/>
            </w:pPr>
          </w:p>
        </w:tc>
        <w:tc>
          <w:tcPr>
            <w:tcW w:w="2325" w:type="dxa"/>
          </w:tcPr>
          <w:p w14:paraId="52485286" w14:textId="77777777" w:rsidR="00E82182" w:rsidRDefault="00E82182" w:rsidP="00E82182">
            <w:r>
              <w:t>ANCA</w:t>
            </w:r>
          </w:p>
        </w:tc>
        <w:tc>
          <w:tcPr>
            <w:tcW w:w="2324" w:type="dxa"/>
          </w:tcPr>
          <w:p w14:paraId="3B92B18D" w14:textId="77777777" w:rsidR="00E82182" w:rsidRDefault="00E82182" w:rsidP="00E82182">
            <w:r>
              <w:t>Weakly positive</w:t>
            </w:r>
          </w:p>
        </w:tc>
        <w:tc>
          <w:tcPr>
            <w:tcW w:w="2325" w:type="dxa"/>
          </w:tcPr>
          <w:p w14:paraId="05B24405" w14:textId="77777777" w:rsidR="00E82182" w:rsidRDefault="00E82182" w:rsidP="00E82182"/>
        </w:tc>
        <w:tc>
          <w:tcPr>
            <w:tcW w:w="5045" w:type="dxa"/>
          </w:tcPr>
          <w:p w14:paraId="22E82678" w14:textId="77777777" w:rsidR="00E82182" w:rsidRDefault="00E82182" w:rsidP="00E82182">
            <w:pPr>
              <w:jc w:val="left"/>
            </w:pPr>
          </w:p>
        </w:tc>
      </w:tr>
      <w:tr w:rsidR="00E82182" w14:paraId="49EF1D67" w14:textId="77777777" w:rsidTr="00E82182">
        <w:trPr>
          <w:divId w:val="935526654"/>
          <w:trHeight w:val="60"/>
        </w:trPr>
        <w:tc>
          <w:tcPr>
            <w:tcW w:w="2324" w:type="dxa"/>
            <w:vMerge/>
            <w:shd w:val="clear" w:color="auto" w:fill="C5FFEF" w:themeFill="background2" w:themeFillTint="33"/>
          </w:tcPr>
          <w:p w14:paraId="2E0C38F7" w14:textId="77777777" w:rsidR="00E82182" w:rsidRDefault="00E82182" w:rsidP="00E82182">
            <w:pPr>
              <w:jc w:val="left"/>
            </w:pPr>
          </w:p>
        </w:tc>
        <w:tc>
          <w:tcPr>
            <w:tcW w:w="2325" w:type="dxa"/>
          </w:tcPr>
          <w:p w14:paraId="25F225D6" w14:textId="77777777" w:rsidR="00E82182" w:rsidRDefault="00E82182" w:rsidP="00E82182">
            <w:r>
              <w:t>MPO-ANCA</w:t>
            </w:r>
          </w:p>
        </w:tc>
        <w:tc>
          <w:tcPr>
            <w:tcW w:w="2324" w:type="dxa"/>
          </w:tcPr>
          <w:p w14:paraId="55A24EDE" w14:textId="77777777" w:rsidR="00E82182" w:rsidRDefault="00E82182" w:rsidP="00E82182">
            <w:r>
              <w:t>Negative</w:t>
            </w:r>
          </w:p>
        </w:tc>
        <w:tc>
          <w:tcPr>
            <w:tcW w:w="2325" w:type="dxa"/>
          </w:tcPr>
          <w:p w14:paraId="4EB88978" w14:textId="77777777" w:rsidR="00E82182" w:rsidRDefault="00E82182" w:rsidP="00E82182"/>
        </w:tc>
        <w:tc>
          <w:tcPr>
            <w:tcW w:w="5045" w:type="dxa"/>
          </w:tcPr>
          <w:p w14:paraId="187E8CE0" w14:textId="77777777" w:rsidR="00E82182" w:rsidRDefault="00E82182" w:rsidP="00E82182">
            <w:pPr>
              <w:jc w:val="left"/>
            </w:pPr>
          </w:p>
        </w:tc>
      </w:tr>
      <w:tr w:rsidR="00E82182" w14:paraId="5DB226B5" w14:textId="77777777" w:rsidTr="00E82182">
        <w:trPr>
          <w:divId w:val="935526654"/>
          <w:trHeight w:val="60"/>
        </w:trPr>
        <w:tc>
          <w:tcPr>
            <w:tcW w:w="2324" w:type="dxa"/>
            <w:vMerge/>
            <w:tcBorders>
              <w:bottom w:val="single" w:sz="4" w:space="0" w:color="033636" w:themeColor="text2"/>
            </w:tcBorders>
            <w:shd w:val="clear" w:color="auto" w:fill="C5FFEF" w:themeFill="background2" w:themeFillTint="33"/>
          </w:tcPr>
          <w:p w14:paraId="7547E2D0" w14:textId="77777777" w:rsidR="00E82182" w:rsidRDefault="00E82182" w:rsidP="00E82182">
            <w:pPr>
              <w:jc w:val="left"/>
            </w:pPr>
          </w:p>
        </w:tc>
        <w:tc>
          <w:tcPr>
            <w:tcW w:w="2325" w:type="dxa"/>
            <w:tcBorders>
              <w:bottom w:val="single" w:sz="4" w:space="0" w:color="033636" w:themeColor="text2"/>
            </w:tcBorders>
          </w:tcPr>
          <w:p w14:paraId="61D54311" w14:textId="77777777" w:rsidR="00E82182" w:rsidRDefault="00E82182" w:rsidP="00E82182">
            <w:r>
              <w:t>PR3-ANCA</w:t>
            </w:r>
          </w:p>
        </w:tc>
        <w:tc>
          <w:tcPr>
            <w:tcW w:w="2324" w:type="dxa"/>
            <w:tcBorders>
              <w:bottom w:val="single" w:sz="4" w:space="0" w:color="033636" w:themeColor="text2"/>
            </w:tcBorders>
          </w:tcPr>
          <w:p w14:paraId="4D7AC69B" w14:textId="77777777" w:rsidR="00E82182" w:rsidRDefault="00E82182" w:rsidP="00E82182">
            <w:r>
              <w:t>Negative</w:t>
            </w:r>
          </w:p>
        </w:tc>
        <w:tc>
          <w:tcPr>
            <w:tcW w:w="2325" w:type="dxa"/>
            <w:tcBorders>
              <w:bottom w:val="single" w:sz="4" w:space="0" w:color="033636" w:themeColor="text2"/>
            </w:tcBorders>
          </w:tcPr>
          <w:p w14:paraId="7A220391" w14:textId="77777777" w:rsidR="00E82182" w:rsidRDefault="00E82182" w:rsidP="00E82182"/>
        </w:tc>
        <w:tc>
          <w:tcPr>
            <w:tcW w:w="5045" w:type="dxa"/>
            <w:tcBorders>
              <w:bottom w:val="single" w:sz="4" w:space="0" w:color="033636" w:themeColor="text2"/>
            </w:tcBorders>
          </w:tcPr>
          <w:p w14:paraId="05EFDB06" w14:textId="77777777" w:rsidR="00E82182" w:rsidRDefault="00E82182" w:rsidP="00E82182">
            <w:pPr>
              <w:jc w:val="left"/>
            </w:pPr>
          </w:p>
        </w:tc>
      </w:tr>
      <w:tr w:rsidR="00E82182" w14:paraId="126DFCA4" w14:textId="77777777" w:rsidTr="00E82182">
        <w:trPr>
          <w:divId w:val="935526654"/>
          <w:trHeight w:val="60"/>
        </w:trPr>
        <w:tc>
          <w:tcPr>
            <w:tcW w:w="2324" w:type="dxa"/>
            <w:vMerge w:val="restart"/>
            <w:tcBorders>
              <w:top w:val="single" w:sz="4" w:space="0" w:color="033636" w:themeColor="text2"/>
              <w:bottom w:val="single" w:sz="4" w:space="0" w:color="033636" w:themeColor="text2"/>
            </w:tcBorders>
            <w:shd w:val="clear" w:color="auto" w:fill="C5FFEF" w:themeFill="background2" w:themeFillTint="33"/>
          </w:tcPr>
          <w:p w14:paraId="1683CA12" w14:textId="77777777" w:rsidR="00E82182" w:rsidRDefault="00E82182" w:rsidP="00E82182">
            <w:pPr>
              <w:jc w:val="left"/>
            </w:pPr>
            <w:r>
              <w:rPr>
                <w:rStyle w:val="Bold"/>
              </w:rPr>
              <w:t>Skin antibodies and autoantibodies</w:t>
            </w:r>
          </w:p>
        </w:tc>
        <w:tc>
          <w:tcPr>
            <w:tcW w:w="2325" w:type="dxa"/>
            <w:tcBorders>
              <w:top w:val="single" w:sz="4" w:space="0" w:color="033636" w:themeColor="text2"/>
              <w:bottom w:val="single" w:sz="4" w:space="0" w:color="033636" w:themeColor="text2"/>
            </w:tcBorders>
          </w:tcPr>
          <w:p w14:paraId="58EBBF9F" w14:textId="5D9677BD" w:rsidR="00E82182" w:rsidRDefault="00E82182" w:rsidP="00E82182">
            <w:r>
              <w:t>Intercellular substance IgG antibody</w:t>
            </w:r>
          </w:p>
        </w:tc>
        <w:tc>
          <w:tcPr>
            <w:tcW w:w="2324" w:type="dxa"/>
            <w:tcBorders>
              <w:top w:val="single" w:sz="4" w:space="0" w:color="033636" w:themeColor="text2"/>
              <w:bottom w:val="single" w:sz="4" w:space="0" w:color="033636" w:themeColor="text2"/>
            </w:tcBorders>
          </w:tcPr>
          <w:p w14:paraId="6723219B" w14:textId="77777777" w:rsidR="00E82182" w:rsidRDefault="00E82182" w:rsidP="00E82182">
            <w:r>
              <w:t>Negative</w:t>
            </w:r>
          </w:p>
        </w:tc>
        <w:tc>
          <w:tcPr>
            <w:tcW w:w="2325" w:type="dxa"/>
            <w:tcBorders>
              <w:top w:val="single" w:sz="4" w:space="0" w:color="033636" w:themeColor="text2"/>
              <w:bottom w:val="single" w:sz="4" w:space="0" w:color="033636" w:themeColor="text2"/>
            </w:tcBorders>
          </w:tcPr>
          <w:p w14:paraId="49CD3843" w14:textId="77777777" w:rsidR="00E82182" w:rsidRDefault="00E82182" w:rsidP="00E82182"/>
        </w:tc>
        <w:tc>
          <w:tcPr>
            <w:tcW w:w="5045" w:type="dxa"/>
            <w:tcBorders>
              <w:top w:val="single" w:sz="4" w:space="0" w:color="033636" w:themeColor="text2"/>
              <w:bottom w:val="single" w:sz="4" w:space="0" w:color="033636" w:themeColor="text2"/>
            </w:tcBorders>
          </w:tcPr>
          <w:p w14:paraId="60F42CF7" w14:textId="77777777" w:rsidR="00E82182" w:rsidRDefault="00E82182" w:rsidP="00E82182">
            <w:pPr>
              <w:jc w:val="left"/>
            </w:pPr>
            <w:r>
              <w:t>Targets adhesion proteins within the epidermis; assists in diagnosing intra-epidermal blistering disorders</w:t>
            </w:r>
          </w:p>
        </w:tc>
      </w:tr>
      <w:tr w:rsidR="00E82182" w14:paraId="1C1D2FCB" w14:textId="77777777" w:rsidTr="00E82182">
        <w:trPr>
          <w:divId w:val="935526654"/>
          <w:trHeight w:val="60"/>
        </w:trPr>
        <w:tc>
          <w:tcPr>
            <w:tcW w:w="2324" w:type="dxa"/>
            <w:vMerge/>
            <w:tcBorders>
              <w:bottom w:val="single" w:sz="4" w:space="0" w:color="033636" w:themeColor="text2"/>
            </w:tcBorders>
            <w:shd w:val="clear" w:color="auto" w:fill="C5FFEF" w:themeFill="background2" w:themeFillTint="33"/>
          </w:tcPr>
          <w:p w14:paraId="2081CB30" w14:textId="77777777" w:rsidR="00E82182" w:rsidRDefault="00E82182" w:rsidP="00E82182">
            <w:pPr>
              <w:jc w:val="left"/>
            </w:pPr>
          </w:p>
        </w:tc>
        <w:tc>
          <w:tcPr>
            <w:tcW w:w="2325" w:type="dxa"/>
            <w:tcBorders>
              <w:top w:val="single" w:sz="4" w:space="0" w:color="033636" w:themeColor="text2"/>
              <w:bottom w:val="single" w:sz="4" w:space="0" w:color="033636" w:themeColor="text2"/>
            </w:tcBorders>
          </w:tcPr>
          <w:p w14:paraId="2E5CBF57" w14:textId="77777777" w:rsidR="00E82182" w:rsidRDefault="00E82182" w:rsidP="00E82182">
            <w:r>
              <w:t>Basement membrane zone IgG antibody</w:t>
            </w:r>
          </w:p>
        </w:tc>
        <w:tc>
          <w:tcPr>
            <w:tcW w:w="2324" w:type="dxa"/>
            <w:tcBorders>
              <w:top w:val="single" w:sz="4" w:space="0" w:color="033636" w:themeColor="text2"/>
              <w:bottom w:val="single" w:sz="4" w:space="0" w:color="033636" w:themeColor="text2"/>
            </w:tcBorders>
          </w:tcPr>
          <w:p w14:paraId="37252A59" w14:textId="77777777" w:rsidR="00E82182" w:rsidRDefault="00E82182" w:rsidP="00E82182">
            <w:r>
              <w:t>Negative</w:t>
            </w:r>
          </w:p>
        </w:tc>
        <w:tc>
          <w:tcPr>
            <w:tcW w:w="2325" w:type="dxa"/>
            <w:tcBorders>
              <w:top w:val="single" w:sz="4" w:space="0" w:color="033636" w:themeColor="text2"/>
              <w:bottom w:val="single" w:sz="4" w:space="0" w:color="033636" w:themeColor="text2"/>
            </w:tcBorders>
          </w:tcPr>
          <w:p w14:paraId="27D66596" w14:textId="77777777" w:rsidR="00E82182" w:rsidRDefault="00E82182" w:rsidP="00E82182"/>
        </w:tc>
        <w:tc>
          <w:tcPr>
            <w:tcW w:w="5045" w:type="dxa"/>
            <w:tcBorders>
              <w:top w:val="single" w:sz="4" w:space="0" w:color="033636" w:themeColor="text2"/>
              <w:bottom w:val="single" w:sz="4" w:space="0" w:color="033636" w:themeColor="text2"/>
            </w:tcBorders>
          </w:tcPr>
          <w:p w14:paraId="6703E962" w14:textId="77777777" w:rsidR="00E82182" w:rsidRDefault="00E82182" w:rsidP="00E82182">
            <w:pPr>
              <w:jc w:val="left"/>
            </w:pPr>
            <w:r>
              <w:t>Targets the basement membrane zone; assists in diagnosis of sub-epidermal blistering disorders</w:t>
            </w:r>
          </w:p>
        </w:tc>
      </w:tr>
      <w:tr w:rsidR="00E82182" w14:paraId="7495C3EE" w14:textId="77777777" w:rsidTr="00E82182">
        <w:trPr>
          <w:divId w:val="935526654"/>
          <w:trHeight w:val="60"/>
        </w:trPr>
        <w:tc>
          <w:tcPr>
            <w:tcW w:w="2324" w:type="dxa"/>
            <w:vMerge/>
            <w:tcBorders>
              <w:bottom w:val="single" w:sz="4" w:space="0" w:color="033636" w:themeColor="text2"/>
            </w:tcBorders>
            <w:shd w:val="clear" w:color="auto" w:fill="C5FFEF" w:themeFill="background2" w:themeFillTint="33"/>
          </w:tcPr>
          <w:p w14:paraId="26BF3466" w14:textId="77777777" w:rsidR="00E82182" w:rsidRDefault="00E82182" w:rsidP="00E82182">
            <w:pPr>
              <w:jc w:val="left"/>
            </w:pPr>
          </w:p>
        </w:tc>
        <w:tc>
          <w:tcPr>
            <w:tcW w:w="2325" w:type="dxa"/>
            <w:tcBorders>
              <w:top w:val="single" w:sz="4" w:space="0" w:color="033636" w:themeColor="text2"/>
            </w:tcBorders>
          </w:tcPr>
          <w:p w14:paraId="1049E2A2" w14:textId="77777777" w:rsidR="00E82182" w:rsidRDefault="00E82182" w:rsidP="00E82182">
            <w:r>
              <w:t>BP 180</w:t>
            </w:r>
          </w:p>
        </w:tc>
        <w:tc>
          <w:tcPr>
            <w:tcW w:w="2324" w:type="dxa"/>
            <w:tcBorders>
              <w:top w:val="single" w:sz="4" w:space="0" w:color="033636" w:themeColor="text2"/>
            </w:tcBorders>
          </w:tcPr>
          <w:p w14:paraId="7D880F74" w14:textId="77777777" w:rsidR="00E82182" w:rsidRDefault="00E82182" w:rsidP="00E82182">
            <w:r>
              <w:t>Negative</w:t>
            </w:r>
          </w:p>
        </w:tc>
        <w:tc>
          <w:tcPr>
            <w:tcW w:w="2325" w:type="dxa"/>
            <w:tcBorders>
              <w:top w:val="single" w:sz="4" w:space="0" w:color="033636" w:themeColor="text2"/>
            </w:tcBorders>
          </w:tcPr>
          <w:p w14:paraId="67C5D497" w14:textId="77777777" w:rsidR="00E82182" w:rsidRDefault="00E82182" w:rsidP="00E82182"/>
        </w:tc>
        <w:tc>
          <w:tcPr>
            <w:tcW w:w="5045" w:type="dxa"/>
            <w:vMerge w:val="restart"/>
            <w:tcBorders>
              <w:top w:val="single" w:sz="4" w:space="0" w:color="033636" w:themeColor="text2"/>
            </w:tcBorders>
          </w:tcPr>
          <w:p w14:paraId="2B79A403" w14:textId="77777777" w:rsidR="00E82182" w:rsidRDefault="00E82182" w:rsidP="00E82182">
            <w:pPr>
              <w:jc w:val="left"/>
            </w:pPr>
            <w:r>
              <w:t>Positive result supports the diagnosis of bullous pemphigoid</w:t>
            </w:r>
          </w:p>
        </w:tc>
      </w:tr>
      <w:tr w:rsidR="00E82182" w14:paraId="4F1FBB15" w14:textId="77777777" w:rsidTr="00E82182">
        <w:trPr>
          <w:divId w:val="935526654"/>
          <w:trHeight w:val="60"/>
        </w:trPr>
        <w:tc>
          <w:tcPr>
            <w:tcW w:w="2324" w:type="dxa"/>
            <w:vMerge/>
            <w:tcBorders>
              <w:bottom w:val="single" w:sz="4" w:space="0" w:color="033636" w:themeColor="text2"/>
            </w:tcBorders>
            <w:shd w:val="clear" w:color="auto" w:fill="C5FFEF" w:themeFill="background2" w:themeFillTint="33"/>
          </w:tcPr>
          <w:p w14:paraId="308A6E2F" w14:textId="77777777" w:rsidR="00E82182" w:rsidRDefault="00E82182" w:rsidP="00E82182">
            <w:pPr>
              <w:jc w:val="left"/>
            </w:pPr>
          </w:p>
        </w:tc>
        <w:tc>
          <w:tcPr>
            <w:tcW w:w="2325" w:type="dxa"/>
            <w:tcBorders>
              <w:bottom w:val="single" w:sz="4" w:space="0" w:color="033636" w:themeColor="text2"/>
            </w:tcBorders>
          </w:tcPr>
          <w:p w14:paraId="49B1CA21" w14:textId="77777777" w:rsidR="00E82182" w:rsidRDefault="00E82182" w:rsidP="00E82182">
            <w:r>
              <w:t>BP 230</w:t>
            </w:r>
          </w:p>
        </w:tc>
        <w:tc>
          <w:tcPr>
            <w:tcW w:w="2324" w:type="dxa"/>
            <w:tcBorders>
              <w:bottom w:val="single" w:sz="4" w:space="0" w:color="033636" w:themeColor="text2"/>
            </w:tcBorders>
          </w:tcPr>
          <w:p w14:paraId="44A431A6" w14:textId="77777777" w:rsidR="00E82182" w:rsidRDefault="00E82182" w:rsidP="00E82182">
            <w:r>
              <w:t>Negative</w:t>
            </w:r>
          </w:p>
        </w:tc>
        <w:tc>
          <w:tcPr>
            <w:tcW w:w="2325" w:type="dxa"/>
            <w:tcBorders>
              <w:bottom w:val="single" w:sz="4" w:space="0" w:color="033636" w:themeColor="text2"/>
            </w:tcBorders>
          </w:tcPr>
          <w:p w14:paraId="6A118917" w14:textId="77777777" w:rsidR="00E82182" w:rsidRDefault="00E82182" w:rsidP="00E82182"/>
        </w:tc>
        <w:tc>
          <w:tcPr>
            <w:tcW w:w="5045" w:type="dxa"/>
            <w:vMerge/>
            <w:tcBorders>
              <w:bottom w:val="single" w:sz="4" w:space="0" w:color="033636" w:themeColor="text2"/>
            </w:tcBorders>
          </w:tcPr>
          <w:p w14:paraId="3DC524C0" w14:textId="77777777" w:rsidR="00E82182" w:rsidRDefault="00E82182" w:rsidP="00E82182">
            <w:pPr>
              <w:jc w:val="left"/>
            </w:pPr>
          </w:p>
        </w:tc>
      </w:tr>
      <w:tr w:rsidR="00E82182" w14:paraId="5D645196" w14:textId="77777777" w:rsidTr="00E82182">
        <w:trPr>
          <w:divId w:val="935526654"/>
          <w:trHeight w:val="60"/>
        </w:trPr>
        <w:tc>
          <w:tcPr>
            <w:tcW w:w="2324" w:type="dxa"/>
            <w:vMerge/>
            <w:tcBorders>
              <w:bottom w:val="single" w:sz="4" w:space="0" w:color="033636" w:themeColor="text2"/>
            </w:tcBorders>
            <w:shd w:val="clear" w:color="auto" w:fill="C5FFEF" w:themeFill="background2" w:themeFillTint="33"/>
          </w:tcPr>
          <w:p w14:paraId="0F58EC99" w14:textId="77777777" w:rsidR="00E82182" w:rsidRDefault="00E82182" w:rsidP="00E82182">
            <w:pPr>
              <w:jc w:val="left"/>
            </w:pPr>
          </w:p>
        </w:tc>
        <w:tc>
          <w:tcPr>
            <w:tcW w:w="2325" w:type="dxa"/>
            <w:tcBorders>
              <w:top w:val="single" w:sz="4" w:space="0" w:color="033636" w:themeColor="text2"/>
            </w:tcBorders>
          </w:tcPr>
          <w:p w14:paraId="6179667F" w14:textId="77777777" w:rsidR="00E82182" w:rsidRDefault="00E82182" w:rsidP="00E82182">
            <w:r>
              <w:t>Dsg1</w:t>
            </w:r>
          </w:p>
        </w:tc>
        <w:tc>
          <w:tcPr>
            <w:tcW w:w="2324" w:type="dxa"/>
            <w:tcBorders>
              <w:top w:val="single" w:sz="4" w:space="0" w:color="033636" w:themeColor="text2"/>
            </w:tcBorders>
          </w:tcPr>
          <w:p w14:paraId="095E09D4" w14:textId="77777777" w:rsidR="00E82182" w:rsidRDefault="00E82182" w:rsidP="00E82182">
            <w:r>
              <w:t>Negative</w:t>
            </w:r>
          </w:p>
        </w:tc>
        <w:tc>
          <w:tcPr>
            <w:tcW w:w="2325" w:type="dxa"/>
            <w:tcBorders>
              <w:top w:val="single" w:sz="4" w:space="0" w:color="033636" w:themeColor="text2"/>
            </w:tcBorders>
          </w:tcPr>
          <w:p w14:paraId="77ABCEDF" w14:textId="77777777" w:rsidR="00E82182" w:rsidRDefault="00E82182" w:rsidP="00E82182"/>
        </w:tc>
        <w:tc>
          <w:tcPr>
            <w:tcW w:w="5045" w:type="dxa"/>
            <w:vMerge w:val="restart"/>
            <w:tcBorders>
              <w:top w:val="single" w:sz="4" w:space="0" w:color="033636" w:themeColor="text2"/>
            </w:tcBorders>
          </w:tcPr>
          <w:p w14:paraId="152C3E72" w14:textId="77777777" w:rsidR="00E82182" w:rsidRDefault="00E82182" w:rsidP="00E82182">
            <w:pPr>
              <w:jc w:val="left"/>
            </w:pPr>
            <w:r>
              <w:t>Positive result supports the diagnosis of pemphigus</w:t>
            </w:r>
          </w:p>
        </w:tc>
      </w:tr>
      <w:tr w:rsidR="00E82182" w14:paraId="49635246" w14:textId="77777777" w:rsidTr="00E82182">
        <w:trPr>
          <w:divId w:val="935526654"/>
          <w:trHeight w:val="60"/>
        </w:trPr>
        <w:tc>
          <w:tcPr>
            <w:tcW w:w="2324" w:type="dxa"/>
            <w:vMerge/>
            <w:tcBorders>
              <w:bottom w:val="single" w:sz="4" w:space="0" w:color="033636" w:themeColor="text2"/>
            </w:tcBorders>
            <w:shd w:val="clear" w:color="auto" w:fill="C5FFEF" w:themeFill="background2" w:themeFillTint="33"/>
          </w:tcPr>
          <w:p w14:paraId="6C9ACDD8" w14:textId="77777777" w:rsidR="00E82182" w:rsidRDefault="00E82182" w:rsidP="00E82182">
            <w:pPr>
              <w:jc w:val="left"/>
            </w:pPr>
          </w:p>
        </w:tc>
        <w:tc>
          <w:tcPr>
            <w:tcW w:w="2325" w:type="dxa"/>
            <w:tcBorders>
              <w:bottom w:val="single" w:sz="4" w:space="0" w:color="033636" w:themeColor="text2"/>
            </w:tcBorders>
          </w:tcPr>
          <w:p w14:paraId="09D7B5F5" w14:textId="77777777" w:rsidR="00E82182" w:rsidRDefault="00E82182" w:rsidP="00E82182">
            <w:r>
              <w:t>Dsg3</w:t>
            </w:r>
          </w:p>
        </w:tc>
        <w:tc>
          <w:tcPr>
            <w:tcW w:w="2324" w:type="dxa"/>
            <w:tcBorders>
              <w:bottom w:val="single" w:sz="4" w:space="0" w:color="033636" w:themeColor="text2"/>
            </w:tcBorders>
          </w:tcPr>
          <w:p w14:paraId="336C2D6E" w14:textId="77777777" w:rsidR="00E82182" w:rsidRDefault="00E82182" w:rsidP="00E82182">
            <w:r>
              <w:t>Negative</w:t>
            </w:r>
          </w:p>
        </w:tc>
        <w:tc>
          <w:tcPr>
            <w:tcW w:w="2325" w:type="dxa"/>
            <w:tcBorders>
              <w:bottom w:val="single" w:sz="4" w:space="0" w:color="033636" w:themeColor="text2"/>
            </w:tcBorders>
          </w:tcPr>
          <w:p w14:paraId="58179BFE" w14:textId="77777777" w:rsidR="00E82182" w:rsidRDefault="00E82182" w:rsidP="00E82182"/>
        </w:tc>
        <w:tc>
          <w:tcPr>
            <w:tcW w:w="5045" w:type="dxa"/>
            <w:vMerge/>
            <w:tcBorders>
              <w:bottom w:val="single" w:sz="4" w:space="0" w:color="033636" w:themeColor="text2"/>
            </w:tcBorders>
          </w:tcPr>
          <w:p w14:paraId="1CC8409C" w14:textId="77777777" w:rsidR="00E82182" w:rsidRDefault="00E82182" w:rsidP="00E82182">
            <w:pPr>
              <w:jc w:val="left"/>
            </w:pPr>
          </w:p>
        </w:tc>
      </w:tr>
      <w:tr w:rsidR="00E82182" w14:paraId="3644E748" w14:textId="77777777" w:rsidTr="00E82182">
        <w:trPr>
          <w:divId w:val="935526654"/>
          <w:trHeight w:val="60"/>
        </w:trPr>
        <w:tc>
          <w:tcPr>
            <w:tcW w:w="2324" w:type="dxa"/>
            <w:vMerge/>
            <w:tcBorders>
              <w:bottom w:val="single" w:sz="4" w:space="0" w:color="033636" w:themeColor="text2"/>
            </w:tcBorders>
            <w:shd w:val="clear" w:color="auto" w:fill="C5FFEF" w:themeFill="background2" w:themeFillTint="33"/>
          </w:tcPr>
          <w:p w14:paraId="02582AB7" w14:textId="77777777" w:rsidR="00E82182" w:rsidRDefault="00E82182" w:rsidP="00E82182">
            <w:pPr>
              <w:jc w:val="left"/>
            </w:pPr>
          </w:p>
        </w:tc>
        <w:tc>
          <w:tcPr>
            <w:tcW w:w="2325" w:type="dxa"/>
            <w:tcBorders>
              <w:top w:val="single" w:sz="4" w:space="0" w:color="033636" w:themeColor="text2"/>
              <w:bottom w:val="single" w:sz="4" w:space="0" w:color="033636" w:themeColor="text2"/>
            </w:tcBorders>
          </w:tcPr>
          <w:p w14:paraId="0B6B5572" w14:textId="77777777" w:rsidR="00E82182" w:rsidRDefault="00E82182" w:rsidP="00E82182">
            <w:r>
              <w:t>Envoplakin</w:t>
            </w:r>
          </w:p>
        </w:tc>
        <w:tc>
          <w:tcPr>
            <w:tcW w:w="2324" w:type="dxa"/>
            <w:tcBorders>
              <w:top w:val="single" w:sz="4" w:space="0" w:color="033636" w:themeColor="text2"/>
              <w:bottom w:val="single" w:sz="4" w:space="0" w:color="033636" w:themeColor="text2"/>
            </w:tcBorders>
          </w:tcPr>
          <w:p w14:paraId="2FB9BB47" w14:textId="77777777" w:rsidR="00E82182" w:rsidRDefault="00E82182" w:rsidP="00E82182">
            <w:r>
              <w:t>Negative</w:t>
            </w:r>
          </w:p>
        </w:tc>
        <w:tc>
          <w:tcPr>
            <w:tcW w:w="2325" w:type="dxa"/>
            <w:tcBorders>
              <w:top w:val="single" w:sz="4" w:space="0" w:color="033636" w:themeColor="text2"/>
              <w:bottom w:val="single" w:sz="4" w:space="0" w:color="033636" w:themeColor="text2"/>
            </w:tcBorders>
          </w:tcPr>
          <w:p w14:paraId="03525A7E" w14:textId="77777777" w:rsidR="00E82182" w:rsidRDefault="00E82182" w:rsidP="00E82182"/>
        </w:tc>
        <w:tc>
          <w:tcPr>
            <w:tcW w:w="5045" w:type="dxa"/>
            <w:tcBorders>
              <w:top w:val="single" w:sz="4" w:space="0" w:color="033636" w:themeColor="text2"/>
              <w:bottom w:val="single" w:sz="4" w:space="0" w:color="033636" w:themeColor="text2"/>
            </w:tcBorders>
          </w:tcPr>
          <w:p w14:paraId="096657D9" w14:textId="77777777" w:rsidR="00E82182" w:rsidRDefault="00E82182" w:rsidP="00E82182">
            <w:pPr>
              <w:jc w:val="left"/>
            </w:pPr>
            <w:r>
              <w:t>A significant diagnostic marker for paraneoplastic pemphigus</w:t>
            </w:r>
          </w:p>
        </w:tc>
      </w:tr>
      <w:tr w:rsidR="00E82182" w14:paraId="4BCA72F5" w14:textId="77777777" w:rsidTr="00E82182">
        <w:trPr>
          <w:divId w:val="935526654"/>
          <w:trHeight w:val="60"/>
        </w:trPr>
        <w:tc>
          <w:tcPr>
            <w:tcW w:w="2324" w:type="dxa"/>
            <w:vMerge/>
            <w:tcBorders>
              <w:bottom w:val="single" w:sz="4" w:space="0" w:color="033636" w:themeColor="text2"/>
            </w:tcBorders>
            <w:shd w:val="clear" w:color="auto" w:fill="C5FFEF" w:themeFill="background2" w:themeFillTint="33"/>
          </w:tcPr>
          <w:p w14:paraId="0C6973E7" w14:textId="77777777" w:rsidR="00E82182" w:rsidRDefault="00E82182" w:rsidP="00E82182">
            <w:pPr>
              <w:jc w:val="left"/>
            </w:pPr>
          </w:p>
        </w:tc>
        <w:tc>
          <w:tcPr>
            <w:tcW w:w="2325" w:type="dxa"/>
            <w:tcBorders>
              <w:top w:val="single" w:sz="4" w:space="0" w:color="033636" w:themeColor="text2"/>
              <w:bottom w:val="single" w:sz="4" w:space="0" w:color="033636" w:themeColor="text2"/>
            </w:tcBorders>
          </w:tcPr>
          <w:p w14:paraId="44902116" w14:textId="77777777" w:rsidR="00E82182" w:rsidRDefault="00E82182" w:rsidP="00E82182">
            <w:r>
              <w:t>Collagen type VII</w:t>
            </w:r>
          </w:p>
        </w:tc>
        <w:tc>
          <w:tcPr>
            <w:tcW w:w="2324" w:type="dxa"/>
            <w:tcBorders>
              <w:top w:val="single" w:sz="4" w:space="0" w:color="033636" w:themeColor="text2"/>
              <w:bottom w:val="single" w:sz="4" w:space="0" w:color="033636" w:themeColor="text2"/>
            </w:tcBorders>
          </w:tcPr>
          <w:p w14:paraId="68521D5C" w14:textId="77777777" w:rsidR="00E82182" w:rsidRDefault="00E82182" w:rsidP="00E82182">
            <w:r>
              <w:t>Negative</w:t>
            </w:r>
          </w:p>
        </w:tc>
        <w:tc>
          <w:tcPr>
            <w:tcW w:w="2325" w:type="dxa"/>
            <w:tcBorders>
              <w:top w:val="single" w:sz="4" w:space="0" w:color="033636" w:themeColor="text2"/>
              <w:bottom w:val="single" w:sz="4" w:space="0" w:color="033636" w:themeColor="text2"/>
            </w:tcBorders>
          </w:tcPr>
          <w:p w14:paraId="313D407E" w14:textId="77777777" w:rsidR="00E82182" w:rsidRDefault="00E82182" w:rsidP="00E82182"/>
        </w:tc>
        <w:tc>
          <w:tcPr>
            <w:tcW w:w="5045" w:type="dxa"/>
            <w:tcBorders>
              <w:top w:val="single" w:sz="4" w:space="0" w:color="033636" w:themeColor="text2"/>
              <w:bottom w:val="single" w:sz="4" w:space="0" w:color="033636" w:themeColor="text2"/>
            </w:tcBorders>
          </w:tcPr>
          <w:p w14:paraId="15DFF519" w14:textId="77777777" w:rsidR="00E82182" w:rsidRDefault="00E82182" w:rsidP="00E82182">
            <w:pPr>
              <w:jc w:val="left"/>
            </w:pPr>
            <w:r>
              <w:t>A subgroup of bullous pemphigoid patients experiencing relapse shows the presence of collagen type VII antibodies</w:t>
            </w:r>
          </w:p>
        </w:tc>
      </w:tr>
    </w:tbl>
    <w:p w14:paraId="5AA76071" w14:textId="72B6E717" w:rsidR="00E82182" w:rsidRDefault="00E82182" w:rsidP="00E82182">
      <w:pPr>
        <w:pStyle w:val="CDIFigure-Table-FirstFootnote"/>
        <w:divId w:val="935526654"/>
      </w:pPr>
      <w:r>
        <w:t>a</w:t>
      </w:r>
      <w:r>
        <w:tab/>
        <w:t xml:space="preserve">CRP: C-reactive protein; ESR: erythrocyte sedimentation rate; ANA: antinuclear antibody; ANCA: anti-neutrophilic cytoplasmic antibody; MPO-: myeloperoxidase; PR3-: proteinase 3; IgG: immunoglobulin G; BP: bullous pemphigoid; </w:t>
      </w:r>
      <w:proofErr w:type="spellStart"/>
      <w:r>
        <w:t>Dsg</w:t>
      </w:r>
      <w:proofErr w:type="spellEnd"/>
      <w:r>
        <w:t xml:space="preserve">: </w:t>
      </w:r>
      <w:proofErr w:type="spellStart"/>
      <w:r>
        <w:t>desmoglein</w:t>
      </w:r>
      <w:proofErr w:type="spellEnd"/>
      <w:r>
        <w:t>.</w:t>
      </w:r>
    </w:p>
    <w:p w14:paraId="6C3C6491" w14:textId="77777777" w:rsidR="00AC659C" w:rsidRDefault="00AC659C" w:rsidP="00EA1A80">
      <w:pPr>
        <w:divId w:val="935526654"/>
        <w:sectPr w:rsidR="00AC659C" w:rsidSect="00AC659C">
          <w:footerReference w:type="default" r:id="rId19"/>
          <w:pgSz w:w="16840" w:h="11907" w:orient="landscape" w:code="9"/>
          <w:pgMar w:top="1134" w:right="1304" w:bottom="1134" w:left="1304" w:header="709" w:footer="527" w:gutter="0"/>
          <w:cols w:space="708"/>
          <w:docGrid w:linePitch="360"/>
        </w:sectPr>
      </w:pPr>
    </w:p>
    <w:p w14:paraId="49EBC4FD" w14:textId="77777777" w:rsidR="00E82182" w:rsidRDefault="00E82182" w:rsidP="00E82182">
      <w:pPr>
        <w:pStyle w:val="CDIFigure-Table-Title"/>
        <w:divId w:val="935526654"/>
      </w:pPr>
      <w:r>
        <w:lastRenderedPageBreak/>
        <w:t>Figure 5: Histopathology of skin biopsy (</w:t>
      </w:r>
      <w:proofErr w:type="spellStart"/>
      <w:r>
        <w:t>Hematoxylin</w:t>
      </w:r>
      <w:proofErr w:type="spellEnd"/>
      <w:r>
        <w:t xml:space="preserve"> and eosin, 100× magnification), showing epidermal spongiosis and predominantly perivascular </w:t>
      </w:r>
      <w:proofErr w:type="gramStart"/>
      <w:r>
        <w:t>inflammation</w:t>
      </w:r>
      <w:proofErr w:type="gramEnd"/>
    </w:p>
    <w:p w14:paraId="45CB333E" w14:textId="1F958F37" w:rsidR="00E82182" w:rsidRDefault="00E82182" w:rsidP="00E82182">
      <w:pPr>
        <w:pStyle w:val="CDIFigure-Table-ImagePlaceholder"/>
        <w:divId w:val="935526654"/>
      </w:pPr>
      <w:r>
        <w:rPr>
          <w:noProof/>
          <w14:ligatures w14:val="none"/>
        </w:rPr>
        <w:drawing>
          <wp:inline distT="0" distB="0" distL="0" distR="0" wp14:anchorId="47A3E26F" wp14:editId="1065BC80">
            <wp:extent cx="2935224" cy="1970532"/>
            <wp:effectExtent l="0" t="0" r="0" b="0"/>
            <wp:docPr id="6" name="Picture 6" descr="Histopathology slide image (100x magnification) of a skin biopsy from the patient. Sample is stained with hematoxylin and eosin and displays features consistent with a spongiotic dermati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Histopathology slide image (100x magnification) of a skin biopsy from the patient. Sample is stained with hematoxylin and eosin and displays features consistent with a spongiotic dermatitis."/>
                    <pic:cNvPicPr/>
                  </pic:nvPicPr>
                  <pic:blipFill>
                    <a:blip r:embed="rId20">
                      <a:extLst>
                        <a:ext uri="{28A0092B-C50C-407E-A947-70E740481C1C}">
                          <a14:useLocalDpi xmlns:a14="http://schemas.microsoft.com/office/drawing/2010/main" val="0"/>
                        </a:ext>
                      </a:extLst>
                    </a:blip>
                    <a:stretch>
                      <a:fillRect/>
                    </a:stretch>
                  </pic:blipFill>
                  <pic:spPr>
                    <a:xfrm>
                      <a:off x="0" y="0"/>
                      <a:ext cx="2935224" cy="1970532"/>
                    </a:xfrm>
                    <a:prstGeom prst="rect">
                      <a:avLst/>
                    </a:prstGeom>
                  </pic:spPr>
                </pic:pic>
              </a:graphicData>
            </a:graphic>
          </wp:inline>
        </w:drawing>
      </w:r>
    </w:p>
    <w:p w14:paraId="74F0ECCF" w14:textId="77777777" w:rsidR="00E82182" w:rsidRDefault="00E82182" w:rsidP="00E82182">
      <w:pPr>
        <w:pStyle w:val="CDIFigure-Table-Title"/>
        <w:divId w:val="935526654"/>
      </w:pPr>
      <w:r>
        <w:t>Figure 6: Histopathology of skin biopsy (</w:t>
      </w:r>
      <w:proofErr w:type="spellStart"/>
      <w:r>
        <w:t>Hematoxylin</w:t>
      </w:r>
      <w:proofErr w:type="spellEnd"/>
      <w:r>
        <w:t xml:space="preserve"> and eosin, 200× magnification), showing a predominantly lymphocytic dermal inflammatory cell infiltrate, with a small number of </w:t>
      </w:r>
      <w:proofErr w:type="gramStart"/>
      <w:r>
        <w:t>eosinophils</w:t>
      </w:r>
      <w:proofErr w:type="gramEnd"/>
    </w:p>
    <w:p w14:paraId="633D1527" w14:textId="1C3BEE00" w:rsidR="00E82182" w:rsidRDefault="00E82182" w:rsidP="00E82182">
      <w:pPr>
        <w:pStyle w:val="CDIFigure-Table-ImagePlaceholder"/>
        <w:divId w:val="935526654"/>
      </w:pPr>
      <w:r>
        <w:rPr>
          <w:noProof/>
          <w14:ligatures w14:val="none"/>
        </w:rPr>
        <w:drawing>
          <wp:inline distT="0" distB="0" distL="0" distR="0" wp14:anchorId="422626A1" wp14:editId="707DA5A1">
            <wp:extent cx="2935224" cy="1970532"/>
            <wp:effectExtent l="0" t="0" r="0" b="0"/>
            <wp:docPr id="7" name="Picture 7" descr="Histopathology slide image (200x magnification) of a skin biopsy from the patient. Sample is stained with hematoxylin and eosin and shows, at greater magnification, a portion of the same sample as is shown in Fig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Histopathology slide image (200x magnification) of a skin biopsy from the patient. Sample is stained with hematoxylin and eosin and shows, at greater magnification, a portion of the same sample as is shown in Figure 5."/>
                    <pic:cNvPicPr/>
                  </pic:nvPicPr>
                  <pic:blipFill>
                    <a:blip r:embed="rId21">
                      <a:extLst>
                        <a:ext uri="{28A0092B-C50C-407E-A947-70E740481C1C}">
                          <a14:useLocalDpi xmlns:a14="http://schemas.microsoft.com/office/drawing/2010/main" val="0"/>
                        </a:ext>
                      </a:extLst>
                    </a:blip>
                    <a:stretch>
                      <a:fillRect/>
                    </a:stretch>
                  </pic:blipFill>
                  <pic:spPr>
                    <a:xfrm>
                      <a:off x="0" y="0"/>
                      <a:ext cx="2935224" cy="1970532"/>
                    </a:xfrm>
                    <a:prstGeom prst="rect">
                      <a:avLst/>
                    </a:prstGeom>
                  </pic:spPr>
                </pic:pic>
              </a:graphicData>
            </a:graphic>
          </wp:inline>
        </w:drawing>
      </w:r>
    </w:p>
    <w:p w14:paraId="59B9A54D" w14:textId="77777777" w:rsidR="00E82182" w:rsidRDefault="00E82182" w:rsidP="00807D45">
      <w:pPr>
        <w:pStyle w:val="Heading1"/>
        <w:divId w:val="935526654"/>
      </w:pPr>
      <w:r w:rsidRPr="00807D45">
        <w:t>Discussion</w:t>
      </w:r>
    </w:p>
    <w:p w14:paraId="42076E96" w14:textId="77777777" w:rsidR="00E82182" w:rsidRDefault="00E82182" w:rsidP="00807D45">
      <w:pPr>
        <w:divId w:val="935526654"/>
      </w:pPr>
      <w:r>
        <w:t>Cercarial dermatitis (swimmer’s itch) is caused by an allergic reaction to the penetration of nonhuman schistosome larvae (cercariae) into human skin. Cercariae are the larval forms of the parasite released from aquatic snails, found in warm shallow water with a sandy or vegetated base.</w:t>
      </w:r>
      <w:r>
        <w:rPr>
          <w:rStyle w:val="Superscript"/>
        </w:rPr>
        <w:t>2</w:t>
      </w:r>
      <w:r>
        <w:t xml:space="preserve"> </w:t>
      </w:r>
    </w:p>
    <w:p w14:paraId="322A54BF" w14:textId="77777777" w:rsidR="00E82182" w:rsidRDefault="00E82182" w:rsidP="00807D45">
      <w:pPr>
        <w:divId w:val="935526654"/>
      </w:pPr>
      <w:r>
        <w:t xml:space="preserve">Nonhuman schistosomes are found worldwide. They are digenetic (sexually reproducing) trematodes that live in the blood vessels of birds or mammals (definitive host); the schistosomes produce eggs which pass out in the host’s faeces, and hatch into miracidia, which penetrate an intermediate snail host, then develop into cercariae, which are regularly released into the water. Humans are a </w:t>
      </w:r>
      <w:proofErr w:type="gramStart"/>
      <w:r>
        <w:t>dead end</w:t>
      </w:r>
      <w:proofErr w:type="gramEnd"/>
      <w:r>
        <w:t xml:space="preserve"> host: cercariae penetrating human skin cannot migrate, and die within the subcutaneous tissues inciting a hypersensitivity reaction.</w:t>
      </w:r>
      <w:r>
        <w:rPr>
          <w:rStyle w:val="Superscript"/>
        </w:rPr>
        <w:t>3</w:t>
      </w:r>
    </w:p>
    <w:p w14:paraId="1D01FE94" w14:textId="77777777" w:rsidR="00E82182" w:rsidRDefault="00E82182" w:rsidP="00807D45">
      <w:pPr>
        <w:divId w:val="935526654"/>
      </w:pPr>
      <w:r>
        <w:t xml:space="preserve">Swimmer’s itch is common in tropical and temperate parts of the world. It occurs mainly in freshwater lakes in temperate </w:t>
      </w:r>
      <w:proofErr w:type="gramStart"/>
      <w:r>
        <w:t>climates, but</w:t>
      </w:r>
      <w:proofErr w:type="gramEnd"/>
      <w:r>
        <w:t xml:space="preserve"> is also observed in brackish water.</w:t>
      </w:r>
      <w:r>
        <w:rPr>
          <w:rStyle w:val="Superscript"/>
        </w:rPr>
        <w:t>4</w:t>
      </w:r>
      <w:r>
        <w:t xml:space="preserve"> Due to the temperature-dependent development of cercariae, it is more frequent during summer months.</w:t>
      </w:r>
      <w:r>
        <w:rPr>
          <w:rStyle w:val="Superscript"/>
        </w:rPr>
        <w:t>5</w:t>
      </w:r>
    </w:p>
    <w:p w14:paraId="70902969" w14:textId="77777777" w:rsidR="00E82182" w:rsidRDefault="00E82182" w:rsidP="00807D45">
      <w:pPr>
        <w:divId w:val="935526654"/>
      </w:pPr>
      <w:r>
        <w:lastRenderedPageBreak/>
        <w:t>However, swimmer’s itch is relatively uncommon in Australia, perhaps due to under-reporting of the condition. Cases have been reported in Queensland, New South Wales, and Western Australia; and in freshwater, brackish water, and saltwater.</w:t>
      </w:r>
      <w:r>
        <w:rPr>
          <w:rStyle w:val="Superscript"/>
        </w:rPr>
        <w:t>6–</w:t>
      </w:r>
      <w:proofErr w:type="gramStart"/>
      <w:r>
        <w:rPr>
          <w:rStyle w:val="Superscript"/>
        </w:rPr>
        <w:t>8</w:t>
      </w:r>
      <w:proofErr w:type="gramEnd"/>
    </w:p>
    <w:p w14:paraId="6591A371" w14:textId="77777777" w:rsidR="00E82182" w:rsidRDefault="00E82182" w:rsidP="00807D45">
      <w:pPr>
        <w:divId w:val="935526654"/>
      </w:pPr>
      <w:r>
        <w:t xml:space="preserve">The typical presentation is of a pruritic, </w:t>
      </w:r>
      <w:proofErr w:type="spellStart"/>
      <w:r>
        <w:t>papular</w:t>
      </w:r>
      <w:proofErr w:type="spellEnd"/>
      <w:r>
        <w:t xml:space="preserve"> eruption of the lower limbs, occurring after standing or swimming in warm shallow water; covered skin (which cercariae cannot penetrate) is protected.</w:t>
      </w:r>
      <w:r>
        <w:rPr>
          <w:rStyle w:val="Superscript"/>
        </w:rPr>
        <w:t>2</w:t>
      </w:r>
      <w:r w:rsidRPr="00807D45">
        <w:t xml:space="preserve"> </w:t>
      </w:r>
      <w:r>
        <w:t>Within hours of exposure, an itch or a transient tingling sensation can occur, and small red spots appear marking sites of cercarial penetration. Significant itch develops over several hours, with discrete erythematous papules which may lead to blistering if severe.</w:t>
      </w:r>
      <w:r>
        <w:rPr>
          <w:rStyle w:val="Superscript"/>
        </w:rPr>
        <w:t>9</w:t>
      </w:r>
      <w:r>
        <w:t xml:space="preserve"> The rash usually resolves within one to three weeks.</w:t>
      </w:r>
      <w:r>
        <w:rPr>
          <w:rStyle w:val="Superscript"/>
        </w:rPr>
        <w:t>2</w:t>
      </w:r>
      <w:r>
        <w:t xml:space="preserve"> </w:t>
      </w:r>
    </w:p>
    <w:p w14:paraId="1F382176" w14:textId="77777777" w:rsidR="00E82182" w:rsidRDefault="00E82182" w:rsidP="00807D45">
      <w:pPr>
        <w:divId w:val="935526654"/>
      </w:pPr>
      <w:r>
        <w:t>The diagnosis is clinical. Skin biopsy findings are usually nonspecific; some reports note a hypersensitivity reaction with inflammatory eosinophilic infiltrate. In one report where the patient presented after three days of symptoms, cercariae were seen in the epidermis of the biopsy specimen.</w:t>
      </w:r>
      <w:r>
        <w:rPr>
          <w:rStyle w:val="Superscript"/>
        </w:rPr>
        <w:t>10</w:t>
      </w:r>
      <w:r>
        <w:t xml:space="preserve"> However, direct histologic evidence is rare, as cercariae die within 24 hours of entering skin and are </w:t>
      </w:r>
      <w:proofErr w:type="gramStart"/>
      <w:r>
        <w:t>completely destroyed</w:t>
      </w:r>
      <w:proofErr w:type="gramEnd"/>
      <w:r>
        <w:t xml:space="preserve"> at 72 hours.</w:t>
      </w:r>
      <w:r>
        <w:rPr>
          <w:rStyle w:val="Superscript"/>
        </w:rPr>
        <w:t>3</w:t>
      </w:r>
      <w:r>
        <w:t xml:space="preserve"> </w:t>
      </w:r>
    </w:p>
    <w:p w14:paraId="47686590" w14:textId="77777777" w:rsidR="00E82182" w:rsidRDefault="00E82182" w:rsidP="00807D45">
      <w:pPr>
        <w:divId w:val="935526654"/>
      </w:pPr>
      <w:r>
        <w:t>Treatment is symptomatic. Oral antihistamines and topical steroids reduce the symptoms; for severe cases, a short course of oral prednisolone may be used. Prevention is based around protective swimwear, avoiding swimming in morning hours and shallow waters, and showering and/or towel drying after swimming.</w:t>
      </w:r>
      <w:r>
        <w:rPr>
          <w:rStyle w:val="Superscript"/>
        </w:rPr>
        <w:t>5</w:t>
      </w:r>
      <w:r>
        <w:t xml:space="preserve"> </w:t>
      </w:r>
    </w:p>
    <w:p w14:paraId="0B0D19E9" w14:textId="77777777" w:rsidR="00E82182" w:rsidRDefault="00E82182" w:rsidP="00807D45">
      <w:pPr>
        <w:divId w:val="935526654"/>
      </w:pPr>
      <w:r>
        <w:t>Our clinical diagnosis was based upon the exposure history, examination findings, clinical course with complete resolution, and investigations excluding alternative causes. In particular, the exposure history (with all family members affected by water exposure), and the eruption’s distribution (with sparing of covered skin, and highest density of lesions on most water-exposed skin), were consistent with cercarial dermatitis.</w:t>
      </w:r>
    </w:p>
    <w:p w14:paraId="10A7B5E5" w14:textId="77777777" w:rsidR="00E82182" w:rsidRDefault="00E82182" w:rsidP="00807D45">
      <w:pPr>
        <w:divId w:val="935526654"/>
      </w:pPr>
      <w:r>
        <w:t xml:space="preserve">One important differential diagnosis was </w:t>
      </w:r>
      <w:r>
        <w:rPr>
          <w:rStyle w:val="Italic"/>
        </w:rPr>
        <w:t>Vibrio vulnificus</w:t>
      </w:r>
      <w:r>
        <w:t xml:space="preserve"> wound infection, which can occur with wound exposure to salt or brackish water, and produce bullous skin lesions; however, this was excluded by the absence of sepsis and negative microbiology. Another differential was of </w:t>
      </w:r>
      <w:proofErr w:type="spellStart"/>
      <w:r>
        <w:t>seabather’s</w:t>
      </w:r>
      <w:proofErr w:type="spellEnd"/>
      <w:r>
        <w:t xml:space="preserve"> eruption, which occurs after saltwater </w:t>
      </w:r>
      <w:proofErr w:type="gramStart"/>
      <w:r>
        <w:t>exposure</w:t>
      </w:r>
      <w:proofErr w:type="gramEnd"/>
      <w:r>
        <w:t xml:space="preserve"> and which can cause vesicular or pustular lesions (and systemic symptoms in some cases). However, </w:t>
      </w:r>
      <w:proofErr w:type="spellStart"/>
      <w:r>
        <w:t>seabather’s</w:t>
      </w:r>
      <w:proofErr w:type="spellEnd"/>
      <w:r>
        <w:t xml:space="preserve"> eruption usually affects areas covered by swimwear, in particular tight-fitting areas, and also areas subject to friction (</w:t>
      </w:r>
      <w:proofErr w:type="gramStart"/>
      <w:r>
        <w:t>e.g.</w:t>
      </w:r>
      <w:proofErr w:type="gramEnd"/>
      <w:r>
        <w:t xml:space="preserve"> axillae, inner thighs); this contrasts with the distribution of lesions in our patient’s case. In addition, symptoms of </w:t>
      </w:r>
      <w:proofErr w:type="spellStart"/>
      <w:r>
        <w:t>seabather’s</w:t>
      </w:r>
      <w:proofErr w:type="spellEnd"/>
      <w:r>
        <w:t xml:space="preserve"> eruption typically worsen upon rinsing with freshwater such as showering (which results in toxin discharge from the causative thimble jellyfish, </w:t>
      </w:r>
      <w:proofErr w:type="spellStart"/>
      <w:r>
        <w:rPr>
          <w:rStyle w:val="Italic"/>
        </w:rPr>
        <w:t>Linuche</w:t>
      </w:r>
      <w:proofErr w:type="spellEnd"/>
      <w:r>
        <w:rPr>
          <w:rStyle w:val="Italic"/>
        </w:rPr>
        <w:t xml:space="preserve"> unguiculata</w:t>
      </w:r>
      <w:r>
        <w:t>).</w:t>
      </w:r>
      <w:r>
        <w:rPr>
          <w:rStyle w:val="Superscript"/>
        </w:rPr>
        <w:t>11,12</w:t>
      </w:r>
      <w:r>
        <w:t xml:space="preserve"> Neither the patient nor her affected relatives reported an exacerbation of symptoms after showering. </w:t>
      </w:r>
    </w:p>
    <w:p w14:paraId="0CF9D927" w14:textId="77777777" w:rsidR="00E82182" w:rsidRDefault="00E82182" w:rsidP="00807D45">
      <w:pPr>
        <w:divId w:val="935526654"/>
      </w:pPr>
      <w:r>
        <w:t xml:space="preserve">Other differentials were of an autoimmune or drug reaction; however, neither explained the eruption’s discrete distribution and its lack of recurrence after cessation of corticosteroids. </w:t>
      </w:r>
    </w:p>
    <w:p w14:paraId="680C612B" w14:textId="77777777" w:rsidR="00E82182" w:rsidRDefault="00E82182" w:rsidP="00807D45">
      <w:pPr>
        <w:divId w:val="935526654"/>
      </w:pPr>
      <w:r>
        <w:t>Factors associated with severity of swimmer’s itch have not been extensively described. Previous exposure to cercariae can result in sensitisation, with the subsequent reaction being more severe and manifesting sooner with a more prolonged clinical course.</w:t>
      </w:r>
      <w:r>
        <w:rPr>
          <w:rStyle w:val="Superscript"/>
        </w:rPr>
        <w:t>5</w:t>
      </w:r>
      <w:r>
        <w:t xml:space="preserve"> Logically it would be expected that severity would depend on degree of exposure to cercariae. The concentrations of waterbird and/or snail hosts in a location would also be presumed to correlate with the severity of reactions via effect on cercariae numbers. High </w:t>
      </w:r>
      <w:r>
        <w:lastRenderedPageBreak/>
        <w:t>concentrations of cercariae occur with high air and sea surface temperatures, and coastal currents concentrate cercariae around shallow estuary outlets.</w:t>
      </w:r>
      <w:r>
        <w:rPr>
          <w:rStyle w:val="Superscript"/>
        </w:rPr>
        <w:t>3</w:t>
      </w:r>
    </w:p>
    <w:p w14:paraId="3DF88AB5" w14:textId="77777777" w:rsidR="00E82182" w:rsidRDefault="00E82182" w:rsidP="00807D45">
      <w:pPr>
        <w:divId w:val="935526654"/>
      </w:pPr>
      <w:r>
        <w:t>In one prospective study of swimmer’s itch incidence and severity conducted in Douglas Lake (Michigan, United States of America) during July 2000, severity of an episode was strongly associated with total time in the water and with time in shallow water.</w:t>
      </w:r>
      <w:r>
        <w:rPr>
          <w:rStyle w:val="Superscript"/>
        </w:rPr>
        <w:t>4</w:t>
      </w:r>
      <w:r>
        <w:t xml:space="preserve"> Severity was also highest for morning water exposures and lowest in the late evening, consistent with temporal variation in the release of cercariae.</w:t>
      </w:r>
      <w:r>
        <w:rPr>
          <w:rStyle w:val="Superscript"/>
        </w:rPr>
        <w:t>4</w:t>
      </w:r>
      <w:r>
        <w:t xml:space="preserve"> </w:t>
      </w:r>
    </w:p>
    <w:p w14:paraId="02EE24AA" w14:textId="77777777" w:rsidR="00E82182" w:rsidRDefault="00E82182" w:rsidP="00807D45">
      <w:pPr>
        <w:divId w:val="935526654"/>
      </w:pPr>
      <w:r>
        <w:t>This is the first reported case in Australia of cercarial dermatitis with widespread bullous eruption. This case’s severity made the diagnosis more challenging. Contributors to severity were the ideal climatic conditions for cercariae and the degree of shallow water exposure. In particular, the patient spent significantly more time in shallow water than her family (who had milder reactions), and this differential exposure factor was significant in the severity of her reaction.</w:t>
      </w:r>
    </w:p>
    <w:p w14:paraId="0501383F" w14:textId="77777777" w:rsidR="00E82182" w:rsidRDefault="00E82182" w:rsidP="00807D45">
      <w:pPr>
        <w:divId w:val="935526654"/>
      </w:pPr>
      <w:r>
        <w:t>This is also the first case of cercarial dermatitis reported in Victoria. Since the early 2000s, cercarial dermatitis has also been reported in other parts of the world which previously had few or no cases, and given the temperature-dependent development of cercariae, climate change is postulated to be a key factor in this trend.</w:t>
      </w:r>
      <w:r>
        <w:rPr>
          <w:rStyle w:val="Superscript"/>
        </w:rPr>
        <w:t>13</w:t>
      </w:r>
    </w:p>
    <w:p w14:paraId="1AD77BFE" w14:textId="77777777" w:rsidR="00E82182" w:rsidRDefault="00E82182" w:rsidP="00807D45">
      <w:pPr>
        <w:divId w:val="935526654"/>
      </w:pPr>
      <w:r>
        <w:t>A Victorian climate science report from 2019 described average temperature increases of 1.0 °C since official records began in 1910, with mean sea levels in Williamstown increasing by 2 mm per year since 1966. If the current rate of warming continues, Victoria is projected to warm on average by 2.8–4.3 °C by the 2090s compared to 1986–2005.</w:t>
      </w:r>
      <w:r>
        <w:rPr>
          <w:rStyle w:val="Superscript"/>
        </w:rPr>
        <w:t>14</w:t>
      </w:r>
      <w:r>
        <w:t xml:space="preserve"> Other climate-related factors may also be contributory. An Australian report on the 2022 Japanese encephalitis virus (JEV) outbreak identified significant climate change-related alteration in migration and breeding patterns of waterbirds (including known avian schistosome vector species) as contributory to the viruses’ unexpected emergence and spread.</w:t>
      </w:r>
      <w:r>
        <w:rPr>
          <w:rStyle w:val="Superscript"/>
        </w:rPr>
        <w:t>15</w:t>
      </w:r>
      <w:r>
        <w:t xml:space="preserve"> The diversity of avian schistosomes found around the world is due to the ability of migratory birds to carry parasites across large distances.</w:t>
      </w:r>
      <w:r>
        <w:rPr>
          <w:rStyle w:val="Superscript"/>
        </w:rPr>
        <w:t>13</w:t>
      </w:r>
      <w:r>
        <w:t xml:space="preserve"> These alterations in waterbird movements and behaviours may also contribute to the condition’s spread, by introducing cercariae into new locations. Given these trends, it is likely that more cases will be observed in southern Australasia in the future.</w:t>
      </w:r>
    </w:p>
    <w:p w14:paraId="57BC8519" w14:textId="77777777" w:rsidR="00E82182" w:rsidRDefault="00E82182" w:rsidP="00807D45">
      <w:pPr>
        <w:divId w:val="935526654"/>
      </w:pPr>
      <w:r>
        <w:t>Cercarial dermatitis is an under-recognised condition in Australasia, and, in the context of climate change trends, is likely to become increasingly prevalent in more southern parts of the region, as well as to present with more severe manifestations. Local clinicians should be aware of the condition, its broad spectrum of clinical presentations, and its evolving epidemiology, as early identification has important public health implications. This case also highlights the importance of a thorough clinical history including environmental and potential infectious exposures in diagnosis of the condition.</w:t>
      </w:r>
    </w:p>
    <w:p w14:paraId="764AE5C2" w14:textId="77777777" w:rsidR="00E82182" w:rsidRDefault="00E82182" w:rsidP="00807D45">
      <w:pPr>
        <w:pStyle w:val="Heading1"/>
        <w:divId w:val="935526654"/>
      </w:pPr>
      <w:r w:rsidRPr="00807D45">
        <w:t>Acknowledgements</w:t>
      </w:r>
    </w:p>
    <w:p w14:paraId="325D4B8C" w14:textId="77777777" w:rsidR="00E82182" w:rsidRDefault="00E82182" w:rsidP="00807D45">
      <w:pPr>
        <w:divId w:val="935526654"/>
      </w:pPr>
      <w:r>
        <w:t>We graciously acknowledge the cooperation of our patient, who kindly consented to use of their photos in this publication. We also acknowledge Parks Victoria, who consented to the re-use of images from their website.</w:t>
      </w:r>
    </w:p>
    <w:p w14:paraId="54AF62CD" w14:textId="77777777" w:rsidR="00E82182" w:rsidRDefault="00E82182" w:rsidP="00E82182">
      <w:pPr>
        <w:divId w:val="935526654"/>
      </w:pPr>
    </w:p>
    <w:p w14:paraId="44F11C43" w14:textId="6DCC60ED" w:rsidR="00E30C30" w:rsidRDefault="00E30C30" w:rsidP="003F5172">
      <w:pPr>
        <w:pStyle w:val="Heading1"/>
        <w:divId w:val="935526654"/>
      </w:pPr>
      <w:r>
        <w:lastRenderedPageBreak/>
        <w:t>Author details</w:t>
      </w:r>
    </w:p>
    <w:p w14:paraId="137E285F" w14:textId="77777777" w:rsidR="00807D45" w:rsidRDefault="00807D45" w:rsidP="00807D45">
      <w:pPr>
        <w:divId w:val="935526654"/>
      </w:pPr>
      <w:r>
        <w:t>Dr Michael Sangiorgio</w:t>
      </w:r>
      <w:r>
        <w:rPr>
          <w:rStyle w:val="Superscript"/>
        </w:rPr>
        <w:t>1</w:t>
      </w:r>
    </w:p>
    <w:p w14:paraId="69DF8A7E" w14:textId="77777777" w:rsidR="00807D45" w:rsidRDefault="00807D45" w:rsidP="00807D45">
      <w:pPr>
        <w:spacing w:before="120"/>
        <w:divId w:val="935526654"/>
      </w:pPr>
      <w:r>
        <w:t>Dr Karen Liu</w:t>
      </w:r>
      <w:r>
        <w:rPr>
          <w:rStyle w:val="Superscript"/>
        </w:rPr>
        <w:t>2</w:t>
      </w:r>
    </w:p>
    <w:p w14:paraId="3FD0F6A4" w14:textId="77777777" w:rsidR="00807D45" w:rsidRDefault="00807D45" w:rsidP="00807D45">
      <w:pPr>
        <w:spacing w:before="120"/>
        <w:divId w:val="935526654"/>
      </w:pPr>
      <w:r>
        <w:t>Dr Lachlan Lau</w:t>
      </w:r>
      <w:r>
        <w:rPr>
          <w:rStyle w:val="Superscript"/>
        </w:rPr>
        <w:t>2</w:t>
      </w:r>
    </w:p>
    <w:p w14:paraId="4E92B683" w14:textId="77777777" w:rsidR="00807D45" w:rsidRDefault="00807D45" w:rsidP="00807D45">
      <w:pPr>
        <w:spacing w:before="120"/>
        <w:divId w:val="935526654"/>
      </w:pPr>
      <w:r>
        <w:t>Dr Charlotte Krones</w:t>
      </w:r>
      <w:r>
        <w:rPr>
          <w:rStyle w:val="Superscript"/>
        </w:rPr>
        <w:t>2</w:t>
      </w:r>
    </w:p>
    <w:p w14:paraId="6D709D9F" w14:textId="77777777" w:rsidR="00807D45" w:rsidRDefault="00807D45" w:rsidP="00807D45">
      <w:pPr>
        <w:spacing w:before="120"/>
        <w:divId w:val="935526654"/>
      </w:pPr>
      <w:r>
        <w:t>Dr Adrian Tramontana</w:t>
      </w:r>
      <w:r>
        <w:rPr>
          <w:rStyle w:val="Superscript"/>
        </w:rPr>
        <w:t>3</w:t>
      </w:r>
    </w:p>
    <w:p w14:paraId="145BDB65" w14:textId="77777777" w:rsidR="00807D45" w:rsidRDefault="00807D45" w:rsidP="00807D45">
      <w:pPr>
        <w:spacing w:before="120"/>
        <w:divId w:val="935526654"/>
      </w:pPr>
      <w:r>
        <w:t>Dr James Molton</w:t>
      </w:r>
      <w:r>
        <w:rPr>
          <w:rStyle w:val="Superscript"/>
        </w:rPr>
        <w:t>3</w:t>
      </w:r>
    </w:p>
    <w:p w14:paraId="22FC6445" w14:textId="77777777" w:rsidR="00807D45" w:rsidRDefault="00807D45" w:rsidP="00807D45">
      <w:pPr>
        <w:spacing w:before="120"/>
        <w:divId w:val="935526654"/>
      </w:pPr>
      <w:r>
        <w:t>Dr Alex Nirenberg</w:t>
      </w:r>
      <w:r>
        <w:rPr>
          <w:rStyle w:val="Superscript"/>
        </w:rPr>
        <w:t>4</w:t>
      </w:r>
    </w:p>
    <w:p w14:paraId="479F75D8" w14:textId="77777777" w:rsidR="00807D45" w:rsidRDefault="00807D45" w:rsidP="00807D45">
      <w:pPr>
        <w:pStyle w:val="CDINumberedList1L1"/>
        <w:divId w:val="935526654"/>
      </w:pPr>
      <w:r>
        <w:t>Advanced Trainee, General and Acute Care Medicine, Western Health, Victoria, Australia</w:t>
      </w:r>
    </w:p>
    <w:p w14:paraId="4B78C3F2" w14:textId="77777777" w:rsidR="00807D45" w:rsidRDefault="00807D45" w:rsidP="00807D45">
      <w:pPr>
        <w:pStyle w:val="CDINumberedList1L1"/>
        <w:divId w:val="935526654"/>
      </w:pPr>
      <w:r>
        <w:t>Basic Physician Trainee, Western Health, Victoria, Australia</w:t>
      </w:r>
    </w:p>
    <w:p w14:paraId="73020B01" w14:textId="77777777" w:rsidR="00807D45" w:rsidRDefault="00807D45" w:rsidP="00807D45">
      <w:pPr>
        <w:pStyle w:val="CDINumberedList1L1"/>
        <w:divId w:val="935526654"/>
      </w:pPr>
      <w:r>
        <w:t>Infectious Diseases Physician, Western Health, Victoria, Australia</w:t>
      </w:r>
    </w:p>
    <w:p w14:paraId="306D1B60" w14:textId="77777777" w:rsidR="00807D45" w:rsidRDefault="00807D45" w:rsidP="00807D45">
      <w:pPr>
        <w:pStyle w:val="CDINumberedList1L1"/>
        <w:divId w:val="935526654"/>
      </w:pPr>
      <w:r>
        <w:t xml:space="preserve">Dermatopathologist, </w:t>
      </w:r>
      <w:proofErr w:type="spellStart"/>
      <w:r>
        <w:t>Dorevitch</w:t>
      </w:r>
      <w:proofErr w:type="spellEnd"/>
      <w:r>
        <w:t xml:space="preserve"> Pathology, Victoria, Australia</w:t>
      </w:r>
    </w:p>
    <w:p w14:paraId="64C00F02" w14:textId="77777777" w:rsidR="00807D45" w:rsidRPr="00807D45" w:rsidRDefault="00807D45" w:rsidP="00807D45">
      <w:pPr>
        <w:divId w:val="935526654"/>
        <w:rPr>
          <w:rStyle w:val="Bold"/>
        </w:rPr>
      </w:pPr>
      <w:r w:rsidRPr="00807D45">
        <w:rPr>
          <w:rStyle w:val="Bold"/>
        </w:rPr>
        <w:t>Corresponding author</w:t>
      </w:r>
    </w:p>
    <w:p w14:paraId="370CB776" w14:textId="77777777" w:rsidR="00807D45" w:rsidRDefault="00807D45" w:rsidP="00807D45">
      <w:pPr>
        <w:divId w:val="935526654"/>
      </w:pPr>
      <w:r>
        <w:t xml:space="preserve">Dr Michael </w:t>
      </w:r>
      <w:proofErr w:type="spellStart"/>
      <w:r>
        <w:t>Sangiorgio</w:t>
      </w:r>
      <w:proofErr w:type="spellEnd"/>
    </w:p>
    <w:p w14:paraId="7DE70DBE" w14:textId="77777777" w:rsidR="00807D45" w:rsidRDefault="00807D45" w:rsidP="00807D45">
      <w:pPr>
        <w:spacing w:before="120"/>
        <w:divId w:val="935526654"/>
      </w:pPr>
      <w:r>
        <w:t xml:space="preserve">Footscray Hospital, 160 Gordon Street </w:t>
      </w:r>
      <w:r>
        <w:rPr>
          <w:rStyle w:val="NoBreak"/>
        </w:rPr>
        <w:t>Footscray VIC 3011</w:t>
      </w:r>
    </w:p>
    <w:p w14:paraId="24073719" w14:textId="77777777" w:rsidR="00807D45" w:rsidRDefault="00807D45" w:rsidP="00807D45">
      <w:pPr>
        <w:spacing w:before="120"/>
        <w:divId w:val="935526654"/>
      </w:pPr>
      <w:r>
        <w:t>Phone: (03) 8345 6666</w:t>
      </w:r>
    </w:p>
    <w:p w14:paraId="43D98456" w14:textId="77777777" w:rsidR="00807D45" w:rsidRPr="00807D45" w:rsidRDefault="00807D45" w:rsidP="00807D45">
      <w:pPr>
        <w:spacing w:before="120"/>
        <w:divId w:val="935526654"/>
      </w:pPr>
      <w:r>
        <w:t xml:space="preserve">Email: </w:t>
      </w:r>
      <w:r w:rsidRPr="00807D45">
        <w:t>mgiorgio212@gmail.com</w:t>
      </w:r>
    </w:p>
    <w:p w14:paraId="65B84AE3" w14:textId="7D19E18F" w:rsidR="00AA78FF" w:rsidRPr="007A2D74" w:rsidRDefault="00AA78FF" w:rsidP="007A2D74">
      <w:r w:rsidRPr="007A2D74">
        <w:br w:type="page"/>
      </w:r>
    </w:p>
    <w:p w14:paraId="7F69A938" w14:textId="78EA142D" w:rsidR="00E30C30" w:rsidRDefault="00E30C30" w:rsidP="003F5172">
      <w:pPr>
        <w:pStyle w:val="Heading1"/>
        <w:divId w:val="935526654"/>
      </w:pPr>
      <w:r>
        <w:lastRenderedPageBreak/>
        <w:t>References</w:t>
      </w:r>
    </w:p>
    <w:p w14:paraId="21042D92" w14:textId="77777777" w:rsidR="00807D45" w:rsidRDefault="00807D45" w:rsidP="00807D45">
      <w:pPr>
        <w:pStyle w:val="CDINumberedList1L1"/>
        <w:numPr>
          <w:ilvl w:val="0"/>
          <w:numId w:val="22"/>
        </w:numPr>
        <w:divId w:val="935526654"/>
      </w:pPr>
      <w:r>
        <w:t xml:space="preserve">Parks Victoria. Jawbone Marine Sanctuary (Jawbone Marine Sanctuary, Local Port of Port Phillip). [Internet.] Melbourne: Victoria State Government, Parks Victoria. [Accessed in May 2023.] </w:t>
      </w:r>
      <w:r>
        <w:rPr>
          <w:rStyle w:val="NoBreak"/>
        </w:rPr>
        <w:t>Available from:</w:t>
      </w:r>
      <w:r>
        <w:t xml:space="preserve"> https://www.parks.vic.gov.au/places-to-see/sites/jawbone-marine-sanctuary.</w:t>
      </w:r>
    </w:p>
    <w:p w14:paraId="385502CC" w14:textId="77777777" w:rsidR="00807D45" w:rsidRDefault="00807D45" w:rsidP="00807D45">
      <w:pPr>
        <w:pStyle w:val="CDINumberedList1L1"/>
        <w:divId w:val="935526654"/>
      </w:pPr>
      <w:proofErr w:type="spellStart"/>
      <w:r>
        <w:t>Rademaker</w:t>
      </w:r>
      <w:proofErr w:type="spellEnd"/>
      <w:r>
        <w:t xml:space="preserve"> M, Numan H. Swimmer’s itch. [Webpage.] Auckland: New Zealand Dermatological Society, </w:t>
      </w:r>
      <w:proofErr w:type="spellStart"/>
      <w:r>
        <w:t>DermNet</w:t>
      </w:r>
      <w:proofErr w:type="spellEnd"/>
      <w:r>
        <w:t>; September 2021. [Accessed in May 2023.] Available from: https://dermnetnz.org/topics/swimmers-itch.</w:t>
      </w:r>
    </w:p>
    <w:p w14:paraId="30590DE6" w14:textId="77777777" w:rsidR="00807D45" w:rsidRDefault="00807D45" w:rsidP="00807D45">
      <w:pPr>
        <w:pStyle w:val="CDINumberedList1L1"/>
        <w:divId w:val="935526654"/>
      </w:pPr>
      <w:proofErr w:type="spellStart"/>
      <w:r>
        <w:t>Kolářová</w:t>
      </w:r>
      <w:proofErr w:type="spellEnd"/>
      <w:r>
        <w:t xml:space="preserve"> L, </w:t>
      </w:r>
      <w:proofErr w:type="spellStart"/>
      <w:r>
        <w:t>Horák</w:t>
      </w:r>
      <w:proofErr w:type="spellEnd"/>
      <w:r>
        <w:t xml:space="preserve"> P, </w:t>
      </w:r>
      <w:proofErr w:type="spellStart"/>
      <w:r>
        <w:t>Skírnisson</w:t>
      </w:r>
      <w:proofErr w:type="spellEnd"/>
      <w:r>
        <w:t xml:space="preserve"> K, </w:t>
      </w:r>
      <w:proofErr w:type="spellStart"/>
      <w:r>
        <w:t>Marečková</w:t>
      </w:r>
      <w:proofErr w:type="spellEnd"/>
      <w:r>
        <w:t xml:space="preserve"> H, </w:t>
      </w:r>
      <w:proofErr w:type="spellStart"/>
      <w:r>
        <w:t>Doenhoff</w:t>
      </w:r>
      <w:proofErr w:type="spellEnd"/>
      <w:r>
        <w:t xml:space="preserve"> M. Cercarial dermatitis, a neglected allergic disease. </w:t>
      </w:r>
      <w:r>
        <w:rPr>
          <w:rStyle w:val="Italic"/>
        </w:rPr>
        <w:t>Clin Rev Allergy Immunol</w:t>
      </w:r>
      <w:r>
        <w:t>. 2013;45(1):63–74. doi: https://doi.org/10.1007/s12016-012-8334-y.</w:t>
      </w:r>
    </w:p>
    <w:p w14:paraId="6376F676" w14:textId="77777777" w:rsidR="00807D45" w:rsidRDefault="00807D45" w:rsidP="00807D45">
      <w:pPr>
        <w:pStyle w:val="CDINumberedList1L1"/>
        <w:divId w:val="935526654"/>
      </w:pPr>
      <w:proofErr w:type="spellStart"/>
      <w:r>
        <w:t>Verbrugge</w:t>
      </w:r>
      <w:proofErr w:type="spellEnd"/>
      <w:r>
        <w:t xml:space="preserve"> LM, Rainey JJ, </w:t>
      </w:r>
      <w:proofErr w:type="spellStart"/>
      <w:r>
        <w:t>Reimink</w:t>
      </w:r>
      <w:proofErr w:type="spellEnd"/>
      <w:r>
        <w:t xml:space="preserve"> RL, </w:t>
      </w:r>
      <w:proofErr w:type="spellStart"/>
      <w:r>
        <w:t>Blankespoor</w:t>
      </w:r>
      <w:proofErr w:type="spellEnd"/>
      <w:r>
        <w:t xml:space="preserve"> HD. Prospective study of swimmer’s itch incidence and severity. </w:t>
      </w:r>
      <w:r>
        <w:rPr>
          <w:rStyle w:val="Italic"/>
        </w:rPr>
        <w:t xml:space="preserve">J </w:t>
      </w:r>
      <w:proofErr w:type="spellStart"/>
      <w:r>
        <w:rPr>
          <w:rStyle w:val="Italic"/>
        </w:rPr>
        <w:t>Parasitol</w:t>
      </w:r>
      <w:proofErr w:type="spellEnd"/>
      <w:r>
        <w:t xml:space="preserve">. 2004;90(4):697–704. doi: https://doi.org/10.1645/GE-237R. </w:t>
      </w:r>
    </w:p>
    <w:p w14:paraId="65D9F8C3" w14:textId="77777777" w:rsidR="00807D45" w:rsidRDefault="00807D45" w:rsidP="00807D45">
      <w:pPr>
        <w:pStyle w:val="CDINumberedList1L1"/>
        <w:divId w:val="935526654"/>
      </w:pPr>
      <w:r>
        <w:t>Al-</w:t>
      </w:r>
      <w:proofErr w:type="spellStart"/>
      <w:r>
        <w:t>Jubury</w:t>
      </w:r>
      <w:proofErr w:type="spellEnd"/>
      <w:r>
        <w:t xml:space="preserve"> A, </w:t>
      </w:r>
      <w:proofErr w:type="spellStart"/>
      <w:r>
        <w:t>Bygum</w:t>
      </w:r>
      <w:proofErr w:type="spellEnd"/>
      <w:r>
        <w:t xml:space="preserve"> A, </w:t>
      </w:r>
      <w:proofErr w:type="spellStart"/>
      <w:r>
        <w:t>SusannaTracz</w:t>
      </w:r>
      <w:proofErr w:type="spellEnd"/>
      <w:r>
        <w:t xml:space="preserve"> E, Koch CN, Buchmann K. Cercarial dermatitis at public bathing sites (Region Zealand, Denmark): a case series and literature review. </w:t>
      </w:r>
      <w:r>
        <w:rPr>
          <w:rStyle w:val="Italic"/>
        </w:rPr>
        <w:t>Case Rep Dermatol</w:t>
      </w:r>
      <w:r>
        <w:t>. 2021;13(3):</w:t>
      </w:r>
      <w:r>
        <w:rPr>
          <w:rStyle w:val="NoBreak"/>
        </w:rPr>
        <w:t>360–5</w:t>
      </w:r>
      <w:r>
        <w:t xml:space="preserve">. doi: https://doi.org/10.1159/000516981. </w:t>
      </w:r>
    </w:p>
    <w:p w14:paraId="76294041" w14:textId="77777777" w:rsidR="00807D45" w:rsidRDefault="00807D45" w:rsidP="00807D45">
      <w:pPr>
        <w:pStyle w:val="CDINumberedList1L1"/>
        <w:divId w:val="935526654"/>
      </w:pPr>
      <w:r>
        <w:t xml:space="preserve">Frew JW, Henderson CJ, McCrossin ID. The early bird and the worm: a case of cercarial dermatitis. </w:t>
      </w:r>
      <w:r>
        <w:rPr>
          <w:rStyle w:val="NoBreak"/>
          <w:rFonts w:ascii="Minion3-Italic" w:hAnsi="Minion3-Italic" w:cs="Minion3-Italic"/>
          <w:i/>
          <w:iCs/>
        </w:rPr>
        <w:t>Med J Aust</w:t>
      </w:r>
      <w:r>
        <w:rPr>
          <w:rStyle w:val="NoBreak"/>
        </w:rPr>
        <w:t>. 2</w:t>
      </w:r>
      <w:r>
        <w:t>016;204(3):122–3. doi: https://doi.org/10.5694/mja15.00802.</w:t>
      </w:r>
    </w:p>
    <w:p w14:paraId="279301A4" w14:textId="77777777" w:rsidR="00807D45" w:rsidRDefault="00807D45" w:rsidP="00807D45">
      <w:pPr>
        <w:pStyle w:val="CDINumberedList1L1"/>
        <w:divId w:val="935526654"/>
      </w:pPr>
      <w:r>
        <w:t xml:space="preserve">Appleton CC, Lethbridge RC. Schistosome dermatitis in the Swan </w:t>
      </w:r>
      <w:proofErr w:type="spellStart"/>
      <w:r>
        <w:t>Esturary</w:t>
      </w:r>
      <w:proofErr w:type="spellEnd"/>
      <w:r>
        <w:t xml:space="preserve">, Western Australia. </w:t>
      </w:r>
      <w:r>
        <w:rPr>
          <w:rStyle w:val="NoBreak"/>
          <w:rFonts w:ascii="Minion3-Italic" w:hAnsi="Minion3-Italic" w:cs="Minion3-Italic"/>
          <w:i/>
          <w:iCs/>
        </w:rPr>
        <w:t>Med J Aust</w:t>
      </w:r>
      <w:r>
        <w:t>. 1979;1(5):141–5. doi: https://doi.org/10.5694/j.1326-5377.1979.tb128947.x.</w:t>
      </w:r>
    </w:p>
    <w:p w14:paraId="4DB2A627" w14:textId="77777777" w:rsidR="00807D45" w:rsidRDefault="00807D45" w:rsidP="00807D45">
      <w:pPr>
        <w:pStyle w:val="CDINumberedList1L1"/>
        <w:divId w:val="935526654"/>
      </w:pPr>
      <w:r>
        <w:t xml:space="preserve">Hurley M, </w:t>
      </w:r>
      <w:proofErr w:type="spellStart"/>
      <w:r>
        <w:t>Hearnden</w:t>
      </w:r>
      <w:proofErr w:type="spellEnd"/>
      <w:r>
        <w:t xml:space="preserve"> M, Blair D, Kay B. Larval trematodes in freshwater snails at the Ross River Reservoir, northern Australia, with emphasis on </w:t>
      </w:r>
      <w:proofErr w:type="spellStart"/>
      <w:r>
        <w:rPr>
          <w:rStyle w:val="Italic"/>
        </w:rPr>
        <w:t>Trichobilharzia</w:t>
      </w:r>
      <w:proofErr w:type="spellEnd"/>
      <w:r>
        <w:t xml:space="preserve"> </w:t>
      </w:r>
      <w:proofErr w:type="spellStart"/>
      <w:r>
        <w:t>sp</w:t>
      </w:r>
      <w:proofErr w:type="spellEnd"/>
      <w:r>
        <w:t xml:space="preserve">(p)., causative agents of swimmer’s itch. </w:t>
      </w:r>
      <w:proofErr w:type="spellStart"/>
      <w:r>
        <w:rPr>
          <w:rStyle w:val="Italic"/>
        </w:rPr>
        <w:t>Aust</w:t>
      </w:r>
      <w:proofErr w:type="spellEnd"/>
      <w:r>
        <w:rPr>
          <w:rStyle w:val="Italic"/>
        </w:rPr>
        <w:t xml:space="preserve"> J Mar </w:t>
      </w:r>
      <w:proofErr w:type="spellStart"/>
      <w:r>
        <w:rPr>
          <w:rStyle w:val="Italic"/>
        </w:rPr>
        <w:t>Freshw</w:t>
      </w:r>
      <w:proofErr w:type="spellEnd"/>
      <w:r>
        <w:rPr>
          <w:rStyle w:val="Italic"/>
        </w:rPr>
        <w:t xml:space="preserve"> Res</w:t>
      </w:r>
      <w:r>
        <w:t>. 1994;45(4):563–7. doi: https://doi.org/10.1071/MF9940563.</w:t>
      </w:r>
    </w:p>
    <w:p w14:paraId="599CFB23" w14:textId="4F0F02EA" w:rsidR="00807D45" w:rsidRDefault="00807D45" w:rsidP="00807D45">
      <w:pPr>
        <w:pStyle w:val="CDINumberedList1L1"/>
        <w:divId w:val="935526654"/>
        <w:rPr>
          <w:rStyle w:val="NoBreak"/>
        </w:rPr>
      </w:pPr>
      <w:r>
        <w:t xml:space="preserve">Sridhar J, Deo R. </w:t>
      </w:r>
      <w:proofErr w:type="gramStart"/>
      <w:r>
        <w:t>Marine</w:t>
      </w:r>
      <w:proofErr w:type="gramEnd"/>
      <w:r>
        <w:t xml:space="preserve"> and other aquatic dermatoses. </w:t>
      </w:r>
      <w:r>
        <w:rPr>
          <w:rStyle w:val="Italic"/>
        </w:rPr>
        <w:t>Indian J Dermatol</w:t>
      </w:r>
      <w:r>
        <w:t xml:space="preserve">. 2017;83(1):66-78. </w:t>
      </w:r>
      <w:r>
        <w:rPr>
          <w:rStyle w:val="NoBreak"/>
        </w:rPr>
        <w:t>doi: https://doi.org/10.4103/0019-5154.198052.</w:t>
      </w:r>
    </w:p>
    <w:p w14:paraId="765B46CD" w14:textId="3DAF3950" w:rsidR="00807D45" w:rsidRDefault="00807D45" w:rsidP="00807D45">
      <w:pPr>
        <w:pStyle w:val="CDINumberedList1L1"/>
        <w:divId w:val="935526654"/>
      </w:pPr>
      <w:r>
        <w:t xml:space="preserve">Tremaine AM, Whittemore DE, </w:t>
      </w:r>
      <w:proofErr w:type="spellStart"/>
      <w:r>
        <w:t>Gewirtzman</w:t>
      </w:r>
      <w:proofErr w:type="spellEnd"/>
      <w:r>
        <w:t xml:space="preserve"> AJ, Bartlett BL, Mendoza N, Rapini </w:t>
      </w:r>
      <w:proofErr w:type="spellStart"/>
      <w:r>
        <w:t>RPet</w:t>
      </w:r>
      <w:proofErr w:type="spellEnd"/>
      <w:r>
        <w:t xml:space="preserve"> al. An unusual case of swimmer’s itch. </w:t>
      </w:r>
      <w:r>
        <w:rPr>
          <w:rStyle w:val="Italic"/>
        </w:rPr>
        <w:t xml:space="preserve">J Am </w:t>
      </w:r>
      <w:proofErr w:type="spellStart"/>
      <w:r>
        <w:rPr>
          <w:rStyle w:val="Italic"/>
        </w:rPr>
        <w:t>Acad</w:t>
      </w:r>
      <w:proofErr w:type="spellEnd"/>
      <w:r>
        <w:rPr>
          <w:rStyle w:val="Italic"/>
        </w:rPr>
        <w:t xml:space="preserve"> Dermatol</w:t>
      </w:r>
      <w:r>
        <w:t xml:space="preserve">. 2009;60(1):174–6. </w:t>
      </w:r>
      <w:r>
        <w:rPr>
          <w:rStyle w:val="NoBreak"/>
        </w:rPr>
        <w:t>doi: https://doi.org/10.1016/j.jaad.2008.07.060.</w:t>
      </w:r>
    </w:p>
    <w:p w14:paraId="26B8258E" w14:textId="77777777" w:rsidR="00807D45" w:rsidRDefault="00807D45" w:rsidP="00807D45">
      <w:pPr>
        <w:pStyle w:val="CDINumberedList1L1"/>
        <w:divId w:val="935526654"/>
      </w:pPr>
      <w:proofErr w:type="spellStart"/>
      <w:r>
        <w:t>Rademaker</w:t>
      </w:r>
      <w:proofErr w:type="spellEnd"/>
      <w:r>
        <w:t xml:space="preserve"> M, Ngan V. Sea bather’s eruption. [Webpage.] Auckland: New Zealand Dermatological Society, </w:t>
      </w:r>
      <w:proofErr w:type="spellStart"/>
      <w:r>
        <w:t>DermNet</w:t>
      </w:r>
      <w:proofErr w:type="spellEnd"/>
      <w:r>
        <w:t xml:space="preserve">; January 2021. [Accessed in October 2023.] Available from: </w:t>
      </w:r>
      <w:r>
        <w:rPr>
          <w:rStyle w:val="NoBreak"/>
        </w:rPr>
        <w:t>https://dermnetnz.org/topics/sea-bathers-eruption.</w:t>
      </w:r>
    </w:p>
    <w:p w14:paraId="01856E77" w14:textId="75F82AB5" w:rsidR="00807D45" w:rsidRDefault="00807D45" w:rsidP="00807D45">
      <w:pPr>
        <w:pStyle w:val="CDINumberedList1L1"/>
        <w:divId w:val="935526654"/>
      </w:pPr>
      <w:proofErr w:type="spellStart"/>
      <w:r>
        <w:t>Tomchik</w:t>
      </w:r>
      <w:proofErr w:type="spellEnd"/>
      <w:r>
        <w:t xml:space="preserve"> RS, Russell MT, </w:t>
      </w:r>
      <w:proofErr w:type="spellStart"/>
      <w:r>
        <w:t>Szmant</w:t>
      </w:r>
      <w:proofErr w:type="spellEnd"/>
      <w:r>
        <w:t xml:space="preserve"> AM, Black NA. Clinical perspectives on </w:t>
      </w:r>
      <w:proofErr w:type="spellStart"/>
      <w:r>
        <w:t>seabather’s</w:t>
      </w:r>
      <w:proofErr w:type="spellEnd"/>
      <w:r>
        <w:t xml:space="preserve"> eruption, also known as ‘sea lice’. </w:t>
      </w:r>
      <w:r>
        <w:rPr>
          <w:rStyle w:val="Italic"/>
        </w:rPr>
        <w:t>JAMA</w:t>
      </w:r>
      <w:r>
        <w:t>. 1993;269(13):1669–72. doi: https://doi.org/10.1001/jama.1993.03500130083037.</w:t>
      </w:r>
    </w:p>
    <w:p w14:paraId="76EB6F58" w14:textId="18E0D546" w:rsidR="00807D45" w:rsidRDefault="00807D45" w:rsidP="00807D45">
      <w:pPr>
        <w:pStyle w:val="CDINumberedList1L1"/>
        <w:divId w:val="935526654"/>
      </w:pPr>
      <w:proofErr w:type="spellStart"/>
      <w:r>
        <w:t>Horák</w:t>
      </w:r>
      <w:proofErr w:type="spellEnd"/>
      <w:r>
        <w:t xml:space="preserve"> P, </w:t>
      </w:r>
      <w:proofErr w:type="spellStart"/>
      <w:r>
        <w:t>Mikeš</w:t>
      </w:r>
      <w:proofErr w:type="spellEnd"/>
      <w:r>
        <w:t xml:space="preserve"> L, </w:t>
      </w:r>
      <w:proofErr w:type="spellStart"/>
      <w:r>
        <w:t>Lichtenbergová</w:t>
      </w:r>
      <w:proofErr w:type="spellEnd"/>
      <w:r>
        <w:t xml:space="preserve"> L, </w:t>
      </w:r>
      <w:proofErr w:type="spellStart"/>
      <w:r>
        <w:t>Skála</w:t>
      </w:r>
      <w:proofErr w:type="spellEnd"/>
      <w:r>
        <w:t xml:space="preserve"> V, </w:t>
      </w:r>
      <w:proofErr w:type="spellStart"/>
      <w:r>
        <w:t>Soldánová</w:t>
      </w:r>
      <w:proofErr w:type="spellEnd"/>
      <w:r>
        <w:t xml:space="preserve"> M, Brant SV. Avian schistosomes and outbreaks of cercarial dermatitis. </w:t>
      </w:r>
      <w:r>
        <w:rPr>
          <w:rStyle w:val="Italic"/>
        </w:rPr>
        <w:t xml:space="preserve">Clin </w:t>
      </w:r>
      <w:proofErr w:type="spellStart"/>
      <w:r>
        <w:rPr>
          <w:rStyle w:val="Italic"/>
        </w:rPr>
        <w:t>Microbiol</w:t>
      </w:r>
      <w:proofErr w:type="spellEnd"/>
      <w:r>
        <w:rPr>
          <w:rStyle w:val="Italic"/>
        </w:rPr>
        <w:t xml:space="preserve"> Rev</w:t>
      </w:r>
      <w:r>
        <w:t xml:space="preserve">. 2015;28(1):165-190. doi: https://doi.org/10.1128/CMR.00043-14. </w:t>
      </w:r>
    </w:p>
    <w:p w14:paraId="411B71F0" w14:textId="77777777" w:rsidR="00807D45" w:rsidRDefault="00807D45" w:rsidP="00807D45">
      <w:pPr>
        <w:pStyle w:val="CDINumberedList1L1"/>
        <w:divId w:val="935526654"/>
      </w:pPr>
      <w:r>
        <w:lastRenderedPageBreak/>
        <w:t>Victoria State Government Department of Environment, Land, Water and Planning. Victoria’s climate science: Report 2019. Melbourne: Victoria State Government Department of Environment, Land, Water and Planning; 2019. Available from: https://www.climatechange.vic.gov.au/__data/assets/pdf_file/0029/442964/Victorias-Climate-Science-Report-2019.pdf.</w:t>
      </w:r>
    </w:p>
    <w:p w14:paraId="3ABED720" w14:textId="54EEEA04" w:rsidR="002C3003" w:rsidRDefault="00807D45" w:rsidP="00807D45">
      <w:pPr>
        <w:pStyle w:val="CDINumberedList1L1"/>
        <w:divId w:val="935526654"/>
      </w:pPr>
      <w:r>
        <w:t xml:space="preserve">Purnell C. </w:t>
      </w:r>
      <w:r>
        <w:rPr>
          <w:rStyle w:val="Italic"/>
        </w:rPr>
        <w:t>The role of waterbirds in Australia’s 2022 Japanese Encephalitis outbreak – a rapid synthesis</w:t>
      </w:r>
      <w:r>
        <w:t xml:space="preserve">. Sydney: Wildlife Health Australia / Melbourne: </w:t>
      </w:r>
      <w:proofErr w:type="spellStart"/>
      <w:r>
        <w:t>BirdLife</w:t>
      </w:r>
      <w:proofErr w:type="spellEnd"/>
      <w:r>
        <w:t xml:space="preserve"> Australia; June 2022. Available from: </w:t>
      </w:r>
      <w:r>
        <w:rPr>
          <w:rStyle w:val="NoBreak"/>
        </w:rPr>
        <w:t>https://w</w:t>
      </w:r>
      <w:r>
        <w:t>ildlifehealthaustralia.com.au/Portals/0/Documents/Ongoing%20Incidents/Role_of_waterbirds_Aus_2022-JEV-outbreak_RapidSsynthesis_BirdLifeAustralia.pdf.</w:t>
      </w:r>
    </w:p>
    <w:p w14:paraId="047A9AEC" w14:textId="78DF522B" w:rsidR="00AC659C" w:rsidRDefault="00AC659C" w:rsidP="00B33E0B">
      <w:r>
        <w:br w:type="page"/>
      </w:r>
    </w:p>
    <w:p w14:paraId="19F99774" w14:textId="77777777" w:rsidR="000A5F42" w:rsidRPr="00A65DFA" w:rsidRDefault="000A5F42" w:rsidP="0089025E">
      <w:pPr>
        <w:pStyle w:val="CDIBoxHeadingGreen"/>
        <w:spacing w:before="0"/>
      </w:pPr>
      <w:r w:rsidRPr="00A65DFA">
        <w:lastRenderedPageBreak/>
        <w:t>Communicable Diseases Intelligence</w:t>
      </w:r>
    </w:p>
    <w:p w14:paraId="4EDD40AA" w14:textId="0FB29621" w:rsidR="000A5F42" w:rsidRPr="0089025E" w:rsidRDefault="000A5F42" w:rsidP="00A65DFA">
      <w:pPr>
        <w:pStyle w:val="CDIBoxTextGreen"/>
        <w:rPr>
          <w:sz w:val="20"/>
          <w:szCs w:val="20"/>
        </w:rPr>
      </w:pPr>
      <w:r w:rsidRPr="0089025E">
        <w:rPr>
          <w:sz w:val="20"/>
          <w:szCs w:val="20"/>
        </w:rPr>
        <w:t xml:space="preserve">Communicable Diseases Intelligence (CDI) is a peer-reviewed scientific journal published by the </w:t>
      </w:r>
      <w:r w:rsidR="000705FF" w:rsidRPr="0089025E">
        <w:rPr>
          <w:sz w:val="20"/>
          <w:szCs w:val="20"/>
        </w:rPr>
        <w:t>Health Protection Policy &amp; Surveillance Division</w:t>
      </w:r>
      <w:r w:rsidRPr="0089025E">
        <w:rPr>
          <w:sz w:val="20"/>
          <w:szCs w:val="20"/>
        </w:rPr>
        <w:t xml:space="preserve">, </w:t>
      </w:r>
      <w:r w:rsidR="001723AC" w:rsidRPr="0089025E">
        <w:rPr>
          <w:sz w:val="20"/>
          <w:szCs w:val="20"/>
        </w:rPr>
        <w:t xml:space="preserve">Department of </w:t>
      </w:r>
      <w:proofErr w:type="gramStart"/>
      <w:r w:rsidR="001723AC" w:rsidRPr="0089025E">
        <w:rPr>
          <w:sz w:val="20"/>
          <w:szCs w:val="20"/>
        </w:rPr>
        <w:t>Health</w:t>
      </w:r>
      <w:proofErr w:type="gramEnd"/>
      <w:r w:rsidR="001723AC" w:rsidRPr="0089025E">
        <w:rPr>
          <w:sz w:val="20"/>
          <w:szCs w:val="20"/>
        </w:rPr>
        <w:t xml:space="preserve"> and Aged Care</w:t>
      </w:r>
      <w:r w:rsidRPr="0089025E">
        <w:rPr>
          <w:sz w:val="20"/>
          <w:szCs w:val="20"/>
        </w:rPr>
        <w:t xml:space="preserve">. The journal aims to disseminate information on the epidemiology, surveillance, </w:t>
      </w:r>
      <w:proofErr w:type="gramStart"/>
      <w:r w:rsidRPr="0089025E">
        <w:rPr>
          <w:sz w:val="20"/>
          <w:szCs w:val="20"/>
        </w:rPr>
        <w:t>prevention</w:t>
      </w:r>
      <w:proofErr w:type="gramEnd"/>
      <w:r w:rsidRPr="0089025E">
        <w:rPr>
          <w:sz w:val="20"/>
          <w:szCs w:val="20"/>
        </w:rPr>
        <w:t xml:space="preserve"> and control of communicable diseases of relevance to Australia.</w:t>
      </w:r>
    </w:p>
    <w:p w14:paraId="75338138" w14:textId="77777777" w:rsidR="000705FF" w:rsidRPr="0089025E" w:rsidRDefault="000705FF" w:rsidP="00A65DFA">
      <w:pPr>
        <w:pStyle w:val="CDIBoxTextGreen"/>
        <w:rPr>
          <w:sz w:val="20"/>
          <w:szCs w:val="20"/>
        </w:rPr>
      </w:pPr>
      <w:r w:rsidRPr="0089025E">
        <w:rPr>
          <w:sz w:val="20"/>
          <w:szCs w:val="20"/>
        </w:rPr>
        <w:t xml:space="preserve">© </w:t>
      </w:r>
      <w:r w:rsidR="002C5D55" w:rsidRPr="0089025E">
        <w:rPr>
          <w:sz w:val="20"/>
          <w:szCs w:val="20"/>
        </w:rPr>
        <w:fldChar w:fldCharType="begin"/>
      </w:r>
      <w:r w:rsidR="002C5D55" w:rsidRPr="0089025E">
        <w:rPr>
          <w:sz w:val="20"/>
          <w:szCs w:val="20"/>
        </w:rPr>
        <w:instrText xml:space="preserve"> DOCPROPERTY  Year  \* MERGEFORMAT </w:instrText>
      </w:r>
      <w:r w:rsidR="002C5D55" w:rsidRPr="0089025E">
        <w:rPr>
          <w:sz w:val="20"/>
          <w:szCs w:val="20"/>
        </w:rPr>
        <w:fldChar w:fldCharType="separate"/>
      </w:r>
      <w:r w:rsidRPr="0089025E">
        <w:rPr>
          <w:sz w:val="20"/>
          <w:szCs w:val="20"/>
        </w:rPr>
        <w:t>2024</w:t>
      </w:r>
      <w:r w:rsidR="002C5D55" w:rsidRPr="0089025E">
        <w:rPr>
          <w:sz w:val="20"/>
          <w:szCs w:val="20"/>
        </w:rPr>
        <w:fldChar w:fldCharType="end"/>
      </w:r>
      <w:r w:rsidRPr="0089025E">
        <w:rPr>
          <w:sz w:val="20"/>
          <w:szCs w:val="20"/>
        </w:rPr>
        <w:t xml:space="preserve"> Commonwealth of Australia as represented by the Department of Health and Aged Care</w:t>
      </w:r>
    </w:p>
    <w:p w14:paraId="5F69D296" w14:textId="77777777" w:rsidR="00DE4482" w:rsidRPr="0089025E" w:rsidRDefault="00DE4482" w:rsidP="00A65DFA">
      <w:pPr>
        <w:pStyle w:val="CDIBoxTextGreen"/>
        <w:rPr>
          <w:sz w:val="20"/>
          <w:szCs w:val="20"/>
        </w:rPr>
      </w:pPr>
      <w:r w:rsidRPr="0089025E">
        <w:rPr>
          <w:sz w:val="20"/>
          <w:szCs w:val="20"/>
        </w:rPr>
        <w:t>ISSN: 2209-6051 Online</w:t>
      </w:r>
    </w:p>
    <w:p w14:paraId="0429A5E8" w14:textId="77777777" w:rsidR="00DE4482" w:rsidRPr="0089025E" w:rsidRDefault="00DE4482" w:rsidP="00A65DFA">
      <w:pPr>
        <w:pStyle w:val="CDIBoxTextGreen"/>
        <w:rPr>
          <w:sz w:val="20"/>
          <w:szCs w:val="20"/>
        </w:rPr>
      </w:pPr>
      <w:r w:rsidRPr="0089025E">
        <w:rPr>
          <w:sz w:val="20"/>
          <w:szCs w:val="20"/>
        </w:rPr>
        <w:t xml:space="preserve">This journal is indexed by Index </w:t>
      </w:r>
      <w:proofErr w:type="spellStart"/>
      <w:r w:rsidRPr="0089025E">
        <w:rPr>
          <w:sz w:val="20"/>
          <w:szCs w:val="20"/>
        </w:rPr>
        <w:t>Medicus</w:t>
      </w:r>
      <w:proofErr w:type="spellEnd"/>
      <w:r w:rsidRPr="0089025E">
        <w:rPr>
          <w:sz w:val="20"/>
          <w:szCs w:val="20"/>
        </w:rPr>
        <w:t xml:space="preserve"> and Medline.</w:t>
      </w:r>
    </w:p>
    <w:p w14:paraId="53F14405" w14:textId="4668E486" w:rsidR="000705FF" w:rsidRPr="0089025E" w:rsidRDefault="000705FF" w:rsidP="00A65DFA">
      <w:pPr>
        <w:pStyle w:val="CDIBoxTextGreen"/>
        <w:rPr>
          <w:sz w:val="20"/>
          <w:szCs w:val="20"/>
        </w:rPr>
      </w:pPr>
      <w:r w:rsidRPr="0089025E">
        <w:rPr>
          <w:sz w:val="20"/>
          <w:szCs w:val="20"/>
        </w:rPr>
        <w:t>This publication is licensed under a Creative Commons Attribution-</w:t>
      </w:r>
      <w:proofErr w:type="spellStart"/>
      <w:r w:rsidRPr="0089025E">
        <w:rPr>
          <w:sz w:val="20"/>
          <w:szCs w:val="20"/>
        </w:rPr>
        <w:t>NonCommercial</w:t>
      </w:r>
      <w:proofErr w:type="spellEnd"/>
      <w:r w:rsidRPr="0089025E">
        <w:rPr>
          <w:sz w:val="20"/>
          <w:szCs w:val="20"/>
        </w:rPr>
        <w:t>-</w:t>
      </w:r>
      <w:proofErr w:type="spellStart"/>
      <w:r w:rsidRPr="0089025E">
        <w:rPr>
          <w:sz w:val="20"/>
          <w:szCs w:val="20"/>
        </w:rPr>
        <w:t>NoDerivatives</w:t>
      </w:r>
      <w:proofErr w:type="spellEnd"/>
      <w:r w:rsidRPr="0089025E">
        <w:rPr>
          <w:sz w:val="20"/>
          <w:szCs w:val="20"/>
        </w:rPr>
        <w:t xml:space="preserve"> 4.0 International Licence</w:t>
      </w:r>
      <w:r w:rsidR="00DE4482" w:rsidRPr="0089025E">
        <w:rPr>
          <w:sz w:val="20"/>
          <w:szCs w:val="20"/>
        </w:rPr>
        <w:t xml:space="preserve"> (CC BY-NC-ND)</w:t>
      </w:r>
      <w:r w:rsidRPr="0089025E">
        <w:rPr>
          <w:sz w:val="20"/>
          <w:szCs w:val="20"/>
        </w:rPr>
        <w:t xml:space="preserve"> </w:t>
      </w:r>
      <w:r w:rsidR="00DE4482" w:rsidRPr="0089025E">
        <w:rPr>
          <w:sz w:val="20"/>
          <w:szCs w:val="20"/>
        </w:rPr>
        <w:t xml:space="preserve">available </w:t>
      </w:r>
      <w:r w:rsidRPr="0089025E">
        <w:rPr>
          <w:sz w:val="20"/>
          <w:szCs w:val="20"/>
        </w:rPr>
        <w:t xml:space="preserve">from </w:t>
      </w:r>
      <w:r w:rsidRPr="008355D9">
        <w:rPr>
          <w:rFonts w:cstheme="minorHAnsi"/>
          <w:sz w:val="20"/>
          <w:szCs w:val="20"/>
        </w:rPr>
        <w:t>https://creativecommons.org/licenses/by-nc-nd/4.0/legalcode</w:t>
      </w:r>
      <w:r w:rsidRPr="0089025E">
        <w:rPr>
          <w:sz w:val="20"/>
          <w:szCs w:val="20"/>
        </w:rPr>
        <w:t xml:space="preserve"> (Licence). You must read and understand the Licence before using any material from this publication.</w:t>
      </w:r>
    </w:p>
    <w:p w14:paraId="3D470D55" w14:textId="77777777" w:rsidR="000705FF" w:rsidRPr="0089025E" w:rsidRDefault="000705FF" w:rsidP="0089025E">
      <w:pPr>
        <w:pStyle w:val="CDIBoxTextGreen"/>
        <w:spacing w:after="0"/>
        <w:rPr>
          <w:b/>
          <w:bCs/>
          <w:sz w:val="20"/>
          <w:szCs w:val="20"/>
        </w:rPr>
      </w:pPr>
      <w:r w:rsidRPr="0089025E">
        <w:rPr>
          <w:b/>
          <w:bCs/>
          <w:sz w:val="20"/>
          <w:szCs w:val="20"/>
        </w:rPr>
        <w:t>Restrictions</w:t>
      </w:r>
    </w:p>
    <w:p w14:paraId="69CB4543" w14:textId="638391D0" w:rsidR="000705FF" w:rsidRPr="0089025E" w:rsidRDefault="000705FF" w:rsidP="0089025E">
      <w:pPr>
        <w:pStyle w:val="CDIBoxTextGreen"/>
        <w:spacing w:before="0"/>
        <w:rPr>
          <w:sz w:val="20"/>
          <w:szCs w:val="20"/>
        </w:rPr>
      </w:pPr>
      <w:r w:rsidRPr="0089025E">
        <w:rPr>
          <w:sz w:val="20"/>
          <w:szCs w:val="20"/>
        </w:rPr>
        <w:t>The Licence does not cover, and there is no permission given for, use of any of the following material found in this publication (if</w:t>
      </w:r>
      <w:r w:rsidR="000F223B" w:rsidRPr="0089025E">
        <w:rPr>
          <w:sz w:val="20"/>
          <w:szCs w:val="20"/>
        </w:rPr>
        <w:t xml:space="preserve"> </w:t>
      </w:r>
      <w:r w:rsidRPr="0089025E">
        <w:rPr>
          <w:sz w:val="20"/>
          <w:szCs w:val="20"/>
        </w:rPr>
        <w:t xml:space="preserve">any): </w:t>
      </w:r>
    </w:p>
    <w:p w14:paraId="362D0630" w14:textId="34EC29FE" w:rsidR="000705FF" w:rsidRPr="008355D9" w:rsidRDefault="000705FF" w:rsidP="008355D9">
      <w:pPr>
        <w:pStyle w:val="CDIBoxBulletGreen"/>
        <w:rPr>
          <w:sz w:val="20"/>
          <w:szCs w:val="20"/>
        </w:rPr>
      </w:pPr>
      <w:r w:rsidRPr="008355D9">
        <w:rPr>
          <w:sz w:val="20"/>
          <w:szCs w:val="20"/>
        </w:rPr>
        <w:t xml:space="preserve">the Commonwealth Coat of Arms (by way of information, the terms under which the Coat of Arms may be used can be found at </w:t>
      </w:r>
      <w:r w:rsidR="008355D9" w:rsidRPr="008355D9">
        <w:rPr>
          <w:sz w:val="20"/>
          <w:szCs w:val="20"/>
        </w:rPr>
        <w:t>www.pmc.gov.au/resources/commonwealth-coat-arms-information-and-guidelines</w:t>
      </w:r>
      <w:proofErr w:type="gramStart"/>
      <w:r w:rsidR="008355D9" w:rsidRPr="008355D9">
        <w:rPr>
          <w:sz w:val="20"/>
          <w:szCs w:val="20"/>
        </w:rPr>
        <w:t>)</w:t>
      </w:r>
      <w:r w:rsidRPr="008355D9">
        <w:rPr>
          <w:sz w:val="20"/>
          <w:szCs w:val="20"/>
        </w:rPr>
        <w:t>;</w:t>
      </w:r>
      <w:proofErr w:type="gramEnd"/>
    </w:p>
    <w:p w14:paraId="78533A06" w14:textId="77777777" w:rsidR="000705FF" w:rsidRPr="0089025E" w:rsidRDefault="000705FF" w:rsidP="00A65DFA">
      <w:pPr>
        <w:pStyle w:val="CDIBoxBulletGreen"/>
        <w:rPr>
          <w:sz w:val="20"/>
          <w:szCs w:val="20"/>
        </w:rPr>
      </w:pPr>
      <w:r w:rsidRPr="0089025E">
        <w:rPr>
          <w:sz w:val="20"/>
          <w:szCs w:val="20"/>
        </w:rPr>
        <w:t xml:space="preserve">any logos (including the Department of Health and Aged Care’s logo) and </w:t>
      </w:r>
      <w:proofErr w:type="gramStart"/>
      <w:r w:rsidRPr="0089025E">
        <w:rPr>
          <w:sz w:val="20"/>
          <w:szCs w:val="20"/>
        </w:rPr>
        <w:t>trademarks;</w:t>
      </w:r>
      <w:proofErr w:type="gramEnd"/>
    </w:p>
    <w:p w14:paraId="2BE5E92C" w14:textId="77777777" w:rsidR="000705FF" w:rsidRPr="0089025E" w:rsidRDefault="000705FF" w:rsidP="00A65DFA">
      <w:pPr>
        <w:pStyle w:val="CDIBoxBulletGreen"/>
        <w:rPr>
          <w:sz w:val="20"/>
          <w:szCs w:val="20"/>
        </w:rPr>
      </w:pPr>
      <w:r w:rsidRPr="0089025E">
        <w:rPr>
          <w:sz w:val="20"/>
          <w:szCs w:val="20"/>
        </w:rPr>
        <w:t xml:space="preserve">any photographs and </w:t>
      </w:r>
      <w:proofErr w:type="gramStart"/>
      <w:r w:rsidRPr="0089025E">
        <w:rPr>
          <w:sz w:val="20"/>
          <w:szCs w:val="20"/>
        </w:rPr>
        <w:t>images;</w:t>
      </w:r>
      <w:proofErr w:type="gramEnd"/>
      <w:r w:rsidRPr="0089025E">
        <w:rPr>
          <w:sz w:val="20"/>
          <w:szCs w:val="20"/>
        </w:rPr>
        <w:t xml:space="preserve"> </w:t>
      </w:r>
    </w:p>
    <w:p w14:paraId="2E2F1387" w14:textId="77777777" w:rsidR="000705FF" w:rsidRPr="0089025E" w:rsidRDefault="000705FF" w:rsidP="00A65DFA">
      <w:pPr>
        <w:pStyle w:val="CDIBoxBulletGreen"/>
        <w:rPr>
          <w:sz w:val="20"/>
          <w:szCs w:val="20"/>
        </w:rPr>
      </w:pPr>
      <w:r w:rsidRPr="0089025E">
        <w:rPr>
          <w:sz w:val="20"/>
          <w:szCs w:val="20"/>
        </w:rPr>
        <w:t>any signatures; and</w:t>
      </w:r>
    </w:p>
    <w:p w14:paraId="5F0CF403" w14:textId="77777777" w:rsidR="000705FF" w:rsidRPr="0089025E" w:rsidRDefault="000705FF" w:rsidP="00A65DFA">
      <w:pPr>
        <w:pStyle w:val="CDIBoxBulletGreen"/>
        <w:rPr>
          <w:sz w:val="20"/>
          <w:szCs w:val="20"/>
        </w:rPr>
      </w:pPr>
      <w:r w:rsidRPr="0089025E">
        <w:rPr>
          <w:sz w:val="20"/>
          <w:szCs w:val="20"/>
        </w:rPr>
        <w:t xml:space="preserve">any material belonging to third parties. </w:t>
      </w:r>
    </w:p>
    <w:p w14:paraId="6AE64DA1" w14:textId="77777777" w:rsidR="000F223B" w:rsidRPr="0089025E" w:rsidRDefault="000705FF" w:rsidP="0089025E">
      <w:pPr>
        <w:pStyle w:val="CDIBoxTextGreen"/>
        <w:spacing w:after="0"/>
        <w:rPr>
          <w:b/>
          <w:bCs/>
          <w:sz w:val="20"/>
          <w:szCs w:val="20"/>
        </w:rPr>
      </w:pPr>
      <w:r w:rsidRPr="0089025E">
        <w:rPr>
          <w:b/>
          <w:bCs/>
          <w:sz w:val="20"/>
          <w:szCs w:val="20"/>
        </w:rPr>
        <w:t>Disclaimer</w:t>
      </w:r>
    </w:p>
    <w:p w14:paraId="0EFA0C5B" w14:textId="203D156C" w:rsidR="000705FF" w:rsidRPr="0089025E" w:rsidRDefault="000705FF" w:rsidP="0089025E">
      <w:pPr>
        <w:pStyle w:val="CDIBoxTextGreen"/>
        <w:spacing w:before="0"/>
        <w:rPr>
          <w:sz w:val="20"/>
          <w:szCs w:val="20"/>
        </w:rPr>
      </w:pPr>
      <w:r w:rsidRPr="0089025E">
        <w:rPr>
          <w:sz w:val="20"/>
          <w:szCs w:val="20"/>
        </w:rPr>
        <w:t xml:space="preserve">Opinions expressed in </w:t>
      </w:r>
      <w:r w:rsidRPr="00682E53">
        <w:rPr>
          <w:i/>
          <w:iCs/>
          <w:sz w:val="20"/>
          <w:szCs w:val="20"/>
        </w:rPr>
        <w:t>Communicable Diseases Intelligence</w:t>
      </w:r>
      <w:r w:rsidRPr="0089025E">
        <w:rPr>
          <w:sz w:val="20"/>
          <w:szCs w:val="20"/>
        </w:rPr>
        <w:t xml:space="preserve"> are those of the authors and not necessarily those of the Australian Government Department of Health and Aged Care or the Communicable Diseases Network Australia. Data may be subject to revision.</w:t>
      </w:r>
    </w:p>
    <w:p w14:paraId="6744D764" w14:textId="77777777" w:rsidR="000F223B" w:rsidRPr="0089025E" w:rsidRDefault="000705FF" w:rsidP="0089025E">
      <w:pPr>
        <w:pStyle w:val="CDIBoxTextGreen"/>
        <w:spacing w:after="0"/>
        <w:rPr>
          <w:b/>
          <w:bCs/>
          <w:sz w:val="20"/>
          <w:szCs w:val="20"/>
        </w:rPr>
      </w:pPr>
      <w:r w:rsidRPr="0089025E">
        <w:rPr>
          <w:b/>
          <w:bCs/>
          <w:sz w:val="20"/>
          <w:szCs w:val="20"/>
        </w:rPr>
        <w:t>Enquiries</w:t>
      </w:r>
    </w:p>
    <w:p w14:paraId="29B8BCCD" w14:textId="33D2AEA3" w:rsidR="000705FF" w:rsidRPr="0089025E" w:rsidRDefault="000705FF" w:rsidP="0089025E">
      <w:pPr>
        <w:pStyle w:val="CDIBoxTextGreen"/>
        <w:spacing w:before="0"/>
        <w:rPr>
          <w:sz w:val="20"/>
          <w:szCs w:val="20"/>
        </w:rPr>
      </w:pPr>
      <w:r w:rsidRPr="0089025E">
        <w:rPr>
          <w:sz w:val="20"/>
          <w:szCs w:val="20"/>
        </w:rPr>
        <w:t xml:space="preserve">Enquiries regarding any other use of this publication should be addressed to the </w:t>
      </w:r>
      <w:r w:rsidR="000F223B" w:rsidRPr="0089025E">
        <w:rPr>
          <w:sz w:val="20"/>
          <w:szCs w:val="20"/>
        </w:rPr>
        <w:t xml:space="preserve">CDI Editor at: </w:t>
      </w:r>
      <w:r w:rsidR="000F223B" w:rsidRPr="008355D9">
        <w:rPr>
          <w:sz w:val="20"/>
          <w:szCs w:val="20"/>
        </w:rPr>
        <w:t>cdi.editor@health.gov.au</w:t>
      </w:r>
      <w:r w:rsidRPr="0089025E">
        <w:rPr>
          <w:sz w:val="20"/>
          <w:szCs w:val="20"/>
        </w:rPr>
        <w:t xml:space="preserve"> </w:t>
      </w:r>
    </w:p>
    <w:p w14:paraId="36670D04" w14:textId="77777777" w:rsidR="000F223B" w:rsidRPr="0089025E" w:rsidRDefault="000705FF" w:rsidP="0089025E">
      <w:pPr>
        <w:pStyle w:val="CDIBoxTextGreen"/>
        <w:spacing w:after="0"/>
        <w:rPr>
          <w:b/>
          <w:bCs/>
          <w:sz w:val="20"/>
          <w:szCs w:val="20"/>
        </w:rPr>
      </w:pPr>
      <w:r w:rsidRPr="0089025E">
        <w:rPr>
          <w:b/>
          <w:bCs/>
          <w:sz w:val="20"/>
          <w:szCs w:val="20"/>
        </w:rPr>
        <w:t>Communicable Diseases Network Australia</w:t>
      </w:r>
    </w:p>
    <w:p w14:paraId="5FD0A375" w14:textId="0994BB56" w:rsidR="00DA2E9E" w:rsidRPr="0089025E" w:rsidRDefault="000705FF" w:rsidP="0089025E">
      <w:pPr>
        <w:pStyle w:val="CDIBoxTextGreen"/>
        <w:spacing w:before="0"/>
        <w:rPr>
          <w:sz w:val="20"/>
          <w:szCs w:val="20"/>
        </w:rPr>
      </w:pPr>
      <w:r w:rsidRPr="0089025E">
        <w:rPr>
          <w:sz w:val="20"/>
          <w:szCs w:val="20"/>
        </w:rPr>
        <w:t>Communicable Diseases Intelligence contributes to the work of the Communicable Diseases Network Australia.</w:t>
      </w:r>
      <w:r w:rsidR="0089025E" w:rsidRPr="0089025E">
        <w:rPr>
          <w:sz w:val="20"/>
          <w:szCs w:val="20"/>
        </w:rPr>
        <w:t xml:space="preserve"> </w:t>
      </w:r>
      <w:r w:rsidR="007D6F3B" w:rsidRPr="008355D9">
        <w:rPr>
          <w:sz w:val="20"/>
          <w:szCs w:val="20"/>
        </w:rPr>
        <w:t>www.health.gov.au/cdna</w:t>
      </w:r>
    </w:p>
    <w:p w14:paraId="4DA52DB3" w14:textId="6B2C2A4A" w:rsidR="000A5F42" w:rsidRPr="0089025E" w:rsidRDefault="000A5F42" w:rsidP="00B15F5B">
      <w:pPr>
        <w:pStyle w:val="CDIBoxTextGreen"/>
        <w:rPr>
          <w:sz w:val="20"/>
          <w:szCs w:val="20"/>
        </w:rPr>
      </w:pPr>
      <w:r w:rsidRPr="0089025E">
        <w:rPr>
          <w:b/>
          <w:bCs/>
          <w:sz w:val="20"/>
          <w:szCs w:val="20"/>
        </w:rPr>
        <w:t>Editor</w:t>
      </w:r>
      <w:r w:rsidRPr="0089025E">
        <w:rPr>
          <w:sz w:val="20"/>
          <w:szCs w:val="20"/>
        </w:rPr>
        <w:t xml:space="preserve">: </w:t>
      </w:r>
      <w:r w:rsidR="008B62FF" w:rsidRPr="0089025E">
        <w:rPr>
          <w:sz w:val="20"/>
          <w:szCs w:val="20"/>
        </w:rPr>
        <w:t>Christina Bareja</w:t>
      </w:r>
      <w:r w:rsidR="00DA2E9E" w:rsidRPr="0089025E">
        <w:rPr>
          <w:sz w:val="20"/>
          <w:szCs w:val="20"/>
        </w:rPr>
        <w:t xml:space="preserve"> </w:t>
      </w:r>
      <w:r w:rsidR="00DA2E9E" w:rsidRPr="0089025E">
        <w:rPr>
          <w:rFonts w:cs="Arial"/>
          <w:color w:val="033636" w:themeColor="text2"/>
          <w:sz w:val="20"/>
          <w:szCs w:val="20"/>
        </w:rPr>
        <w:t>•</w:t>
      </w:r>
      <w:r w:rsidR="00DA2E9E" w:rsidRPr="0089025E">
        <w:rPr>
          <w:sz w:val="20"/>
          <w:szCs w:val="20"/>
        </w:rPr>
        <w:t xml:space="preserve"> </w:t>
      </w:r>
      <w:r w:rsidRPr="0089025E">
        <w:rPr>
          <w:b/>
          <w:bCs/>
          <w:sz w:val="20"/>
          <w:szCs w:val="20"/>
        </w:rPr>
        <w:t>Deputy Editor</w:t>
      </w:r>
      <w:r w:rsidRPr="0089025E">
        <w:rPr>
          <w:sz w:val="20"/>
          <w:szCs w:val="20"/>
        </w:rPr>
        <w:t xml:space="preserve">: </w:t>
      </w:r>
      <w:r w:rsidR="00C838F5" w:rsidRPr="0089025E">
        <w:rPr>
          <w:sz w:val="20"/>
          <w:szCs w:val="20"/>
        </w:rPr>
        <w:t>Simon Petrie</w:t>
      </w:r>
      <w:r w:rsidR="00DA2E9E" w:rsidRPr="0089025E">
        <w:rPr>
          <w:sz w:val="20"/>
          <w:szCs w:val="20"/>
        </w:rPr>
        <w:t xml:space="preserve"> </w:t>
      </w:r>
      <w:r w:rsidR="00DA2E9E" w:rsidRPr="0089025E">
        <w:rPr>
          <w:rFonts w:cs="Arial"/>
          <w:color w:val="033636" w:themeColor="text2"/>
          <w:sz w:val="20"/>
          <w:szCs w:val="20"/>
        </w:rPr>
        <w:t>•</w:t>
      </w:r>
      <w:r w:rsidR="00DA2E9E" w:rsidRPr="0089025E">
        <w:rPr>
          <w:sz w:val="20"/>
          <w:szCs w:val="20"/>
        </w:rPr>
        <w:t xml:space="preserve"> </w:t>
      </w:r>
      <w:r w:rsidR="00967410" w:rsidRPr="0089025E">
        <w:rPr>
          <w:b/>
          <w:bCs/>
          <w:sz w:val="20"/>
          <w:szCs w:val="20"/>
        </w:rPr>
        <w:t>Design</w:t>
      </w:r>
      <w:r w:rsidRPr="0089025E">
        <w:rPr>
          <w:b/>
          <w:bCs/>
          <w:sz w:val="20"/>
          <w:szCs w:val="20"/>
        </w:rPr>
        <w:t xml:space="preserve"> and Production</w:t>
      </w:r>
      <w:r w:rsidRPr="0089025E">
        <w:rPr>
          <w:sz w:val="20"/>
          <w:szCs w:val="20"/>
        </w:rPr>
        <w:t xml:space="preserve">: </w:t>
      </w:r>
      <w:r w:rsidR="00703009" w:rsidRPr="0089025E">
        <w:rPr>
          <w:sz w:val="20"/>
          <w:szCs w:val="20"/>
        </w:rPr>
        <w:t>Lisa Thompson</w:t>
      </w:r>
    </w:p>
    <w:p w14:paraId="54D7045E" w14:textId="7C12210F" w:rsidR="000A5F42" w:rsidRPr="0089025E" w:rsidRDefault="000A5F42" w:rsidP="0089025E">
      <w:pPr>
        <w:pStyle w:val="CDIBoxTextGreen"/>
        <w:rPr>
          <w:sz w:val="20"/>
          <w:szCs w:val="20"/>
        </w:rPr>
      </w:pPr>
      <w:r w:rsidRPr="0089025E">
        <w:rPr>
          <w:b/>
          <w:bCs/>
          <w:sz w:val="20"/>
          <w:szCs w:val="20"/>
        </w:rPr>
        <w:t>Editorial Advisory Board</w:t>
      </w:r>
      <w:r w:rsidRPr="0089025E">
        <w:rPr>
          <w:sz w:val="20"/>
          <w:szCs w:val="20"/>
        </w:rPr>
        <w:t xml:space="preserve">: </w:t>
      </w:r>
      <w:r w:rsidR="00CF75DF" w:rsidRPr="0089025E">
        <w:rPr>
          <w:sz w:val="20"/>
          <w:szCs w:val="20"/>
        </w:rPr>
        <w:t>David Durrheim, Mark Ferson, Clare Huppatz, John Kaldor, Martyn Kirk, Meru</w:t>
      </w:r>
      <w:r w:rsidR="0089025E" w:rsidRPr="0089025E">
        <w:rPr>
          <w:sz w:val="20"/>
          <w:szCs w:val="20"/>
        </w:rPr>
        <w:t> </w:t>
      </w:r>
      <w:proofErr w:type="gramStart"/>
      <w:r w:rsidR="00CF75DF" w:rsidRPr="0089025E">
        <w:rPr>
          <w:sz w:val="20"/>
          <w:szCs w:val="20"/>
        </w:rPr>
        <w:t>Sheel</w:t>
      </w:r>
      <w:proofErr w:type="gramEnd"/>
      <w:r w:rsidR="00CF75DF" w:rsidRPr="0089025E">
        <w:rPr>
          <w:sz w:val="20"/>
          <w:szCs w:val="20"/>
        </w:rPr>
        <w:t xml:space="preserve"> and Steph</w:t>
      </w:r>
      <w:r w:rsidR="00D56D46">
        <w:rPr>
          <w:sz w:val="20"/>
          <w:szCs w:val="20"/>
        </w:rPr>
        <w:t>anie</w:t>
      </w:r>
      <w:r w:rsidR="00CF75DF" w:rsidRPr="0089025E">
        <w:rPr>
          <w:sz w:val="20"/>
          <w:szCs w:val="20"/>
        </w:rPr>
        <w:t> Williams</w:t>
      </w:r>
    </w:p>
    <w:p w14:paraId="68552EE8" w14:textId="77777777" w:rsidR="00DE4482" w:rsidRPr="0089025E" w:rsidRDefault="000A5F42" w:rsidP="0089025E">
      <w:pPr>
        <w:pStyle w:val="CDIBoxTextGreen"/>
        <w:spacing w:after="0"/>
        <w:rPr>
          <w:b/>
          <w:bCs/>
          <w:sz w:val="20"/>
          <w:szCs w:val="20"/>
        </w:rPr>
      </w:pPr>
      <w:r w:rsidRPr="0089025E">
        <w:rPr>
          <w:b/>
          <w:bCs/>
          <w:sz w:val="20"/>
          <w:szCs w:val="20"/>
        </w:rPr>
        <w:t>Contacts</w:t>
      </w:r>
    </w:p>
    <w:p w14:paraId="0E4D66B0" w14:textId="77777777" w:rsidR="00682E53" w:rsidRDefault="00E54BBD" w:rsidP="0089025E">
      <w:pPr>
        <w:pStyle w:val="CDIBoxTextGreen"/>
        <w:spacing w:before="0"/>
        <w:rPr>
          <w:sz w:val="20"/>
          <w:szCs w:val="20"/>
        </w:rPr>
      </w:pPr>
      <w:r w:rsidRPr="0089025E">
        <w:rPr>
          <w:sz w:val="20"/>
          <w:szCs w:val="20"/>
        </w:rPr>
        <w:t>CDI is produced by</w:t>
      </w:r>
      <w:r w:rsidR="00682E53">
        <w:rPr>
          <w:sz w:val="20"/>
          <w:szCs w:val="20"/>
        </w:rPr>
        <w:t>:</w:t>
      </w:r>
    </w:p>
    <w:p w14:paraId="5D6B978F" w14:textId="68F91560" w:rsidR="000A5F42" w:rsidRPr="0089025E" w:rsidRDefault="00DA2E9E" w:rsidP="00682E53">
      <w:pPr>
        <w:pStyle w:val="CDIBoxTextGreen"/>
        <w:spacing w:before="0"/>
        <w:rPr>
          <w:sz w:val="20"/>
          <w:szCs w:val="20"/>
        </w:rPr>
      </w:pPr>
      <w:r w:rsidRPr="0089025E">
        <w:rPr>
          <w:sz w:val="20"/>
          <w:szCs w:val="20"/>
        </w:rPr>
        <w:t>Health Protection Policy &amp; Surveillance Division</w:t>
      </w:r>
      <w:r w:rsidR="00E54BBD" w:rsidRPr="0089025E">
        <w:rPr>
          <w:sz w:val="20"/>
          <w:szCs w:val="20"/>
        </w:rPr>
        <w:t xml:space="preserve">, Australian Government Department of </w:t>
      </w:r>
      <w:proofErr w:type="gramStart"/>
      <w:r w:rsidR="00E54BBD" w:rsidRPr="0089025E">
        <w:rPr>
          <w:sz w:val="20"/>
          <w:szCs w:val="20"/>
        </w:rPr>
        <w:t>Health</w:t>
      </w:r>
      <w:proofErr w:type="gramEnd"/>
      <w:r w:rsidR="00AE0209" w:rsidRPr="0089025E">
        <w:rPr>
          <w:sz w:val="20"/>
          <w:szCs w:val="20"/>
        </w:rPr>
        <w:t xml:space="preserve"> and Aged Care</w:t>
      </w:r>
      <w:r w:rsidR="00E54BBD" w:rsidRPr="0089025E">
        <w:rPr>
          <w:sz w:val="20"/>
          <w:szCs w:val="20"/>
        </w:rPr>
        <w:t>,</w:t>
      </w:r>
      <w:r w:rsidR="00682E53">
        <w:rPr>
          <w:sz w:val="20"/>
          <w:szCs w:val="20"/>
        </w:rPr>
        <w:br/>
      </w:r>
      <w:r w:rsidR="00E54BBD" w:rsidRPr="0089025E">
        <w:rPr>
          <w:sz w:val="20"/>
          <w:szCs w:val="20"/>
        </w:rPr>
        <w:t>GPO Box 9848, (MDP 6) CANBERRA ACT 2601</w:t>
      </w:r>
    </w:p>
    <w:p w14:paraId="65FA266A" w14:textId="17BEBED4" w:rsidR="00DA2E9E" w:rsidRPr="0089025E" w:rsidRDefault="00DA2E9E" w:rsidP="00341720">
      <w:pPr>
        <w:pStyle w:val="CDIBoxTextGreen"/>
        <w:spacing w:after="0"/>
        <w:rPr>
          <w:sz w:val="20"/>
          <w:szCs w:val="20"/>
        </w:rPr>
      </w:pPr>
      <w:r w:rsidRPr="0089025E">
        <w:rPr>
          <w:sz w:val="20"/>
          <w:szCs w:val="20"/>
        </w:rPr>
        <w:t xml:space="preserve">Website: </w:t>
      </w:r>
      <w:r w:rsidRPr="008355D9">
        <w:rPr>
          <w:sz w:val="20"/>
          <w:szCs w:val="20"/>
        </w:rPr>
        <w:t>www.health.gov.au/cdi</w:t>
      </w:r>
      <w:r w:rsidRPr="0089025E">
        <w:rPr>
          <w:sz w:val="20"/>
          <w:szCs w:val="20"/>
        </w:rPr>
        <w:t xml:space="preserve"> </w:t>
      </w:r>
    </w:p>
    <w:p w14:paraId="0050D7B6" w14:textId="51480998" w:rsidR="000A5F42" w:rsidRPr="0089025E" w:rsidRDefault="000A5F42" w:rsidP="0089025E">
      <w:pPr>
        <w:pStyle w:val="CDIBoxTextGreen"/>
        <w:spacing w:before="0"/>
        <w:rPr>
          <w:sz w:val="20"/>
          <w:szCs w:val="20"/>
        </w:rPr>
      </w:pPr>
      <w:r w:rsidRPr="0089025E">
        <w:rPr>
          <w:sz w:val="20"/>
          <w:szCs w:val="20"/>
        </w:rPr>
        <w:t xml:space="preserve">Email: </w:t>
      </w:r>
      <w:r w:rsidRPr="008355D9">
        <w:rPr>
          <w:sz w:val="20"/>
          <w:szCs w:val="20"/>
        </w:rPr>
        <w:t>cdi.editor@health.gov.au</w:t>
      </w:r>
      <w:r w:rsidRPr="0089025E">
        <w:rPr>
          <w:sz w:val="20"/>
          <w:szCs w:val="20"/>
        </w:rPr>
        <w:t xml:space="preserve"> </w:t>
      </w:r>
    </w:p>
    <w:p w14:paraId="36391895" w14:textId="77777777" w:rsidR="00DE4482" w:rsidRPr="0089025E" w:rsidRDefault="000A5F42" w:rsidP="0089025E">
      <w:pPr>
        <w:pStyle w:val="CDIBoxTextGreen"/>
        <w:spacing w:after="0"/>
        <w:rPr>
          <w:b/>
          <w:bCs/>
          <w:sz w:val="20"/>
          <w:szCs w:val="20"/>
        </w:rPr>
      </w:pPr>
      <w:r w:rsidRPr="0089025E">
        <w:rPr>
          <w:b/>
          <w:bCs/>
          <w:sz w:val="20"/>
          <w:szCs w:val="20"/>
        </w:rPr>
        <w:t xml:space="preserve">Submit an </w:t>
      </w:r>
      <w:proofErr w:type="gramStart"/>
      <w:r w:rsidRPr="0089025E">
        <w:rPr>
          <w:b/>
          <w:bCs/>
          <w:sz w:val="20"/>
          <w:szCs w:val="20"/>
        </w:rPr>
        <w:t>Article</w:t>
      </w:r>
      <w:proofErr w:type="gramEnd"/>
    </w:p>
    <w:p w14:paraId="3E71214A" w14:textId="3327DEAB" w:rsidR="000A5F42" w:rsidRPr="0089025E" w:rsidRDefault="000A5F42" w:rsidP="0089025E">
      <w:pPr>
        <w:pStyle w:val="CDIBoxTextGreen"/>
        <w:spacing w:before="0"/>
        <w:rPr>
          <w:sz w:val="20"/>
          <w:szCs w:val="20"/>
        </w:rPr>
      </w:pPr>
      <w:r w:rsidRPr="0089025E">
        <w:rPr>
          <w:sz w:val="20"/>
          <w:szCs w:val="20"/>
        </w:rPr>
        <w:t xml:space="preserve">You are invited to submit your next communicable disease related article to the </w:t>
      </w:r>
      <w:r w:rsidRPr="00682E53">
        <w:rPr>
          <w:i/>
          <w:iCs/>
          <w:sz w:val="20"/>
          <w:szCs w:val="20"/>
        </w:rPr>
        <w:t>Communicable Diseases Intelligence</w:t>
      </w:r>
      <w:r w:rsidRPr="0089025E">
        <w:rPr>
          <w:sz w:val="20"/>
          <w:szCs w:val="20"/>
        </w:rPr>
        <w:t xml:space="preserve"> (CDI) for consideration. More information regarding CDI can be found at: </w:t>
      </w:r>
      <w:r w:rsidR="00DE4482" w:rsidRPr="008355D9">
        <w:rPr>
          <w:sz w:val="20"/>
          <w:szCs w:val="20"/>
        </w:rPr>
        <w:t>www.health.gov.au/cdi</w:t>
      </w:r>
      <w:r w:rsidRPr="0089025E">
        <w:rPr>
          <w:sz w:val="20"/>
          <w:szCs w:val="20"/>
        </w:rPr>
        <w:t xml:space="preserve">. </w:t>
      </w:r>
    </w:p>
    <w:p w14:paraId="1516EE53" w14:textId="25D0EBB7" w:rsidR="000A5F42" w:rsidRPr="0089025E" w:rsidRDefault="000A5F42" w:rsidP="0089025E">
      <w:pPr>
        <w:pStyle w:val="CDIBoxTextGreen"/>
        <w:rPr>
          <w:sz w:val="20"/>
          <w:szCs w:val="20"/>
        </w:rPr>
      </w:pPr>
      <w:r w:rsidRPr="0089025E">
        <w:rPr>
          <w:sz w:val="20"/>
          <w:szCs w:val="20"/>
        </w:rPr>
        <w:t xml:space="preserve">Further enquiries should be directed to: </w:t>
      </w:r>
      <w:r w:rsidRPr="008355D9">
        <w:rPr>
          <w:sz w:val="20"/>
          <w:szCs w:val="20"/>
        </w:rPr>
        <w:t>cdi.editor@health.gov.au</w:t>
      </w:r>
      <w:r w:rsidRPr="0089025E">
        <w:rPr>
          <w:sz w:val="20"/>
          <w:szCs w:val="20"/>
        </w:rPr>
        <w:t>.</w:t>
      </w:r>
    </w:p>
    <w:sectPr w:rsidR="000A5F42" w:rsidRPr="0089025E" w:rsidSect="00AC659C">
      <w:headerReference w:type="default" r:id="rId22"/>
      <w:pgSz w:w="11907" w:h="16840" w:code="9"/>
      <w:pgMar w:top="1304" w:right="1134" w:bottom="1304" w:left="1134" w:header="709" w:footer="5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4ED72" w14:textId="77777777" w:rsidR="00947BAF" w:rsidRDefault="00947BAF" w:rsidP="00E54DBA">
      <w:r>
        <w:separator/>
      </w:r>
    </w:p>
    <w:p w14:paraId="698619B6" w14:textId="77777777" w:rsidR="00947BAF" w:rsidRDefault="00947BAF"/>
    <w:p w14:paraId="58953927" w14:textId="77777777" w:rsidR="00947BAF" w:rsidRDefault="00947BAF" w:rsidP="008714B0"/>
  </w:endnote>
  <w:endnote w:type="continuationSeparator" w:id="0">
    <w:p w14:paraId="76462C1C" w14:textId="77777777" w:rsidR="00947BAF" w:rsidRDefault="00947BAF" w:rsidP="00E54DBA">
      <w:r>
        <w:continuationSeparator/>
      </w:r>
    </w:p>
    <w:p w14:paraId="7D1737D0" w14:textId="77777777" w:rsidR="00947BAF" w:rsidRDefault="00947BAF"/>
    <w:p w14:paraId="7EC51A53" w14:textId="77777777" w:rsidR="00947BAF" w:rsidRDefault="00947BAF" w:rsidP="008714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rope ExtraLight">
    <w:panose1 w:val="00000000000000000000"/>
    <w:charset w:val="00"/>
    <w:family w:val="auto"/>
    <w:pitch w:val="variable"/>
    <w:sig w:usb0="A00002BF" w:usb1="5000206B" w:usb2="00000000" w:usb3="00000000" w:csb0="0000019F" w:csb1="00000000"/>
  </w:font>
  <w:font w:name="MyriadPro-Bold">
    <w:altName w:val="Calibri"/>
    <w:panose1 w:val="00000000000000000000"/>
    <w:charset w:val="00"/>
    <w:family w:val="auto"/>
    <w:notTrueType/>
    <w:pitch w:val="default"/>
    <w:sig w:usb0="00000003" w:usb1="00000000" w:usb2="00000000" w:usb3="00000000" w:csb0="00000001" w:csb1="00000000"/>
  </w:font>
  <w:font w:name="MyriadPro-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3-Bold">
    <w:altName w:val="Calibri"/>
    <w:panose1 w:val="00000000000000000000"/>
    <w:charset w:val="00"/>
    <w:family w:val="auto"/>
    <w:notTrueType/>
    <w:pitch w:val="default"/>
    <w:sig w:usb0="00000003" w:usb1="00000000" w:usb2="00000000" w:usb3="00000000" w:csb0="00000001" w:csb1="00000000"/>
  </w:font>
  <w:font w:name="Minion3Caption-Regular">
    <w:altName w:val="Calibri"/>
    <w:panose1 w:val="00000000000000000000"/>
    <w:charset w:val="00"/>
    <w:family w:val="auto"/>
    <w:notTrueType/>
    <w:pitch w:val="default"/>
    <w:sig w:usb0="00000003" w:usb1="00000000" w:usb2="00000000" w:usb3="00000000" w:csb0="00000001" w:csb1="00000000"/>
  </w:font>
  <w:font w:name="Minion3-Regular">
    <w:altName w:val="Calibri"/>
    <w:panose1 w:val="00000000000000000000"/>
    <w:charset w:val="00"/>
    <w:family w:val="auto"/>
    <w:notTrueType/>
    <w:pitch w:val="default"/>
    <w:sig w:usb0="00000003" w:usb1="00000000" w:usb2="00000000" w:usb3="00000000" w:csb0="00000001" w:csb1="00000000"/>
  </w:font>
  <w:font w:name="Minion3-Italic">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6B8E8" w14:textId="77777777" w:rsidR="00714CD2" w:rsidRDefault="00714CD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7A3AD" w14:textId="4B23B4EB" w:rsidR="00E30C30" w:rsidRPr="001D0612" w:rsidRDefault="00E30C30" w:rsidP="001D0612">
    <w:pPr>
      <w:pStyle w:val="CDIFooter"/>
    </w:pPr>
    <w:r w:rsidRPr="001D0612">
      <w:t xml:space="preserve">www.health.gov.au/cdi </w:t>
    </w:r>
    <w:r w:rsidRPr="001D0612">
      <w:rPr>
        <w:rFonts w:cstheme="minorHAnsi"/>
        <w:color w:val="033636" w:themeColor="text2"/>
      </w:rPr>
      <w:t>•</w:t>
    </w:r>
    <w:r w:rsidRPr="001D0612">
      <w:rPr>
        <w:rFonts w:cstheme="minorHAnsi"/>
      </w:rPr>
      <w:t xml:space="preserve"> </w:t>
    </w:r>
    <w:r w:rsidRPr="00F95581">
      <w:rPr>
        <w:rStyle w:val="Italic"/>
      </w:rPr>
      <w:t>Commun Dis Intell (2018)</w:t>
    </w:r>
    <w:r w:rsidRPr="001D0612">
      <w:t xml:space="preserve">  </w:t>
    </w:r>
    <w:fldSimple w:instr=" DOCPROPERTY  Year  \* MERGEFORMAT ">
      <w:r w:rsidR="008355D9" w:rsidRPr="001D0612">
        <w:t>2024</w:t>
      </w:r>
    </w:fldSimple>
    <w:r w:rsidRPr="001D0612">
      <w:t xml:space="preserve"> </w:t>
    </w:r>
    <w:fldSimple w:instr=" DOCPROPERTY  Vol  \* MERGEFORMAT ">
      <w:r w:rsidR="008355D9" w:rsidRPr="001D0612">
        <w:t>48</w:t>
      </w:r>
    </w:fldSimple>
    <w:r w:rsidRPr="001D0612">
      <w:t xml:space="preserve">  </w:t>
    </w:r>
    <w:r w:rsidR="008E3F81" w:rsidRPr="001D0612">
      <w:t>(</w:t>
    </w:r>
    <w:fldSimple w:instr=" DOCPROPERTY  DOI  \* MERGEFORMAT ">
      <w:r w:rsidR="004B7A20">
        <w:t>https://doi.org/10.33321/cdi.2024.48.8</w:t>
      </w:r>
    </w:fldSimple>
    <w:r w:rsidR="008E3F81" w:rsidRPr="001D0612">
      <w:t>)</w:t>
    </w:r>
    <w:r w:rsidRPr="001D0612">
      <w:t xml:space="preserve"> </w:t>
    </w:r>
    <w:r w:rsidRPr="001D0612">
      <w:rPr>
        <w:rFonts w:cstheme="minorHAnsi"/>
        <w:color w:val="033636" w:themeColor="text2"/>
      </w:rPr>
      <w:t>•</w:t>
    </w:r>
    <w:r w:rsidRPr="001D0612">
      <w:rPr>
        <w:rFonts w:cstheme="minorHAnsi"/>
      </w:rPr>
      <w:t xml:space="preserve"> </w:t>
    </w:r>
    <w:r w:rsidRPr="001D0612">
      <w:t xml:space="preserve">Epub </w:t>
    </w:r>
    <w:fldSimple w:instr=" DOCPROPERTY  ePubDate  \* MERGEFORMAT ">
      <w:r w:rsidR="00D56D46">
        <w:t>10/04/2024</w:t>
      </w:r>
    </w:fldSimple>
    <w:r w:rsidRPr="001D0612">
      <w:tab/>
    </w:r>
    <w:r w:rsidRPr="001D0612">
      <w:fldChar w:fldCharType="begin"/>
    </w:r>
    <w:r w:rsidRPr="001D0612">
      <w:instrText xml:space="preserve"> PAGE   \* MERGEFORMAT </w:instrText>
    </w:r>
    <w:r w:rsidRPr="001D0612">
      <w:fldChar w:fldCharType="separate"/>
    </w:r>
    <w:r w:rsidRPr="001D0612">
      <w:t>3</w:t>
    </w:r>
    <w:r w:rsidRPr="001D0612">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0E381" w14:textId="77D57DEF" w:rsidR="00E30C30" w:rsidRPr="00F72B15" w:rsidRDefault="00E30C30" w:rsidP="008E3F81">
    <w:pPr>
      <w:pBdr>
        <w:top w:val="single" w:sz="4" w:space="4" w:color="00DCA1" w:themeColor="background2"/>
      </w:pBd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A869A" w14:textId="67C5214B" w:rsidR="00AC659C" w:rsidRPr="001D0612" w:rsidRDefault="00AC659C" w:rsidP="009823EE">
    <w:pPr>
      <w:pStyle w:val="CDIFooter"/>
      <w:tabs>
        <w:tab w:val="right" w:pos="14175"/>
      </w:tabs>
    </w:pPr>
    <w:r w:rsidRPr="001D0612">
      <w:t xml:space="preserve">www.health.gov.au/cdi </w:t>
    </w:r>
    <w:r w:rsidRPr="001D0612">
      <w:rPr>
        <w:rFonts w:cstheme="minorHAnsi"/>
        <w:color w:val="033636" w:themeColor="text2"/>
      </w:rPr>
      <w:t>•</w:t>
    </w:r>
    <w:r w:rsidRPr="001D0612">
      <w:rPr>
        <w:rFonts w:cstheme="minorHAnsi"/>
      </w:rPr>
      <w:t xml:space="preserve"> </w:t>
    </w:r>
    <w:r w:rsidRPr="00F95581">
      <w:rPr>
        <w:rStyle w:val="Italic"/>
      </w:rPr>
      <w:t>Commun Dis Intell (2018)</w:t>
    </w:r>
    <w:r w:rsidRPr="001D0612">
      <w:t xml:space="preserve">  </w:t>
    </w:r>
    <w:fldSimple w:instr=" DOCPROPERTY  Year  \* MERGEFORMAT ">
      <w:r w:rsidRPr="001D0612">
        <w:t>2024</w:t>
      </w:r>
    </w:fldSimple>
    <w:r w:rsidRPr="001D0612">
      <w:t xml:space="preserve"> </w:t>
    </w:r>
    <w:fldSimple w:instr=" DOCPROPERTY  Vol  \* MERGEFORMAT ">
      <w:r w:rsidRPr="001D0612">
        <w:t>48</w:t>
      </w:r>
    </w:fldSimple>
    <w:r w:rsidRPr="001D0612">
      <w:t xml:space="preserve">  (</w:t>
    </w:r>
    <w:fldSimple w:instr=" DOCPROPERTY  DOI  \* MERGEFORMAT ">
      <w:r w:rsidR="004B7A20">
        <w:t>https://doi.org/10.33321/cdi.2024.48.8</w:t>
      </w:r>
    </w:fldSimple>
    <w:r w:rsidRPr="001D0612">
      <w:t xml:space="preserve">) </w:t>
    </w:r>
    <w:r w:rsidRPr="001D0612">
      <w:rPr>
        <w:rFonts w:cstheme="minorHAnsi"/>
        <w:color w:val="033636" w:themeColor="text2"/>
      </w:rPr>
      <w:t>•</w:t>
    </w:r>
    <w:r w:rsidRPr="001D0612">
      <w:rPr>
        <w:rFonts w:cstheme="minorHAnsi"/>
      </w:rPr>
      <w:t xml:space="preserve"> </w:t>
    </w:r>
    <w:r w:rsidRPr="001D0612">
      <w:t xml:space="preserve">Epub </w:t>
    </w:r>
    <w:fldSimple w:instr=" DOCPROPERTY  ePubDate  \* MERGEFORMAT ">
      <w:r w:rsidR="00D56D46">
        <w:t>10/04/2024</w:t>
      </w:r>
    </w:fldSimple>
    <w:r w:rsidRPr="001D0612">
      <w:tab/>
    </w:r>
    <w:r w:rsidRPr="001D0612">
      <w:fldChar w:fldCharType="begin"/>
    </w:r>
    <w:r w:rsidRPr="001D0612">
      <w:instrText xml:space="preserve"> PAGE   \* MERGEFORMAT </w:instrText>
    </w:r>
    <w:r w:rsidRPr="001D0612">
      <w:fldChar w:fldCharType="separate"/>
    </w:r>
    <w:r w:rsidRPr="001D0612">
      <w:t>3</w:t>
    </w:r>
    <w:r w:rsidRPr="001D06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54C63" w14:textId="77777777" w:rsidR="00947BAF" w:rsidRPr="00B91FB5" w:rsidRDefault="00947BAF" w:rsidP="00B91FB5">
      <w:pPr>
        <w:spacing w:line="240" w:lineRule="auto"/>
        <w:rPr>
          <w:sz w:val="18"/>
          <w:szCs w:val="18"/>
        </w:rPr>
      </w:pPr>
      <w:r w:rsidRPr="00B91FB5">
        <w:rPr>
          <w:sz w:val="18"/>
          <w:szCs w:val="18"/>
        </w:rPr>
        <w:separator/>
      </w:r>
    </w:p>
  </w:footnote>
  <w:footnote w:type="continuationSeparator" w:id="0">
    <w:p w14:paraId="114986D9" w14:textId="77777777" w:rsidR="00947BAF" w:rsidRDefault="00947BAF" w:rsidP="00E54DBA">
      <w:r>
        <w:continuationSeparator/>
      </w:r>
    </w:p>
  </w:footnote>
  <w:footnote w:type="continuationNotice" w:id="1">
    <w:p w14:paraId="044AA437" w14:textId="77777777" w:rsidR="00947BAF" w:rsidRPr="00224EFF" w:rsidRDefault="00947BAF" w:rsidP="00224E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3F57B" w14:textId="77777777" w:rsidR="00714CD2" w:rsidRDefault="00714CD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1ED25" w14:textId="0D028E7E" w:rsidR="00714CD2" w:rsidRDefault="00714CD2" w:rsidP="00AC659C">
    <w:pPr>
      <w:tabs>
        <w:tab w:val="left" w:pos="213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44F8A" w14:textId="41818338" w:rsidR="00E30C30" w:rsidRPr="00DF78F3" w:rsidRDefault="008E3F81" w:rsidP="00DF78F3">
    <w:pPr>
      <w:spacing w:before="2640" w:line="240" w:lineRule="auto"/>
    </w:pPr>
    <w:r>
      <w:rPr>
        <w:noProof/>
        <w14:ligatures w14:val="none"/>
      </w:rPr>
      <w:drawing>
        <wp:anchor distT="0" distB="0" distL="114300" distR="114300" simplePos="0" relativeHeight="251658240" behindDoc="1" locked="1" layoutInCell="1" allowOverlap="1" wp14:anchorId="2093D3D6" wp14:editId="394295D8">
          <wp:simplePos x="723900" y="2124075"/>
          <wp:positionH relativeFrom="page">
            <wp:align>left</wp:align>
          </wp:positionH>
          <wp:positionV relativeFrom="page">
            <wp:align>top</wp:align>
          </wp:positionV>
          <wp:extent cx="7563485" cy="2270125"/>
          <wp:effectExtent l="0" t="0" r="0" b="0"/>
          <wp:wrapNone/>
          <wp:docPr id="24" name="Picture 24" descr="A green rectangle with dark green and white strokes and black text displaying the title of the journal - Communicable Diseases Intellig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green rectangle with dark green and white strokes and black text displaying the title of the journal - Communicable Diseases Intelligence"/>
                  <pic:cNvPicPr/>
                </pic:nvPicPr>
                <pic:blipFill>
                  <a:blip r:embed="rId1">
                    <a:extLst>
                      <a:ext uri="{28A0092B-C50C-407E-A947-70E740481C1C}">
                        <a14:useLocalDpi xmlns:a14="http://schemas.microsoft.com/office/drawing/2010/main" val="0"/>
                      </a:ext>
                    </a:extLst>
                  </a:blip>
                  <a:stretch>
                    <a:fillRect/>
                  </a:stretch>
                </pic:blipFill>
                <pic:spPr>
                  <a:xfrm>
                    <a:off x="0" y="0"/>
                    <a:ext cx="7563600" cy="2270299"/>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8F054" w14:textId="44F719CE" w:rsidR="008B5348" w:rsidRPr="00830070" w:rsidRDefault="008B5348" w:rsidP="008300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47FAF"/>
    <w:multiLevelType w:val="hybridMultilevel"/>
    <w:tmpl w:val="5B94B1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FD80A6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5E23D41"/>
    <w:multiLevelType w:val="hybridMultilevel"/>
    <w:tmpl w:val="BA26DA0C"/>
    <w:lvl w:ilvl="0" w:tplc="ABB27DF2">
      <w:start w:val="1"/>
      <w:numFmt w:val="bullet"/>
      <w:pStyle w:val="CDIBoxBulletGreen"/>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BD5021"/>
    <w:multiLevelType w:val="hybridMultilevel"/>
    <w:tmpl w:val="88A22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5F1EF6"/>
    <w:multiLevelType w:val="hybridMultilevel"/>
    <w:tmpl w:val="1BB07FBA"/>
    <w:lvl w:ilvl="0" w:tplc="4D0427E0">
      <w:start w:val="1"/>
      <w:numFmt w:val="decimal"/>
      <w:pStyle w:val="CDINumberedList1L1"/>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207E4CE4"/>
    <w:multiLevelType w:val="multilevel"/>
    <w:tmpl w:val="05503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2F04BA"/>
    <w:multiLevelType w:val="hybridMultilevel"/>
    <w:tmpl w:val="069024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CB7B26"/>
    <w:multiLevelType w:val="hybridMultilevel"/>
    <w:tmpl w:val="091CDB18"/>
    <w:lvl w:ilvl="0" w:tplc="3362C0A6">
      <w:start w:val="1"/>
      <w:numFmt w:val="bullet"/>
      <w:pStyle w:val="CDIBullets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8C34111"/>
    <w:multiLevelType w:val="hybridMultilevel"/>
    <w:tmpl w:val="BD224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07D3EE2"/>
    <w:multiLevelType w:val="hybridMultilevel"/>
    <w:tmpl w:val="3AB20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0D270B0"/>
    <w:multiLevelType w:val="hybridMultilevel"/>
    <w:tmpl w:val="B0009DC4"/>
    <w:lvl w:ilvl="0" w:tplc="8D624FEC">
      <w:numFmt w:val="bullet"/>
      <w:lvlText w:val=""/>
      <w:lvlJc w:val="left"/>
      <w:pPr>
        <w:ind w:left="720" w:hanging="360"/>
      </w:pPr>
      <w:rPr>
        <w:rFonts w:ascii="Symbol" w:eastAsia="Times New Roman"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6A6245C"/>
    <w:multiLevelType w:val="hybridMultilevel"/>
    <w:tmpl w:val="A15CD276"/>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71D582C"/>
    <w:multiLevelType w:val="hybridMultilevel"/>
    <w:tmpl w:val="B3788E6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0C14B8B"/>
    <w:multiLevelType w:val="hybridMultilevel"/>
    <w:tmpl w:val="2320CF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F3E2038"/>
    <w:multiLevelType w:val="hybridMultilevel"/>
    <w:tmpl w:val="8FA42C44"/>
    <w:lvl w:ilvl="0" w:tplc="8D624FEC">
      <w:numFmt w:val="bullet"/>
      <w:lvlText w:val=""/>
      <w:lvlJc w:val="left"/>
      <w:pPr>
        <w:ind w:left="720" w:hanging="360"/>
      </w:pPr>
      <w:rPr>
        <w:rFonts w:ascii="Symbol" w:eastAsia="Times New Roman"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9FC45B7"/>
    <w:multiLevelType w:val="multilevel"/>
    <w:tmpl w:val="65284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DC43C3F"/>
    <w:multiLevelType w:val="hybridMultilevel"/>
    <w:tmpl w:val="DB167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2A9135D"/>
    <w:multiLevelType w:val="multilevel"/>
    <w:tmpl w:val="1D3E1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08296814">
    <w:abstractNumId w:val="6"/>
  </w:num>
  <w:num w:numId="2" w16cid:durableId="1897424293">
    <w:abstractNumId w:val="11"/>
  </w:num>
  <w:num w:numId="3" w16cid:durableId="1257204005">
    <w:abstractNumId w:val="12"/>
  </w:num>
  <w:num w:numId="4" w16cid:durableId="249435281">
    <w:abstractNumId w:val="5"/>
  </w:num>
  <w:num w:numId="5" w16cid:durableId="1065370261">
    <w:abstractNumId w:val="15"/>
  </w:num>
  <w:num w:numId="6" w16cid:durableId="1981112450">
    <w:abstractNumId w:val="16"/>
  </w:num>
  <w:num w:numId="7" w16cid:durableId="1847285225">
    <w:abstractNumId w:val="17"/>
  </w:num>
  <w:num w:numId="8" w16cid:durableId="1155611035">
    <w:abstractNumId w:val="8"/>
  </w:num>
  <w:num w:numId="9" w16cid:durableId="1609970672">
    <w:abstractNumId w:val="14"/>
  </w:num>
  <w:num w:numId="10" w16cid:durableId="1791893130">
    <w:abstractNumId w:val="10"/>
  </w:num>
  <w:num w:numId="11" w16cid:durableId="470942222">
    <w:abstractNumId w:val="0"/>
  </w:num>
  <w:num w:numId="12" w16cid:durableId="564532051">
    <w:abstractNumId w:val="1"/>
  </w:num>
  <w:num w:numId="13" w16cid:durableId="1881085909">
    <w:abstractNumId w:val="2"/>
  </w:num>
  <w:num w:numId="14" w16cid:durableId="1568371897">
    <w:abstractNumId w:val="3"/>
  </w:num>
  <w:num w:numId="15" w16cid:durableId="1940402864">
    <w:abstractNumId w:val="9"/>
  </w:num>
  <w:num w:numId="16" w16cid:durableId="1786655782">
    <w:abstractNumId w:val="13"/>
  </w:num>
  <w:num w:numId="17" w16cid:durableId="479153694">
    <w:abstractNumId w:val="4"/>
  </w:num>
  <w:num w:numId="18" w16cid:durableId="283313819">
    <w:abstractNumId w:val="7"/>
  </w:num>
  <w:num w:numId="19" w16cid:durableId="1861163522">
    <w:abstractNumId w:val="4"/>
    <w:lvlOverride w:ilvl="0">
      <w:startOverride w:val="1"/>
    </w:lvlOverride>
  </w:num>
  <w:num w:numId="20" w16cid:durableId="1804809668">
    <w:abstractNumId w:val="4"/>
    <w:lvlOverride w:ilvl="0">
      <w:startOverride w:val="1"/>
    </w:lvlOverride>
  </w:num>
  <w:num w:numId="21" w16cid:durableId="1603873510">
    <w:abstractNumId w:val="4"/>
    <w:lvlOverride w:ilvl="0">
      <w:startOverride w:val="1"/>
    </w:lvlOverride>
  </w:num>
  <w:num w:numId="22" w16cid:durableId="569776512">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301" w:allStyles="1" w:customStyles="0" w:latentStyles="0" w:stylesInUse="0" w:headingStyles="0" w:numberingStyles="0" w:tableStyles="0" w:directFormattingOnRuns="1" w:directFormattingOnParagraphs="1" w:directFormattingOnNumbering="0" w:directFormattingOnTables="0"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BAF"/>
    <w:rsid w:val="00000B5B"/>
    <w:rsid w:val="00001611"/>
    <w:rsid w:val="00002B8D"/>
    <w:rsid w:val="000104A8"/>
    <w:rsid w:val="0001246E"/>
    <w:rsid w:val="000124B1"/>
    <w:rsid w:val="000147ED"/>
    <w:rsid w:val="00014B0F"/>
    <w:rsid w:val="0001562E"/>
    <w:rsid w:val="00016FE6"/>
    <w:rsid w:val="00026D55"/>
    <w:rsid w:val="00031064"/>
    <w:rsid w:val="00031692"/>
    <w:rsid w:val="00032531"/>
    <w:rsid w:val="000325A0"/>
    <w:rsid w:val="00032BCB"/>
    <w:rsid w:val="000420DA"/>
    <w:rsid w:val="000471BF"/>
    <w:rsid w:val="00047B68"/>
    <w:rsid w:val="00052600"/>
    <w:rsid w:val="0005643C"/>
    <w:rsid w:val="0006264A"/>
    <w:rsid w:val="00066764"/>
    <w:rsid w:val="000705FF"/>
    <w:rsid w:val="000733B3"/>
    <w:rsid w:val="00073D77"/>
    <w:rsid w:val="00081655"/>
    <w:rsid w:val="00084BAB"/>
    <w:rsid w:val="000864E0"/>
    <w:rsid w:val="00087301"/>
    <w:rsid w:val="0009348B"/>
    <w:rsid w:val="000969B3"/>
    <w:rsid w:val="000A5F42"/>
    <w:rsid w:val="000C3D48"/>
    <w:rsid w:val="000C3FB4"/>
    <w:rsid w:val="000D4B4D"/>
    <w:rsid w:val="000E6C4C"/>
    <w:rsid w:val="000F223B"/>
    <w:rsid w:val="00112E44"/>
    <w:rsid w:val="00113D58"/>
    <w:rsid w:val="001200CB"/>
    <w:rsid w:val="001371D9"/>
    <w:rsid w:val="001378A3"/>
    <w:rsid w:val="00146435"/>
    <w:rsid w:val="00153D94"/>
    <w:rsid w:val="00155582"/>
    <w:rsid w:val="00161590"/>
    <w:rsid w:val="00161C85"/>
    <w:rsid w:val="00163BE3"/>
    <w:rsid w:val="001704D1"/>
    <w:rsid w:val="0017056E"/>
    <w:rsid w:val="00171CC0"/>
    <w:rsid w:val="001723AC"/>
    <w:rsid w:val="00175494"/>
    <w:rsid w:val="00175629"/>
    <w:rsid w:val="001830EC"/>
    <w:rsid w:val="00183534"/>
    <w:rsid w:val="00187511"/>
    <w:rsid w:val="0018758E"/>
    <w:rsid w:val="00197A4A"/>
    <w:rsid w:val="00197ACB"/>
    <w:rsid w:val="001A4A96"/>
    <w:rsid w:val="001A5900"/>
    <w:rsid w:val="001A5D05"/>
    <w:rsid w:val="001A796C"/>
    <w:rsid w:val="001B0E7B"/>
    <w:rsid w:val="001B2614"/>
    <w:rsid w:val="001B37B8"/>
    <w:rsid w:val="001B552F"/>
    <w:rsid w:val="001C0893"/>
    <w:rsid w:val="001C1303"/>
    <w:rsid w:val="001C1BD1"/>
    <w:rsid w:val="001C2B4B"/>
    <w:rsid w:val="001C5BB1"/>
    <w:rsid w:val="001C70B2"/>
    <w:rsid w:val="001D0612"/>
    <w:rsid w:val="001D37C7"/>
    <w:rsid w:val="001D6888"/>
    <w:rsid w:val="001E4E1D"/>
    <w:rsid w:val="001F0D9D"/>
    <w:rsid w:val="001F6248"/>
    <w:rsid w:val="00221481"/>
    <w:rsid w:val="00223F42"/>
    <w:rsid w:val="00224EFF"/>
    <w:rsid w:val="002276DC"/>
    <w:rsid w:val="00227E00"/>
    <w:rsid w:val="002307CB"/>
    <w:rsid w:val="00231046"/>
    <w:rsid w:val="00234F21"/>
    <w:rsid w:val="00242659"/>
    <w:rsid w:val="002428F7"/>
    <w:rsid w:val="0024315F"/>
    <w:rsid w:val="0024631C"/>
    <w:rsid w:val="00252C9A"/>
    <w:rsid w:val="00254E56"/>
    <w:rsid w:val="00256309"/>
    <w:rsid w:val="00257484"/>
    <w:rsid w:val="00260636"/>
    <w:rsid w:val="00262EA6"/>
    <w:rsid w:val="00271AFA"/>
    <w:rsid w:val="00275C5C"/>
    <w:rsid w:val="00275C78"/>
    <w:rsid w:val="00275F5D"/>
    <w:rsid w:val="00280594"/>
    <w:rsid w:val="00281EE3"/>
    <w:rsid w:val="00284E4A"/>
    <w:rsid w:val="002A3799"/>
    <w:rsid w:val="002A3BCC"/>
    <w:rsid w:val="002A4516"/>
    <w:rsid w:val="002A569F"/>
    <w:rsid w:val="002A7066"/>
    <w:rsid w:val="002B001E"/>
    <w:rsid w:val="002B09B7"/>
    <w:rsid w:val="002B493C"/>
    <w:rsid w:val="002B75A9"/>
    <w:rsid w:val="002C21B0"/>
    <w:rsid w:val="002C3003"/>
    <w:rsid w:val="002C5D55"/>
    <w:rsid w:val="002E2FB3"/>
    <w:rsid w:val="002F327B"/>
    <w:rsid w:val="00301626"/>
    <w:rsid w:val="003059EC"/>
    <w:rsid w:val="00316727"/>
    <w:rsid w:val="00316CCD"/>
    <w:rsid w:val="00323916"/>
    <w:rsid w:val="00324F7E"/>
    <w:rsid w:val="0032526F"/>
    <w:rsid w:val="003316F4"/>
    <w:rsid w:val="003323BC"/>
    <w:rsid w:val="00341720"/>
    <w:rsid w:val="00346D42"/>
    <w:rsid w:val="00346E11"/>
    <w:rsid w:val="00351364"/>
    <w:rsid w:val="003601C0"/>
    <w:rsid w:val="003635F5"/>
    <w:rsid w:val="00371080"/>
    <w:rsid w:val="00372A88"/>
    <w:rsid w:val="00381A0F"/>
    <w:rsid w:val="00381E8E"/>
    <w:rsid w:val="00390F66"/>
    <w:rsid w:val="00392D07"/>
    <w:rsid w:val="003A1B3A"/>
    <w:rsid w:val="003A40F5"/>
    <w:rsid w:val="003B3487"/>
    <w:rsid w:val="003B5B8C"/>
    <w:rsid w:val="003B7ADD"/>
    <w:rsid w:val="003C554E"/>
    <w:rsid w:val="003C7841"/>
    <w:rsid w:val="003D15AE"/>
    <w:rsid w:val="003D79B1"/>
    <w:rsid w:val="003E74EE"/>
    <w:rsid w:val="003F0552"/>
    <w:rsid w:val="003F3BC2"/>
    <w:rsid w:val="003F5172"/>
    <w:rsid w:val="003F725B"/>
    <w:rsid w:val="00401ED1"/>
    <w:rsid w:val="0040224C"/>
    <w:rsid w:val="004101DC"/>
    <w:rsid w:val="00411852"/>
    <w:rsid w:val="00413EE1"/>
    <w:rsid w:val="00415494"/>
    <w:rsid w:val="004164BB"/>
    <w:rsid w:val="0042000E"/>
    <w:rsid w:val="00421ECE"/>
    <w:rsid w:val="00422FEB"/>
    <w:rsid w:val="0042435E"/>
    <w:rsid w:val="004315F5"/>
    <w:rsid w:val="00433456"/>
    <w:rsid w:val="00433DFA"/>
    <w:rsid w:val="00435D67"/>
    <w:rsid w:val="0043642C"/>
    <w:rsid w:val="0043704E"/>
    <w:rsid w:val="00461653"/>
    <w:rsid w:val="00464A58"/>
    <w:rsid w:val="00464E0D"/>
    <w:rsid w:val="00470721"/>
    <w:rsid w:val="00473D2D"/>
    <w:rsid w:val="00491C26"/>
    <w:rsid w:val="004A19B8"/>
    <w:rsid w:val="004A2125"/>
    <w:rsid w:val="004A38F6"/>
    <w:rsid w:val="004B1266"/>
    <w:rsid w:val="004B4EB6"/>
    <w:rsid w:val="004B4F34"/>
    <w:rsid w:val="004B7A20"/>
    <w:rsid w:val="004C083C"/>
    <w:rsid w:val="004C3BDE"/>
    <w:rsid w:val="004C67C6"/>
    <w:rsid w:val="004D29DE"/>
    <w:rsid w:val="004E1094"/>
    <w:rsid w:val="004E2E81"/>
    <w:rsid w:val="0050662A"/>
    <w:rsid w:val="00510EAC"/>
    <w:rsid w:val="00526875"/>
    <w:rsid w:val="00532189"/>
    <w:rsid w:val="00542A57"/>
    <w:rsid w:val="00545068"/>
    <w:rsid w:val="0054635D"/>
    <w:rsid w:val="005635C8"/>
    <w:rsid w:val="00565974"/>
    <w:rsid w:val="00567A2D"/>
    <w:rsid w:val="005732C0"/>
    <w:rsid w:val="0057336D"/>
    <w:rsid w:val="0057489A"/>
    <w:rsid w:val="00574ACF"/>
    <w:rsid w:val="00581588"/>
    <w:rsid w:val="0058540B"/>
    <w:rsid w:val="00587C87"/>
    <w:rsid w:val="00590B80"/>
    <w:rsid w:val="005B3134"/>
    <w:rsid w:val="005B4E61"/>
    <w:rsid w:val="005B595A"/>
    <w:rsid w:val="005B66C2"/>
    <w:rsid w:val="005C1AA0"/>
    <w:rsid w:val="005C66A6"/>
    <w:rsid w:val="005D2465"/>
    <w:rsid w:val="005D4A40"/>
    <w:rsid w:val="005D79A5"/>
    <w:rsid w:val="005E33DD"/>
    <w:rsid w:val="005E3963"/>
    <w:rsid w:val="005E3E4C"/>
    <w:rsid w:val="005E4229"/>
    <w:rsid w:val="005E5181"/>
    <w:rsid w:val="005E540E"/>
    <w:rsid w:val="005E55FB"/>
    <w:rsid w:val="005E709A"/>
    <w:rsid w:val="005F16BB"/>
    <w:rsid w:val="00604098"/>
    <w:rsid w:val="00607115"/>
    <w:rsid w:val="006108F2"/>
    <w:rsid w:val="00620768"/>
    <w:rsid w:val="00624477"/>
    <w:rsid w:val="0062594B"/>
    <w:rsid w:val="00627997"/>
    <w:rsid w:val="006306A8"/>
    <w:rsid w:val="00631406"/>
    <w:rsid w:val="006324FF"/>
    <w:rsid w:val="00632787"/>
    <w:rsid w:val="006351D6"/>
    <w:rsid w:val="00636E0D"/>
    <w:rsid w:val="0064142F"/>
    <w:rsid w:val="00643CB4"/>
    <w:rsid w:val="00644B9D"/>
    <w:rsid w:val="00656427"/>
    <w:rsid w:val="00660255"/>
    <w:rsid w:val="00663EA5"/>
    <w:rsid w:val="00681509"/>
    <w:rsid w:val="00682146"/>
    <w:rsid w:val="00682E53"/>
    <w:rsid w:val="00683E6F"/>
    <w:rsid w:val="006862C0"/>
    <w:rsid w:val="00690811"/>
    <w:rsid w:val="00693DAE"/>
    <w:rsid w:val="00697039"/>
    <w:rsid w:val="006971F3"/>
    <w:rsid w:val="006B337D"/>
    <w:rsid w:val="006C2787"/>
    <w:rsid w:val="006C74A3"/>
    <w:rsid w:val="006D1381"/>
    <w:rsid w:val="006D31BC"/>
    <w:rsid w:val="006D6625"/>
    <w:rsid w:val="006E7943"/>
    <w:rsid w:val="006F24EA"/>
    <w:rsid w:val="00703009"/>
    <w:rsid w:val="00704CA9"/>
    <w:rsid w:val="0071048D"/>
    <w:rsid w:val="00710F86"/>
    <w:rsid w:val="007111A8"/>
    <w:rsid w:val="00714CD2"/>
    <w:rsid w:val="00723B5F"/>
    <w:rsid w:val="00725C33"/>
    <w:rsid w:val="00731BC3"/>
    <w:rsid w:val="00733216"/>
    <w:rsid w:val="00741192"/>
    <w:rsid w:val="007430BF"/>
    <w:rsid w:val="00743A33"/>
    <w:rsid w:val="00745AE2"/>
    <w:rsid w:val="00746080"/>
    <w:rsid w:val="0075144A"/>
    <w:rsid w:val="00760A97"/>
    <w:rsid w:val="00771313"/>
    <w:rsid w:val="00774BA6"/>
    <w:rsid w:val="00775C3B"/>
    <w:rsid w:val="00780C3D"/>
    <w:rsid w:val="00781AEF"/>
    <w:rsid w:val="00781C54"/>
    <w:rsid w:val="007828D7"/>
    <w:rsid w:val="007852D0"/>
    <w:rsid w:val="00786329"/>
    <w:rsid w:val="007918B3"/>
    <w:rsid w:val="00792C7D"/>
    <w:rsid w:val="00794293"/>
    <w:rsid w:val="00794A4D"/>
    <w:rsid w:val="007A2D74"/>
    <w:rsid w:val="007A33B9"/>
    <w:rsid w:val="007A35A0"/>
    <w:rsid w:val="007A4B9B"/>
    <w:rsid w:val="007A5234"/>
    <w:rsid w:val="007B7854"/>
    <w:rsid w:val="007C1CF5"/>
    <w:rsid w:val="007C457F"/>
    <w:rsid w:val="007C56A1"/>
    <w:rsid w:val="007C6454"/>
    <w:rsid w:val="007D6F3B"/>
    <w:rsid w:val="007E01E0"/>
    <w:rsid w:val="007E5CA0"/>
    <w:rsid w:val="007E6297"/>
    <w:rsid w:val="007E7486"/>
    <w:rsid w:val="007F0B93"/>
    <w:rsid w:val="007F2ECA"/>
    <w:rsid w:val="008019B9"/>
    <w:rsid w:val="00802960"/>
    <w:rsid w:val="00805663"/>
    <w:rsid w:val="00807D45"/>
    <w:rsid w:val="00811708"/>
    <w:rsid w:val="00813007"/>
    <w:rsid w:val="0081404B"/>
    <w:rsid w:val="00816B90"/>
    <w:rsid w:val="00817799"/>
    <w:rsid w:val="00821796"/>
    <w:rsid w:val="00822F5F"/>
    <w:rsid w:val="00824FD3"/>
    <w:rsid w:val="00826589"/>
    <w:rsid w:val="00830070"/>
    <w:rsid w:val="00830F91"/>
    <w:rsid w:val="00834BCC"/>
    <w:rsid w:val="008355D9"/>
    <w:rsid w:val="00850D54"/>
    <w:rsid w:val="00852E2B"/>
    <w:rsid w:val="008714B0"/>
    <w:rsid w:val="00872A7F"/>
    <w:rsid w:val="00876331"/>
    <w:rsid w:val="00877B90"/>
    <w:rsid w:val="00880726"/>
    <w:rsid w:val="0089025E"/>
    <w:rsid w:val="008A3532"/>
    <w:rsid w:val="008A3544"/>
    <w:rsid w:val="008B48B8"/>
    <w:rsid w:val="008B5348"/>
    <w:rsid w:val="008B58F8"/>
    <w:rsid w:val="008B62FF"/>
    <w:rsid w:val="008C0712"/>
    <w:rsid w:val="008C4520"/>
    <w:rsid w:val="008C5F09"/>
    <w:rsid w:val="008D470F"/>
    <w:rsid w:val="008D47FC"/>
    <w:rsid w:val="008D4B44"/>
    <w:rsid w:val="008E1F8F"/>
    <w:rsid w:val="008E3020"/>
    <w:rsid w:val="008E3F81"/>
    <w:rsid w:val="008E4768"/>
    <w:rsid w:val="008E761E"/>
    <w:rsid w:val="008E7F61"/>
    <w:rsid w:val="008F77B3"/>
    <w:rsid w:val="009008F5"/>
    <w:rsid w:val="00900B78"/>
    <w:rsid w:val="00904CC1"/>
    <w:rsid w:val="009066AF"/>
    <w:rsid w:val="00910578"/>
    <w:rsid w:val="00912050"/>
    <w:rsid w:val="00912E48"/>
    <w:rsid w:val="00912E68"/>
    <w:rsid w:val="00923159"/>
    <w:rsid w:val="0092746F"/>
    <w:rsid w:val="00935DC9"/>
    <w:rsid w:val="00937F3C"/>
    <w:rsid w:val="009446C0"/>
    <w:rsid w:val="00947BAF"/>
    <w:rsid w:val="00951883"/>
    <w:rsid w:val="009527E3"/>
    <w:rsid w:val="009533E1"/>
    <w:rsid w:val="0096082E"/>
    <w:rsid w:val="00961347"/>
    <w:rsid w:val="00964753"/>
    <w:rsid w:val="00965AD4"/>
    <w:rsid w:val="00967410"/>
    <w:rsid w:val="00967D73"/>
    <w:rsid w:val="00970B9A"/>
    <w:rsid w:val="00971C4F"/>
    <w:rsid w:val="0098119A"/>
    <w:rsid w:val="009823EE"/>
    <w:rsid w:val="00984AAF"/>
    <w:rsid w:val="00985521"/>
    <w:rsid w:val="00991B09"/>
    <w:rsid w:val="0099319C"/>
    <w:rsid w:val="00993CB2"/>
    <w:rsid w:val="009A0251"/>
    <w:rsid w:val="009A218B"/>
    <w:rsid w:val="009A5166"/>
    <w:rsid w:val="009A76F8"/>
    <w:rsid w:val="009B2B83"/>
    <w:rsid w:val="009C49F8"/>
    <w:rsid w:val="009D56E7"/>
    <w:rsid w:val="009D77CC"/>
    <w:rsid w:val="009D797A"/>
    <w:rsid w:val="009E2423"/>
    <w:rsid w:val="009E55D7"/>
    <w:rsid w:val="009F4150"/>
    <w:rsid w:val="009F5665"/>
    <w:rsid w:val="009F5DAD"/>
    <w:rsid w:val="009F752C"/>
    <w:rsid w:val="00A01BCA"/>
    <w:rsid w:val="00A07088"/>
    <w:rsid w:val="00A10458"/>
    <w:rsid w:val="00A104E5"/>
    <w:rsid w:val="00A153B6"/>
    <w:rsid w:val="00A164D5"/>
    <w:rsid w:val="00A20E4F"/>
    <w:rsid w:val="00A25601"/>
    <w:rsid w:val="00A2678D"/>
    <w:rsid w:val="00A273C3"/>
    <w:rsid w:val="00A30C37"/>
    <w:rsid w:val="00A34275"/>
    <w:rsid w:val="00A3671B"/>
    <w:rsid w:val="00A36C65"/>
    <w:rsid w:val="00A37AE9"/>
    <w:rsid w:val="00A41BBE"/>
    <w:rsid w:val="00A443E3"/>
    <w:rsid w:val="00A45BDD"/>
    <w:rsid w:val="00A46060"/>
    <w:rsid w:val="00A46A0A"/>
    <w:rsid w:val="00A553F8"/>
    <w:rsid w:val="00A5606F"/>
    <w:rsid w:val="00A56852"/>
    <w:rsid w:val="00A623E8"/>
    <w:rsid w:val="00A649E7"/>
    <w:rsid w:val="00A65DFA"/>
    <w:rsid w:val="00A6708F"/>
    <w:rsid w:val="00A71BF6"/>
    <w:rsid w:val="00A72AF9"/>
    <w:rsid w:val="00A74050"/>
    <w:rsid w:val="00A86F9A"/>
    <w:rsid w:val="00A95A81"/>
    <w:rsid w:val="00AA35E6"/>
    <w:rsid w:val="00AA50B6"/>
    <w:rsid w:val="00AA78FF"/>
    <w:rsid w:val="00AB3472"/>
    <w:rsid w:val="00AC4595"/>
    <w:rsid w:val="00AC659C"/>
    <w:rsid w:val="00AC66D9"/>
    <w:rsid w:val="00AD0762"/>
    <w:rsid w:val="00AE0209"/>
    <w:rsid w:val="00AE3DCF"/>
    <w:rsid w:val="00AE4452"/>
    <w:rsid w:val="00AE6604"/>
    <w:rsid w:val="00AE7C38"/>
    <w:rsid w:val="00AF1538"/>
    <w:rsid w:val="00AF2679"/>
    <w:rsid w:val="00AF2814"/>
    <w:rsid w:val="00AF5008"/>
    <w:rsid w:val="00AF6920"/>
    <w:rsid w:val="00B01F99"/>
    <w:rsid w:val="00B02B37"/>
    <w:rsid w:val="00B05276"/>
    <w:rsid w:val="00B132DB"/>
    <w:rsid w:val="00B15F5B"/>
    <w:rsid w:val="00B20A91"/>
    <w:rsid w:val="00B24C05"/>
    <w:rsid w:val="00B26F80"/>
    <w:rsid w:val="00B31427"/>
    <w:rsid w:val="00B32FF9"/>
    <w:rsid w:val="00B33861"/>
    <w:rsid w:val="00B33E0B"/>
    <w:rsid w:val="00B40DE2"/>
    <w:rsid w:val="00B4377A"/>
    <w:rsid w:val="00B50210"/>
    <w:rsid w:val="00B50D8D"/>
    <w:rsid w:val="00B53955"/>
    <w:rsid w:val="00B53BFC"/>
    <w:rsid w:val="00B63C79"/>
    <w:rsid w:val="00B6408A"/>
    <w:rsid w:val="00B6478A"/>
    <w:rsid w:val="00B714B8"/>
    <w:rsid w:val="00B716E8"/>
    <w:rsid w:val="00B82C2C"/>
    <w:rsid w:val="00B85F35"/>
    <w:rsid w:val="00B8720B"/>
    <w:rsid w:val="00B876EF"/>
    <w:rsid w:val="00B91551"/>
    <w:rsid w:val="00B91FB5"/>
    <w:rsid w:val="00BA4697"/>
    <w:rsid w:val="00BA5893"/>
    <w:rsid w:val="00BB5378"/>
    <w:rsid w:val="00BB6F53"/>
    <w:rsid w:val="00BC086C"/>
    <w:rsid w:val="00BC0BD3"/>
    <w:rsid w:val="00BC5BA6"/>
    <w:rsid w:val="00BD0107"/>
    <w:rsid w:val="00BD2220"/>
    <w:rsid w:val="00BD4DBE"/>
    <w:rsid w:val="00BE0C33"/>
    <w:rsid w:val="00BE0FE9"/>
    <w:rsid w:val="00BE262C"/>
    <w:rsid w:val="00BE4C25"/>
    <w:rsid w:val="00BE6C3D"/>
    <w:rsid w:val="00BF42FE"/>
    <w:rsid w:val="00C07606"/>
    <w:rsid w:val="00C12542"/>
    <w:rsid w:val="00C130EE"/>
    <w:rsid w:val="00C24725"/>
    <w:rsid w:val="00C30BA9"/>
    <w:rsid w:val="00C32396"/>
    <w:rsid w:val="00C3541E"/>
    <w:rsid w:val="00C36A8F"/>
    <w:rsid w:val="00C401C8"/>
    <w:rsid w:val="00C42834"/>
    <w:rsid w:val="00C42FFA"/>
    <w:rsid w:val="00C47780"/>
    <w:rsid w:val="00C507D8"/>
    <w:rsid w:val="00C51F5A"/>
    <w:rsid w:val="00C57018"/>
    <w:rsid w:val="00C62EAC"/>
    <w:rsid w:val="00C63F9F"/>
    <w:rsid w:val="00C6558E"/>
    <w:rsid w:val="00C66F97"/>
    <w:rsid w:val="00C7723C"/>
    <w:rsid w:val="00C838F5"/>
    <w:rsid w:val="00C841C0"/>
    <w:rsid w:val="00CA1AF4"/>
    <w:rsid w:val="00CA6068"/>
    <w:rsid w:val="00CB15E1"/>
    <w:rsid w:val="00CB3D46"/>
    <w:rsid w:val="00CC0771"/>
    <w:rsid w:val="00CD1A87"/>
    <w:rsid w:val="00CD35F3"/>
    <w:rsid w:val="00CD5C93"/>
    <w:rsid w:val="00CD69CD"/>
    <w:rsid w:val="00CE342B"/>
    <w:rsid w:val="00CF131F"/>
    <w:rsid w:val="00CF320C"/>
    <w:rsid w:val="00CF3A4B"/>
    <w:rsid w:val="00CF4001"/>
    <w:rsid w:val="00CF75DF"/>
    <w:rsid w:val="00D05837"/>
    <w:rsid w:val="00D12D8A"/>
    <w:rsid w:val="00D13E0C"/>
    <w:rsid w:val="00D20FB5"/>
    <w:rsid w:val="00D25896"/>
    <w:rsid w:val="00D34AAF"/>
    <w:rsid w:val="00D373A1"/>
    <w:rsid w:val="00D37C0F"/>
    <w:rsid w:val="00D4113F"/>
    <w:rsid w:val="00D45661"/>
    <w:rsid w:val="00D45943"/>
    <w:rsid w:val="00D47D22"/>
    <w:rsid w:val="00D51865"/>
    <w:rsid w:val="00D51D0C"/>
    <w:rsid w:val="00D52ECE"/>
    <w:rsid w:val="00D55D13"/>
    <w:rsid w:val="00D56D46"/>
    <w:rsid w:val="00D6407A"/>
    <w:rsid w:val="00D64A19"/>
    <w:rsid w:val="00D67A9B"/>
    <w:rsid w:val="00D7189B"/>
    <w:rsid w:val="00D7327C"/>
    <w:rsid w:val="00D74140"/>
    <w:rsid w:val="00D80045"/>
    <w:rsid w:val="00D93AD4"/>
    <w:rsid w:val="00DA2E9E"/>
    <w:rsid w:val="00DA6E56"/>
    <w:rsid w:val="00DA78DD"/>
    <w:rsid w:val="00DB0DF2"/>
    <w:rsid w:val="00DB1C65"/>
    <w:rsid w:val="00DC0C4C"/>
    <w:rsid w:val="00DC24E5"/>
    <w:rsid w:val="00DC3B05"/>
    <w:rsid w:val="00DC6705"/>
    <w:rsid w:val="00DD1EF6"/>
    <w:rsid w:val="00DD2DE8"/>
    <w:rsid w:val="00DE04B8"/>
    <w:rsid w:val="00DE2BFC"/>
    <w:rsid w:val="00DE38B4"/>
    <w:rsid w:val="00DE4482"/>
    <w:rsid w:val="00DE5D02"/>
    <w:rsid w:val="00DF1E91"/>
    <w:rsid w:val="00DF2102"/>
    <w:rsid w:val="00DF48CC"/>
    <w:rsid w:val="00DF78F3"/>
    <w:rsid w:val="00E005A9"/>
    <w:rsid w:val="00E03579"/>
    <w:rsid w:val="00E065BA"/>
    <w:rsid w:val="00E115A8"/>
    <w:rsid w:val="00E1166E"/>
    <w:rsid w:val="00E24DC0"/>
    <w:rsid w:val="00E2519C"/>
    <w:rsid w:val="00E25229"/>
    <w:rsid w:val="00E25F2A"/>
    <w:rsid w:val="00E30C30"/>
    <w:rsid w:val="00E35EB1"/>
    <w:rsid w:val="00E363D2"/>
    <w:rsid w:val="00E41455"/>
    <w:rsid w:val="00E42AD2"/>
    <w:rsid w:val="00E50856"/>
    <w:rsid w:val="00E538CC"/>
    <w:rsid w:val="00E54BBD"/>
    <w:rsid w:val="00E54DBA"/>
    <w:rsid w:val="00E57DB7"/>
    <w:rsid w:val="00E63D7C"/>
    <w:rsid w:val="00E640D5"/>
    <w:rsid w:val="00E64C4F"/>
    <w:rsid w:val="00E66E2E"/>
    <w:rsid w:val="00E67691"/>
    <w:rsid w:val="00E714F6"/>
    <w:rsid w:val="00E82182"/>
    <w:rsid w:val="00E87669"/>
    <w:rsid w:val="00E877F0"/>
    <w:rsid w:val="00E92237"/>
    <w:rsid w:val="00E951EF"/>
    <w:rsid w:val="00EA1A80"/>
    <w:rsid w:val="00EA387D"/>
    <w:rsid w:val="00EA3D54"/>
    <w:rsid w:val="00EA42F9"/>
    <w:rsid w:val="00EA487F"/>
    <w:rsid w:val="00EA56D9"/>
    <w:rsid w:val="00EA5CE3"/>
    <w:rsid w:val="00EA6AD8"/>
    <w:rsid w:val="00EA7AB8"/>
    <w:rsid w:val="00EB51C1"/>
    <w:rsid w:val="00EB5AE1"/>
    <w:rsid w:val="00EB5E0B"/>
    <w:rsid w:val="00EB7247"/>
    <w:rsid w:val="00EB7C2A"/>
    <w:rsid w:val="00EC2171"/>
    <w:rsid w:val="00ED442D"/>
    <w:rsid w:val="00ED70C2"/>
    <w:rsid w:val="00EE18FF"/>
    <w:rsid w:val="00EE1D64"/>
    <w:rsid w:val="00EE3E29"/>
    <w:rsid w:val="00EE489F"/>
    <w:rsid w:val="00EE558A"/>
    <w:rsid w:val="00EF082D"/>
    <w:rsid w:val="00EF55AE"/>
    <w:rsid w:val="00F0647F"/>
    <w:rsid w:val="00F10CE3"/>
    <w:rsid w:val="00F12006"/>
    <w:rsid w:val="00F13443"/>
    <w:rsid w:val="00F14F3B"/>
    <w:rsid w:val="00F16362"/>
    <w:rsid w:val="00F207C7"/>
    <w:rsid w:val="00F24CCA"/>
    <w:rsid w:val="00F27185"/>
    <w:rsid w:val="00F34C4E"/>
    <w:rsid w:val="00F35D78"/>
    <w:rsid w:val="00F36B6D"/>
    <w:rsid w:val="00F41618"/>
    <w:rsid w:val="00F4166D"/>
    <w:rsid w:val="00F43FA3"/>
    <w:rsid w:val="00F4712F"/>
    <w:rsid w:val="00F4772B"/>
    <w:rsid w:val="00F510E5"/>
    <w:rsid w:val="00F55648"/>
    <w:rsid w:val="00F568F7"/>
    <w:rsid w:val="00F64F80"/>
    <w:rsid w:val="00F67E07"/>
    <w:rsid w:val="00F70046"/>
    <w:rsid w:val="00F713D0"/>
    <w:rsid w:val="00F72B15"/>
    <w:rsid w:val="00F748C2"/>
    <w:rsid w:val="00F74958"/>
    <w:rsid w:val="00F76C5C"/>
    <w:rsid w:val="00F804EC"/>
    <w:rsid w:val="00F81EF3"/>
    <w:rsid w:val="00F84496"/>
    <w:rsid w:val="00F85DCB"/>
    <w:rsid w:val="00F86F9C"/>
    <w:rsid w:val="00F90D76"/>
    <w:rsid w:val="00F94055"/>
    <w:rsid w:val="00F95581"/>
    <w:rsid w:val="00FB17AB"/>
    <w:rsid w:val="00FB48CF"/>
    <w:rsid w:val="00FC002E"/>
    <w:rsid w:val="00FC4C23"/>
    <w:rsid w:val="00FC642E"/>
    <w:rsid w:val="00FE2AE4"/>
    <w:rsid w:val="00FE3F9E"/>
    <w:rsid w:val="00FE689F"/>
    <w:rsid w:val="00FE6B2F"/>
    <w:rsid w:val="00FE7809"/>
    <w:rsid w:val="00FF1223"/>
    <w:rsid w:val="00FF40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FC55C3"/>
  <w15:docId w15:val="{D7BFFCF8-7F72-4835-AA82-BCCA38997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247"/>
    <w:pPr>
      <w:spacing w:before="240" w:after="0"/>
    </w:pPr>
    <w:rPr>
      <w:rFonts w:ascii="Calibri" w:hAnsi="Calibri"/>
      <w14:ligatures w14:val="standardContextual"/>
    </w:rPr>
  </w:style>
  <w:style w:type="paragraph" w:styleId="Heading1">
    <w:name w:val="heading 1"/>
    <w:basedOn w:val="Normal"/>
    <w:next w:val="Normal"/>
    <w:link w:val="Heading1Char"/>
    <w:uiPriority w:val="9"/>
    <w:qFormat/>
    <w:rsid w:val="00DB0DF2"/>
    <w:pPr>
      <w:keepNext/>
      <w:keepLines/>
      <w:autoSpaceDE w:val="0"/>
      <w:autoSpaceDN w:val="0"/>
      <w:adjustRightInd w:val="0"/>
      <w:spacing w:before="480" w:line="240" w:lineRule="auto"/>
      <w:textAlignment w:val="center"/>
      <w:outlineLvl w:val="0"/>
    </w:pPr>
    <w:rPr>
      <w:rFonts w:ascii="Arial" w:hAnsi="Arial" w:cs="Manrope ExtraLight"/>
      <w:b/>
      <w:color w:val="033636" w:themeColor="text2"/>
      <w:sz w:val="48"/>
      <w:szCs w:val="32"/>
    </w:rPr>
  </w:style>
  <w:style w:type="paragraph" w:styleId="Heading2">
    <w:name w:val="heading 2"/>
    <w:basedOn w:val="Normal"/>
    <w:next w:val="Normal"/>
    <w:link w:val="Heading2Char"/>
    <w:uiPriority w:val="9"/>
    <w:unhideWhenUsed/>
    <w:qFormat/>
    <w:rsid w:val="00DB0DF2"/>
    <w:pPr>
      <w:keepNext/>
      <w:keepLines/>
      <w:autoSpaceDE w:val="0"/>
      <w:autoSpaceDN w:val="0"/>
      <w:adjustRightInd w:val="0"/>
      <w:spacing w:before="360" w:line="240" w:lineRule="auto"/>
      <w:textAlignment w:val="center"/>
      <w:outlineLvl w:val="1"/>
    </w:pPr>
    <w:rPr>
      <w:rFonts w:ascii="Arial" w:hAnsi="Arial" w:cs="MyriadPro-Bold"/>
      <w:b/>
      <w:bCs/>
      <w:color w:val="033636" w:themeColor="text2"/>
      <w:sz w:val="40"/>
      <w:szCs w:val="28"/>
    </w:rPr>
  </w:style>
  <w:style w:type="paragraph" w:styleId="Heading3">
    <w:name w:val="heading 3"/>
    <w:basedOn w:val="Normal"/>
    <w:next w:val="Normal"/>
    <w:link w:val="Heading3Char"/>
    <w:uiPriority w:val="9"/>
    <w:unhideWhenUsed/>
    <w:qFormat/>
    <w:rsid w:val="00DB0DF2"/>
    <w:pPr>
      <w:keepNext/>
      <w:keepLines/>
      <w:autoSpaceDE w:val="0"/>
      <w:autoSpaceDN w:val="0"/>
      <w:adjustRightInd w:val="0"/>
      <w:spacing w:before="360" w:line="300" w:lineRule="atLeast"/>
      <w:textAlignment w:val="center"/>
      <w:outlineLvl w:val="2"/>
    </w:pPr>
    <w:rPr>
      <w:rFonts w:ascii="Arial" w:hAnsi="Arial" w:cs="MyriadPro-Regular"/>
      <w:bCs/>
      <w:color w:val="033636" w:themeColor="text2"/>
      <w:sz w:val="32"/>
      <w:szCs w:val="26"/>
    </w:rPr>
  </w:style>
  <w:style w:type="paragraph" w:styleId="Heading4">
    <w:name w:val="heading 4"/>
    <w:basedOn w:val="Normal"/>
    <w:next w:val="Normal"/>
    <w:link w:val="Heading4Char"/>
    <w:uiPriority w:val="9"/>
    <w:unhideWhenUsed/>
    <w:qFormat/>
    <w:rsid w:val="006D6625"/>
    <w:pPr>
      <w:keepNext/>
      <w:outlineLvl w:val="3"/>
    </w:pPr>
    <w:rPr>
      <w:rFonts w:ascii="Arial" w:eastAsiaTheme="majorEastAsia" w:hAnsi="Arial" w:cstheme="majorBidi"/>
      <w:bCs/>
      <w:iCs/>
      <w:sz w:val="28"/>
      <w:lang w:val="en-GB"/>
    </w:rPr>
  </w:style>
  <w:style w:type="paragraph" w:styleId="Heading5">
    <w:name w:val="heading 5"/>
    <w:basedOn w:val="Normal"/>
    <w:next w:val="Normal"/>
    <w:link w:val="Heading5Char"/>
    <w:uiPriority w:val="9"/>
    <w:unhideWhenUsed/>
    <w:rsid w:val="006D6625"/>
    <w:pPr>
      <w:keepNext/>
      <w:outlineLvl w:val="4"/>
    </w:pPr>
    <w:rPr>
      <w:rFonts w:ascii="Arial" w:eastAsiaTheme="majorEastAsia" w:hAnsi="Arial" w:cstheme="majorBidi"/>
      <w:b/>
      <w:bCs/>
      <w:color w:val="033636" w:themeColor="text2"/>
      <w:sz w:val="24"/>
      <w:lang w:val="en-GB"/>
    </w:rPr>
  </w:style>
  <w:style w:type="paragraph" w:styleId="Heading6">
    <w:name w:val="heading 6"/>
    <w:basedOn w:val="Normal"/>
    <w:next w:val="Normal"/>
    <w:link w:val="Heading6Char"/>
    <w:uiPriority w:val="9"/>
    <w:unhideWhenUsed/>
    <w:rsid w:val="004E1094"/>
    <w:pPr>
      <w:keepNext/>
      <w:outlineLvl w:val="5"/>
    </w:pPr>
    <w:rPr>
      <w:rFonts w:ascii="Arial" w:eastAsiaTheme="majorEastAsia" w:hAnsi="Arial" w:cstheme="majorBidi"/>
      <w:bCs/>
      <w:i/>
      <w:iCs/>
      <w:color w:val="033636" w:themeColor="text2"/>
      <w:sz w:val="24"/>
      <w:lang w:val="en-GB"/>
    </w:rPr>
  </w:style>
  <w:style w:type="paragraph" w:styleId="Heading7">
    <w:name w:val="heading 7"/>
    <w:basedOn w:val="Normal"/>
    <w:next w:val="Normal"/>
    <w:link w:val="Heading7Char"/>
    <w:uiPriority w:val="9"/>
    <w:semiHidden/>
    <w:unhideWhenUsed/>
    <w:qFormat/>
    <w:rsid w:val="00741192"/>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41192"/>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41192"/>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5172"/>
    <w:rPr>
      <w:rFonts w:ascii="Arial" w:hAnsi="Arial" w:cs="Manrope ExtraLight"/>
      <w:b/>
      <w:color w:val="033636" w:themeColor="text2"/>
      <w:sz w:val="48"/>
      <w:szCs w:val="32"/>
      <w14:ligatures w14:val="standardContextual"/>
    </w:rPr>
  </w:style>
  <w:style w:type="paragraph" w:customStyle="1" w:styleId="CDIFooter">
    <w:name w:val="CDI_Footer"/>
    <w:basedOn w:val="Normal"/>
    <w:qFormat/>
    <w:rsid w:val="001D0612"/>
    <w:pPr>
      <w:spacing w:before="0"/>
    </w:pPr>
    <w:rPr>
      <w:sz w:val="18"/>
      <w:szCs w:val="18"/>
    </w:rPr>
  </w:style>
  <w:style w:type="character" w:customStyle="1" w:styleId="Heading2Char">
    <w:name w:val="Heading 2 Char"/>
    <w:basedOn w:val="DefaultParagraphFont"/>
    <w:link w:val="Heading2"/>
    <w:uiPriority w:val="9"/>
    <w:rsid w:val="007A2D74"/>
    <w:rPr>
      <w:rFonts w:ascii="Arial" w:hAnsi="Arial" w:cs="MyriadPro-Bold"/>
      <w:b/>
      <w:bCs/>
      <w:color w:val="033636" w:themeColor="text2"/>
      <w:sz w:val="40"/>
      <w:szCs w:val="28"/>
      <w14:ligatures w14:val="standardContextual"/>
    </w:rPr>
  </w:style>
  <w:style w:type="paragraph" w:customStyle="1" w:styleId="CDIBoxSummaryHeadingGreen">
    <w:name w:val="CDI_Box Summary Heading Green"/>
    <w:basedOn w:val="CDIBoxHeadingGreen"/>
    <w:rsid w:val="00066764"/>
    <w:rPr>
      <w:b/>
      <w:bCs/>
      <w:sz w:val="48"/>
    </w:rPr>
  </w:style>
  <w:style w:type="paragraph" w:styleId="Title">
    <w:name w:val="Title"/>
    <w:basedOn w:val="Normal"/>
    <w:next w:val="Normal"/>
    <w:link w:val="TitleChar"/>
    <w:uiPriority w:val="10"/>
    <w:qFormat/>
    <w:rsid w:val="003F5172"/>
    <w:pPr>
      <w:spacing w:before="480" w:line="240" w:lineRule="auto"/>
      <w:outlineLvl w:val="0"/>
    </w:pPr>
    <w:rPr>
      <w:rFonts w:ascii="Arial Narrow" w:hAnsi="Arial Narrow" w:cs="Arial"/>
      <w:b/>
      <w:bCs/>
      <w:sz w:val="52"/>
      <w:szCs w:val="54"/>
      <w:lang w:val="en-GB"/>
    </w:rPr>
  </w:style>
  <w:style w:type="character" w:customStyle="1" w:styleId="TitleChar">
    <w:name w:val="Title Char"/>
    <w:basedOn w:val="DefaultParagraphFont"/>
    <w:link w:val="Title"/>
    <w:uiPriority w:val="10"/>
    <w:rsid w:val="003F5172"/>
    <w:rPr>
      <w:rFonts w:ascii="Arial Narrow" w:hAnsi="Arial Narrow" w:cs="Arial"/>
      <w:b/>
      <w:bCs/>
      <w:sz w:val="52"/>
      <w:szCs w:val="54"/>
      <w:lang w:val="en-GB"/>
      <w14:ligatures w14:val="standardContextual"/>
    </w:rPr>
  </w:style>
  <w:style w:type="character" w:customStyle="1" w:styleId="Heading3Char">
    <w:name w:val="Heading 3 Char"/>
    <w:basedOn w:val="DefaultParagraphFont"/>
    <w:link w:val="Heading3"/>
    <w:uiPriority w:val="9"/>
    <w:rsid w:val="003F5172"/>
    <w:rPr>
      <w:rFonts w:ascii="Arial" w:hAnsi="Arial" w:cs="MyriadPro-Regular"/>
      <w:bCs/>
      <w:color w:val="033636" w:themeColor="text2"/>
      <w:sz w:val="32"/>
      <w:szCs w:val="26"/>
      <w14:ligatures w14:val="standardContextual"/>
    </w:rPr>
  </w:style>
  <w:style w:type="character" w:customStyle="1" w:styleId="Heading4Char">
    <w:name w:val="Heading 4 Char"/>
    <w:basedOn w:val="DefaultParagraphFont"/>
    <w:link w:val="Heading4"/>
    <w:uiPriority w:val="9"/>
    <w:rsid w:val="006D6625"/>
    <w:rPr>
      <w:rFonts w:ascii="Arial" w:eastAsiaTheme="majorEastAsia" w:hAnsi="Arial" w:cstheme="majorBidi"/>
      <w:bCs/>
      <w:iCs/>
      <w:sz w:val="28"/>
      <w:lang w:val="en-GB"/>
      <w14:ligatures w14:val="standardContextual"/>
    </w:rPr>
  </w:style>
  <w:style w:type="character" w:customStyle="1" w:styleId="Heading5Char">
    <w:name w:val="Heading 5 Char"/>
    <w:basedOn w:val="DefaultParagraphFont"/>
    <w:link w:val="Heading5"/>
    <w:uiPriority w:val="9"/>
    <w:rsid w:val="006D6625"/>
    <w:rPr>
      <w:rFonts w:ascii="Arial" w:eastAsiaTheme="majorEastAsia" w:hAnsi="Arial" w:cstheme="majorBidi"/>
      <w:b/>
      <w:bCs/>
      <w:color w:val="033636" w:themeColor="text2"/>
      <w:sz w:val="24"/>
      <w:lang w:val="en-GB"/>
      <w14:ligatures w14:val="standardContextual"/>
    </w:rPr>
  </w:style>
  <w:style w:type="character" w:customStyle="1" w:styleId="Heading6Char">
    <w:name w:val="Heading 6 Char"/>
    <w:basedOn w:val="DefaultParagraphFont"/>
    <w:link w:val="Heading6"/>
    <w:uiPriority w:val="9"/>
    <w:rsid w:val="004E1094"/>
    <w:rPr>
      <w:rFonts w:ascii="Arial" w:eastAsiaTheme="majorEastAsia" w:hAnsi="Arial" w:cstheme="majorBidi"/>
      <w:bCs/>
      <w:i/>
      <w:iCs/>
      <w:color w:val="033636" w:themeColor="text2"/>
      <w:sz w:val="24"/>
      <w:lang w:val="en-GB"/>
      <w14:ligatures w14:val="standardContextual"/>
    </w:rPr>
  </w:style>
  <w:style w:type="paragraph" w:styleId="Subtitle">
    <w:name w:val="Subtitle"/>
    <w:basedOn w:val="Normal"/>
    <w:next w:val="Normal"/>
    <w:link w:val="SubtitleChar"/>
    <w:uiPriority w:val="11"/>
    <w:qFormat/>
    <w:rsid w:val="00262EA6"/>
    <w:pPr>
      <w:keepNext/>
    </w:pPr>
    <w:rPr>
      <w:rFonts w:ascii="Arial Narrow" w:hAnsi="Arial Narrow"/>
      <w:sz w:val="26"/>
    </w:rPr>
  </w:style>
  <w:style w:type="character" w:customStyle="1" w:styleId="SubtitleChar">
    <w:name w:val="Subtitle Char"/>
    <w:basedOn w:val="DefaultParagraphFont"/>
    <w:link w:val="Subtitle"/>
    <w:uiPriority w:val="11"/>
    <w:rsid w:val="00262EA6"/>
    <w:rPr>
      <w:rFonts w:ascii="Arial Narrow" w:hAnsi="Arial Narrow"/>
      <w:sz w:val="26"/>
      <w14:ligatures w14:val="standardContextual"/>
    </w:rPr>
  </w:style>
  <w:style w:type="character" w:customStyle="1" w:styleId="Heading7Char">
    <w:name w:val="Heading 7 Char"/>
    <w:basedOn w:val="DefaultParagraphFont"/>
    <w:link w:val="Heading7"/>
    <w:uiPriority w:val="9"/>
    <w:semiHidden/>
    <w:rsid w:val="0074119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4119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41192"/>
    <w:rPr>
      <w:rFonts w:asciiTheme="majorHAnsi" w:eastAsiaTheme="majorEastAsia" w:hAnsiTheme="majorHAnsi" w:cstheme="majorBidi"/>
      <w:i/>
      <w:iCs/>
      <w:spacing w:val="5"/>
      <w:sz w:val="20"/>
      <w:szCs w:val="20"/>
    </w:rPr>
  </w:style>
  <w:style w:type="paragraph" w:styleId="TOCHeading">
    <w:name w:val="TOC Heading"/>
    <w:basedOn w:val="Heading1"/>
    <w:next w:val="Normal"/>
    <w:uiPriority w:val="39"/>
    <w:semiHidden/>
    <w:unhideWhenUsed/>
    <w:qFormat/>
    <w:rsid w:val="00741192"/>
    <w:pPr>
      <w:outlineLvl w:val="9"/>
    </w:pPr>
    <w:rPr>
      <w:lang w:bidi="en-US"/>
    </w:rPr>
  </w:style>
  <w:style w:type="paragraph" w:styleId="BalloonText">
    <w:name w:val="Balloon Text"/>
    <w:basedOn w:val="Normal"/>
    <w:link w:val="BalloonTextChar"/>
    <w:uiPriority w:val="99"/>
    <w:semiHidden/>
    <w:unhideWhenUsed/>
    <w:rsid w:val="00C7723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23C"/>
    <w:rPr>
      <w:rFonts w:ascii="Tahoma" w:hAnsi="Tahoma" w:cs="Tahoma"/>
      <w:sz w:val="16"/>
      <w:szCs w:val="16"/>
    </w:rPr>
  </w:style>
  <w:style w:type="character" w:styleId="PlaceholderText">
    <w:name w:val="Placeholder Text"/>
    <w:basedOn w:val="DefaultParagraphFont"/>
    <w:uiPriority w:val="99"/>
    <w:semiHidden/>
    <w:rsid w:val="00433DFA"/>
    <w:rPr>
      <w:color w:val="808080"/>
    </w:rPr>
  </w:style>
  <w:style w:type="table" w:customStyle="1" w:styleId="CDI-StandardTable">
    <w:name w:val="CDI - Standard Table"/>
    <w:basedOn w:val="TableNormal"/>
    <w:uiPriority w:val="99"/>
    <w:rsid w:val="00112E44"/>
    <w:pPr>
      <w:spacing w:before="100" w:beforeAutospacing="1" w:after="100" w:afterAutospacing="1" w:line="240" w:lineRule="auto"/>
      <w:jc w:val="center"/>
    </w:pPr>
    <w:rPr>
      <w:rFonts w:ascii="Calibri" w:hAnsi="Calibri"/>
      <w:sz w:val="18"/>
    </w:rPr>
    <w:tblPr>
      <w:tblStyleRowBandSize w:val="1"/>
      <w:tblCellMar>
        <w:top w:w="57" w:type="dxa"/>
        <w:left w:w="57" w:type="dxa"/>
        <w:bottom w:w="57" w:type="dxa"/>
        <w:right w:w="57" w:type="dxa"/>
      </w:tblCellMar>
    </w:tblPr>
    <w:tcPr>
      <w:vAlign w:val="center"/>
    </w:tcPr>
    <w:tblStylePr w:type="firstRow">
      <w:pPr>
        <w:wordWrap/>
        <w:spacing w:beforeLines="0" w:before="100" w:beforeAutospacing="1" w:afterLines="0" w:after="100" w:afterAutospacing="1" w:line="240" w:lineRule="auto"/>
        <w:jc w:val="center"/>
      </w:pPr>
      <w:rPr>
        <w:rFonts w:ascii="Calibri" w:hAnsi="Calibri"/>
        <w:b/>
        <w:i w:val="0"/>
        <w:color w:val="FFFFFF" w:themeColor="background1"/>
        <w:sz w:val="18"/>
      </w:rPr>
      <w:tblPr/>
      <w:tcPr>
        <w:shd w:val="clear" w:color="auto" w:fill="033636" w:themeFill="text2"/>
      </w:tcPr>
    </w:tblStylePr>
    <w:tblStylePr w:type="lastRow">
      <w:rPr>
        <w:rFonts w:ascii="Calibri" w:hAnsi="Calibri"/>
        <w:b/>
        <w:i w:val="0"/>
        <w:sz w:val="18"/>
      </w:rPr>
      <w:tblPr/>
      <w:tcPr>
        <w:tcBorders>
          <w:top w:val="nil"/>
          <w:left w:val="nil"/>
          <w:bottom w:val="nil"/>
          <w:right w:val="nil"/>
          <w:insideH w:val="nil"/>
          <w:insideV w:val="nil"/>
          <w:tl2br w:val="nil"/>
          <w:tr2bl w:val="nil"/>
        </w:tcBorders>
        <w:shd w:val="clear" w:color="auto" w:fill="C5FFEF" w:themeFill="background2" w:themeFillTint="33"/>
      </w:tcPr>
    </w:tblStylePr>
    <w:tblStylePr w:type="band1Horz">
      <w:tblPr/>
      <w:tcPr>
        <w:tcBorders>
          <w:top w:val="nil"/>
          <w:left w:val="nil"/>
          <w:bottom w:val="nil"/>
          <w:right w:val="nil"/>
          <w:insideH w:val="nil"/>
          <w:insideV w:val="nil"/>
          <w:tl2br w:val="nil"/>
          <w:tr2bl w:val="nil"/>
        </w:tcBorders>
        <w:shd w:val="clear" w:color="auto" w:fill="F2F2F2" w:themeFill="background1" w:themeFillShade="F2"/>
      </w:tcPr>
    </w:tblStylePr>
    <w:tblStylePr w:type="band2Horz">
      <w:tblPr/>
      <w:tcPr>
        <w:tcBorders>
          <w:top w:val="nil"/>
          <w:left w:val="nil"/>
          <w:bottom w:val="nil"/>
          <w:right w:val="nil"/>
          <w:insideH w:val="nil"/>
          <w:insideV w:val="nil"/>
          <w:tl2br w:val="nil"/>
          <w:tr2bl w:val="nil"/>
        </w:tcBorders>
      </w:tcPr>
    </w:tblStylePr>
  </w:style>
  <w:style w:type="table" w:styleId="LightList">
    <w:name w:val="Light List"/>
    <w:basedOn w:val="TableNormal"/>
    <w:uiPriority w:val="61"/>
    <w:rsid w:val="00433456"/>
    <w:pPr>
      <w:spacing w:after="0" w:line="240" w:lineRule="auto"/>
    </w:pPr>
    <w:tblPr>
      <w:tblStyleRow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rsid w:val="00433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24EFF"/>
    <w:pPr>
      <w:spacing w:line="240" w:lineRule="auto"/>
    </w:pPr>
    <w:rPr>
      <w:sz w:val="20"/>
      <w:szCs w:val="20"/>
    </w:rPr>
  </w:style>
  <w:style w:type="character" w:customStyle="1" w:styleId="FootnoteTextChar">
    <w:name w:val="Footnote Text Char"/>
    <w:basedOn w:val="DefaultParagraphFont"/>
    <w:link w:val="FootnoteText"/>
    <w:uiPriority w:val="99"/>
    <w:semiHidden/>
    <w:rsid w:val="00224EFF"/>
    <w:rPr>
      <w:sz w:val="20"/>
      <w:szCs w:val="20"/>
    </w:rPr>
  </w:style>
  <w:style w:type="character" w:styleId="FootnoteReference">
    <w:name w:val="footnote reference"/>
    <w:basedOn w:val="DefaultParagraphFont"/>
    <w:uiPriority w:val="99"/>
    <w:semiHidden/>
    <w:unhideWhenUsed/>
    <w:rsid w:val="00224EFF"/>
    <w:rPr>
      <w:vertAlign w:val="superscript"/>
    </w:rPr>
  </w:style>
  <w:style w:type="character" w:styleId="UnresolvedMention">
    <w:name w:val="Unresolved Mention"/>
    <w:basedOn w:val="DefaultParagraphFont"/>
    <w:uiPriority w:val="99"/>
    <w:semiHidden/>
    <w:unhideWhenUsed/>
    <w:rsid w:val="00B50D8D"/>
    <w:rPr>
      <w:color w:val="605E5C"/>
      <w:shd w:val="clear" w:color="auto" w:fill="E1DFDD"/>
    </w:rPr>
  </w:style>
  <w:style w:type="character" w:customStyle="1" w:styleId="Superscript">
    <w:name w:val="Superscript"/>
    <w:uiPriority w:val="99"/>
    <w:rsid w:val="00526875"/>
    <w:rPr>
      <w:vertAlign w:val="superscript"/>
    </w:rPr>
  </w:style>
  <w:style w:type="character" w:customStyle="1" w:styleId="Bold">
    <w:name w:val="Bold"/>
    <w:uiPriority w:val="99"/>
    <w:rsid w:val="00526875"/>
    <w:rPr>
      <w:b/>
      <w:bCs/>
    </w:rPr>
  </w:style>
  <w:style w:type="paragraph" w:customStyle="1" w:styleId="CDIFigure-Table-Title">
    <w:name w:val="CDI_Figure-Table - Title"/>
    <w:basedOn w:val="Normal"/>
    <w:uiPriority w:val="99"/>
    <w:rsid w:val="008019B9"/>
    <w:pPr>
      <w:keepNext/>
      <w:suppressAutoHyphens/>
      <w:autoSpaceDE w:val="0"/>
      <w:autoSpaceDN w:val="0"/>
      <w:adjustRightInd w:val="0"/>
      <w:spacing w:after="120"/>
      <w:textAlignment w:val="center"/>
    </w:pPr>
    <w:rPr>
      <w:rFonts w:cs="Minion3-Bold"/>
      <w:b/>
      <w:bCs/>
      <w:szCs w:val="23"/>
      <w:lang w:val="en-GB"/>
    </w:rPr>
  </w:style>
  <w:style w:type="paragraph" w:customStyle="1" w:styleId="CDIFigure-Table-Footnote">
    <w:name w:val="CDI_Figure-Table - Footnote"/>
    <w:basedOn w:val="Normal"/>
    <w:link w:val="CDIFigure-Table-FootnoteChar"/>
    <w:uiPriority w:val="99"/>
    <w:rsid w:val="008019B9"/>
    <w:pPr>
      <w:autoSpaceDE w:val="0"/>
      <w:autoSpaceDN w:val="0"/>
      <w:adjustRightInd w:val="0"/>
      <w:spacing w:before="40"/>
      <w:ind w:left="284" w:hanging="284"/>
      <w:textAlignment w:val="center"/>
    </w:pPr>
    <w:rPr>
      <w:rFonts w:cs="Minion3Caption-Regular"/>
      <w:sz w:val="16"/>
      <w:szCs w:val="16"/>
      <w:lang w:val="en-GB"/>
    </w:rPr>
  </w:style>
  <w:style w:type="paragraph" w:styleId="BodyText">
    <w:name w:val="Body Text"/>
    <w:basedOn w:val="NoParagraphStyle"/>
    <w:link w:val="BodyTextChar"/>
    <w:uiPriority w:val="99"/>
    <w:rsid w:val="00807D45"/>
    <w:pPr>
      <w:spacing w:before="170"/>
      <w:jc w:val="both"/>
    </w:pPr>
    <w:rPr>
      <w:rFonts w:ascii="Minion3-Regular" w:hAnsi="Minion3-Regular" w:cs="Minion3-Regular"/>
      <w:sz w:val="22"/>
      <w:szCs w:val="22"/>
    </w:rPr>
  </w:style>
  <w:style w:type="character" w:customStyle="1" w:styleId="BodyTextChar">
    <w:name w:val="Body Text Char"/>
    <w:basedOn w:val="DefaultParagraphFont"/>
    <w:link w:val="BodyText"/>
    <w:uiPriority w:val="99"/>
    <w:rsid w:val="00807D45"/>
    <w:rPr>
      <w:rFonts w:ascii="Minion3-Regular" w:hAnsi="Minion3-Regular" w:cs="Minion3-Regular"/>
      <w:color w:val="000000"/>
      <w:lang w:val="en-GB"/>
    </w:rPr>
  </w:style>
  <w:style w:type="character" w:customStyle="1" w:styleId="Italic">
    <w:name w:val="Italic"/>
    <w:uiPriority w:val="99"/>
    <w:rsid w:val="00697039"/>
    <w:rPr>
      <w:i/>
      <w:iCs/>
    </w:rPr>
  </w:style>
  <w:style w:type="character" w:customStyle="1" w:styleId="CDIFigure-Table-FootnoteChar">
    <w:name w:val="CDI_Figure-Table - Footnote Char"/>
    <w:basedOn w:val="DefaultParagraphFont"/>
    <w:link w:val="CDIFigure-Table-Footnote"/>
    <w:uiPriority w:val="99"/>
    <w:rsid w:val="008019B9"/>
    <w:rPr>
      <w:rFonts w:ascii="Calibri" w:hAnsi="Calibri" w:cs="Minion3Caption-Regular"/>
      <w:sz w:val="16"/>
      <w:szCs w:val="16"/>
      <w:lang w:val="en-GB"/>
      <w14:ligatures w14:val="standardContextual"/>
    </w:rPr>
  </w:style>
  <w:style w:type="paragraph" w:customStyle="1" w:styleId="CDIBulletsL1">
    <w:name w:val="CDI_Bullets L1"/>
    <w:basedOn w:val="Normal"/>
    <w:uiPriority w:val="99"/>
    <w:rsid w:val="008019B9"/>
    <w:pPr>
      <w:numPr>
        <w:numId w:val="18"/>
      </w:numPr>
      <w:suppressAutoHyphens/>
      <w:autoSpaceDE w:val="0"/>
      <w:autoSpaceDN w:val="0"/>
      <w:adjustRightInd w:val="0"/>
      <w:ind w:left="714" w:hanging="357"/>
      <w:textAlignment w:val="center"/>
    </w:pPr>
    <w:rPr>
      <w:rFonts w:cs="Minion3-Regular"/>
      <w:szCs w:val="23"/>
      <w:lang w:val="en-GB"/>
    </w:rPr>
  </w:style>
  <w:style w:type="paragraph" w:customStyle="1" w:styleId="CDINumberedList1L1">
    <w:name w:val="CDI_Numbered List (1.) L1"/>
    <w:basedOn w:val="Normal"/>
    <w:uiPriority w:val="99"/>
    <w:rsid w:val="008019B9"/>
    <w:pPr>
      <w:numPr>
        <w:numId w:val="17"/>
      </w:numPr>
      <w:autoSpaceDE w:val="0"/>
      <w:autoSpaceDN w:val="0"/>
      <w:adjustRightInd w:val="0"/>
      <w:ind w:left="397" w:hanging="397"/>
      <w:textAlignment w:val="center"/>
    </w:pPr>
    <w:rPr>
      <w:rFonts w:cs="Minion3-Regular"/>
      <w:szCs w:val="23"/>
      <w:lang w:val="en-GB"/>
    </w:rPr>
  </w:style>
  <w:style w:type="table" w:styleId="TableGridLight">
    <w:name w:val="Grid Table Light"/>
    <w:basedOn w:val="TableNormal"/>
    <w:uiPriority w:val="40"/>
    <w:rsid w:val="00D7327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tyle1">
    <w:name w:val="Style1"/>
    <w:basedOn w:val="TableNormal"/>
    <w:uiPriority w:val="99"/>
    <w:rsid w:val="005E3E4C"/>
    <w:pPr>
      <w:spacing w:after="0" w:line="240" w:lineRule="auto"/>
    </w:pPr>
    <w:tblPr/>
    <w:tblStylePr w:type="firstRow">
      <w:rPr>
        <w:rFonts w:asciiTheme="minorHAnsi" w:hAnsiTheme="minorHAnsi"/>
        <w:sz w:val="18"/>
      </w:rPr>
    </w:tblStylePr>
  </w:style>
  <w:style w:type="paragraph" w:customStyle="1" w:styleId="CDIBoxBulletGreen">
    <w:name w:val="CDI_Box Bullet Green"/>
    <w:basedOn w:val="Normal"/>
    <w:qFormat/>
    <w:rsid w:val="00AA78FF"/>
    <w:pPr>
      <w:numPr>
        <w:numId w:val="13"/>
      </w:numPr>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spacing w:before="120" w:after="120"/>
      <w:ind w:left="357" w:hanging="357"/>
      <w:contextualSpacing/>
    </w:pPr>
    <w:rPr>
      <w:rFonts w:eastAsia="Arial"/>
      <w:kern w:val="2"/>
      <w:szCs w:val="24"/>
      <w:lang w:eastAsia="en-US"/>
    </w:rPr>
  </w:style>
  <w:style w:type="paragraph" w:customStyle="1" w:styleId="CDIBoxHeadingGreen">
    <w:name w:val="CDI_Box Heading Green"/>
    <w:basedOn w:val="Normal"/>
    <w:qFormat/>
    <w:rsid w:val="00AA78FF"/>
    <w:pPr>
      <w:keepNext/>
      <w:keepLines/>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outlineLvl w:val="2"/>
    </w:pPr>
    <w:rPr>
      <w:rFonts w:ascii="Arial" w:eastAsia="Times New Roman" w:hAnsi="Arial" w:cs="Times New Roman"/>
      <w:color w:val="033636" w:themeColor="text2"/>
      <w:kern w:val="2"/>
      <w:sz w:val="32"/>
      <w:szCs w:val="24"/>
      <w:lang w:eastAsia="en-US"/>
    </w:rPr>
  </w:style>
  <w:style w:type="paragraph" w:customStyle="1" w:styleId="CDIBoxTextGreen">
    <w:name w:val="CDI_Box Text Green"/>
    <w:basedOn w:val="Normal"/>
    <w:qFormat/>
    <w:rsid w:val="00AA78FF"/>
    <w:pPr>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spacing w:before="120" w:after="120"/>
    </w:pPr>
  </w:style>
  <w:style w:type="paragraph" w:customStyle="1" w:styleId="CDIDOIInformation">
    <w:name w:val="CDI_DOI Information"/>
    <w:basedOn w:val="Normal"/>
    <w:qFormat/>
    <w:rsid w:val="003F5172"/>
    <w:rPr>
      <w:rFonts w:ascii="Arial Narrow" w:hAnsi="Arial Narrow"/>
      <w:sz w:val="20"/>
    </w:rPr>
  </w:style>
  <w:style w:type="paragraph" w:customStyle="1" w:styleId="CDIFigure-Table-ImagePlaceholder">
    <w:name w:val="CDI_Figure-Table - Image Placeholder"/>
    <w:basedOn w:val="Normal"/>
    <w:qFormat/>
    <w:rsid w:val="00223F42"/>
    <w:pPr>
      <w:spacing w:after="240"/>
      <w:jc w:val="center"/>
    </w:pPr>
  </w:style>
  <w:style w:type="paragraph" w:customStyle="1" w:styleId="CDIFigure-Table-FirstFootnote">
    <w:name w:val="CDI_Figure-Table - First Footnote"/>
    <w:basedOn w:val="CDIFigure-Table-Footnote"/>
    <w:qFormat/>
    <w:rsid w:val="00937F3C"/>
    <w:pPr>
      <w:spacing w:before="240"/>
    </w:pPr>
  </w:style>
  <w:style w:type="paragraph" w:customStyle="1" w:styleId="NumberedList1L1">
    <w:name w:val="Numbered List (1.) L1"/>
    <w:basedOn w:val="BodyText"/>
    <w:uiPriority w:val="99"/>
    <w:rsid w:val="00807D45"/>
    <w:pPr>
      <w:ind w:left="397" w:hanging="397"/>
      <w:jc w:val="left"/>
    </w:pPr>
  </w:style>
  <w:style w:type="character" w:customStyle="1" w:styleId="NoBreak">
    <w:name w:val="No Break"/>
    <w:uiPriority w:val="99"/>
    <w:rsid w:val="00807D45"/>
  </w:style>
  <w:style w:type="character" w:customStyle="1" w:styleId="URL">
    <w:name w:val="URL"/>
    <w:uiPriority w:val="99"/>
    <w:rsid w:val="00807D45"/>
    <w:rPr>
      <w:color w:val="000000"/>
      <w:u w:val="thick"/>
    </w:rPr>
  </w:style>
  <w:style w:type="paragraph" w:customStyle="1" w:styleId="NoParagraphStyle">
    <w:name w:val="[No Paragraph Style]"/>
    <w:rsid w:val="00EA1A80"/>
    <w:pPr>
      <w:autoSpaceDE w:val="0"/>
      <w:autoSpaceDN w:val="0"/>
      <w:adjustRightInd w:val="0"/>
      <w:spacing w:after="0" w:line="288" w:lineRule="auto"/>
      <w:textAlignment w:val="center"/>
    </w:pPr>
    <w:rPr>
      <w:rFonts w:ascii="MyriadPro-Bold" w:hAnsi="MyriadPro-Bold"/>
      <w:color w:val="000000"/>
      <w:sz w:val="24"/>
      <w:szCs w:val="24"/>
      <w:lang w:val="en-GB"/>
    </w:rPr>
  </w:style>
  <w:style w:type="paragraph" w:styleId="Footer">
    <w:name w:val="footer"/>
    <w:basedOn w:val="Normal"/>
    <w:link w:val="FooterChar"/>
    <w:uiPriority w:val="99"/>
    <w:unhideWhenUsed/>
    <w:rsid w:val="00AC659C"/>
    <w:pPr>
      <w:tabs>
        <w:tab w:val="center" w:pos="4513"/>
        <w:tab w:val="right" w:pos="9026"/>
      </w:tabs>
      <w:spacing w:before="0" w:line="240" w:lineRule="auto"/>
    </w:pPr>
  </w:style>
  <w:style w:type="character" w:customStyle="1" w:styleId="FooterChar">
    <w:name w:val="Footer Char"/>
    <w:basedOn w:val="DefaultParagraphFont"/>
    <w:link w:val="Footer"/>
    <w:uiPriority w:val="99"/>
    <w:rsid w:val="00AC659C"/>
    <w:rPr>
      <w:rFonts w:ascii="Calibri" w:hAnsi="Calibri"/>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42280">
      <w:bodyDiv w:val="1"/>
      <w:marLeft w:val="0"/>
      <w:marRight w:val="0"/>
      <w:marTop w:val="0"/>
      <w:marBottom w:val="0"/>
      <w:divBdr>
        <w:top w:val="none" w:sz="0" w:space="0" w:color="auto"/>
        <w:left w:val="none" w:sz="0" w:space="0" w:color="auto"/>
        <w:bottom w:val="none" w:sz="0" w:space="0" w:color="auto"/>
        <w:right w:val="none" w:sz="0" w:space="0" w:color="auto"/>
      </w:divBdr>
    </w:div>
    <w:div w:id="387656109">
      <w:bodyDiv w:val="1"/>
      <w:marLeft w:val="0"/>
      <w:marRight w:val="0"/>
      <w:marTop w:val="0"/>
      <w:marBottom w:val="0"/>
      <w:divBdr>
        <w:top w:val="none" w:sz="0" w:space="0" w:color="auto"/>
        <w:left w:val="none" w:sz="0" w:space="0" w:color="auto"/>
        <w:bottom w:val="none" w:sz="0" w:space="0" w:color="auto"/>
        <w:right w:val="none" w:sz="0" w:space="0" w:color="auto"/>
      </w:divBdr>
    </w:div>
    <w:div w:id="574974463">
      <w:bodyDiv w:val="1"/>
      <w:marLeft w:val="0"/>
      <w:marRight w:val="0"/>
      <w:marTop w:val="0"/>
      <w:marBottom w:val="0"/>
      <w:divBdr>
        <w:top w:val="none" w:sz="0" w:space="0" w:color="auto"/>
        <w:left w:val="none" w:sz="0" w:space="0" w:color="auto"/>
        <w:bottom w:val="none" w:sz="0" w:space="0" w:color="auto"/>
        <w:right w:val="none" w:sz="0" w:space="0" w:color="auto"/>
      </w:divBdr>
    </w:div>
    <w:div w:id="935526654">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image" Target="media/image7.jpg"/><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6.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image" Target="media/image2.jp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2.xml"/><Relationship Id="rId22"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I:\Staging\CDI\OpenCDI\2023\template-2023.dotx" TargetMode="External"/></Relationships>
</file>

<file path=word/theme/theme1.xml><?xml version="1.0" encoding="utf-8"?>
<a:theme xmlns:a="http://schemas.openxmlformats.org/drawingml/2006/main" name="Office Theme">
  <a:themeElements>
    <a:clrScheme name="ACDC minus Blue, Purple, Stone">
      <a:dk1>
        <a:srgbClr val="000000"/>
      </a:dk1>
      <a:lt1>
        <a:srgbClr val="FFFFFF"/>
      </a:lt1>
      <a:dk2>
        <a:srgbClr val="033636"/>
      </a:dk2>
      <a:lt2>
        <a:srgbClr val="00DCA1"/>
      </a:lt2>
      <a:accent1>
        <a:srgbClr val="083E9C"/>
      </a:accent1>
      <a:accent2>
        <a:srgbClr val="511D81"/>
      </a:accent2>
      <a:accent3>
        <a:srgbClr val="A10000"/>
      </a:accent3>
      <a:accent4>
        <a:srgbClr val="C55500"/>
      </a:accent4>
      <a:accent5>
        <a:srgbClr val="FF6E73"/>
      </a:accent5>
      <a:accent6>
        <a:srgbClr val="FFD031"/>
      </a:accent6>
      <a:hlink>
        <a:srgbClr val="184174"/>
      </a:hlink>
      <a:folHlink>
        <a:srgbClr val="6D6D7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2019-03-15T00:00:00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E3CEDF-0107-42E3-93CC-370A8D395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template-2023.dotx</Template>
  <TotalTime>3</TotalTime>
  <Pages>12</Pages>
  <Words>3138</Words>
  <Characters>19711</Characters>
  <Application>Microsoft Office Word</Application>
  <DocSecurity>0</DocSecurity>
  <Lines>164</Lines>
  <Paragraphs>45</Paragraphs>
  <ScaleCrop>false</ScaleCrop>
  <HeadingPairs>
    <vt:vector size="2" baseType="variant">
      <vt:variant>
        <vt:lpstr>Title</vt:lpstr>
      </vt:variant>
      <vt:variant>
        <vt:i4>1</vt:i4>
      </vt:variant>
    </vt:vector>
  </HeadingPairs>
  <TitlesOfParts>
    <vt:vector size="1" baseType="lpstr">
      <vt:lpstr>Communicable Diseases Intelligence - A severe case of swimmer’s itch in Victoria, Australia with bullous eruption</vt:lpstr>
    </vt:vector>
  </TitlesOfParts>
  <Company>Australian Government, Department of Health</Company>
  <LinksUpToDate>false</LinksUpToDate>
  <CharactersWithSpaces>22804</CharactersWithSpaces>
  <SharedDoc>false</SharedDoc>
  <HyperlinkBase>http://www.health.gov.au</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Communicable Diseases Intelligence - A severe case of swimmer’s itch in Victoria, Australia with bullous eruption</dc:title>
  <dc:subject>Cutaneous schistosomiasis (swimmer’s itch) is an itchy maculopapular rash that follows skin penetration by cercariae of nonhuman schistosomes, during fresh or brackish water exposure. It is typically a mild skin reaction that settles in one to three weeks. Here we describe a case of severe swimmer’s itch acquired in Victoria, Australia, with widespread bullous lesions on water-exposed areas of skin. This case presented a diagnostic challenge and is unique given the severity of the reaction and the geographic occurrence; the condition rarely causes bullae, and to date has been reported only in more northern latitudes of Australia. With climate change trends, swimmer’s itch is likely to become increasingly prevalent in more temperate regions, illustrating the importance of clinician awareness of this condition.</dc:subject>
  <dc:creator>Michael Sangiorgio; Karen Liu; Lachlan Lau; Charlotte Krones; Adrian Tramontana; James Molton; Alex Nirenberg</dc:creator>
  <cp:keywords>Swimmer’s itch; cercarial dermatitis; avian schistosomiasis</cp:keywords>
  <dc:description>© Commonwealth of Australia CC BY-NC-ND ISSN: 2209-6051 (Online)</dc:description>
  <cp:lastModifiedBy>THOMPSON, Lisa</cp:lastModifiedBy>
  <cp:revision>2</cp:revision>
  <cp:lastPrinted>2024-03-07T01:06:00Z</cp:lastPrinted>
  <dcterms:created xsi:type="dcterms:W3CDTF">2024-04-07T22:41:00Z</dcterms:created>
  <dcterms:modified xsi:type="dcterms:W3CDTF">2024-04-07T22:41:00Z</dcterms:modified>
  <cp:category>Case report</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lpwstr>2024</vt:lpwstr>
  </property>
  <property fmtid="{D5CDD505-2E9C-101B-9397-08002B2CF9AE}" pid="3" name="Vol">
    <vt:i4>48</vt:i4>
  </property>
  <property fmtid="{D5CDD505-2E9C-101B-9397-08002B2CF9AE}" pid="4" name="ePubDate">
    <vt:lpwstr>10/04/2024</vt:lpwstr>
  </property>
  <property fmtid="{D5CDD505-2E9C-101B-9397-08002B2CF9AE}" pid="5" name="DOI">
    <vt:lpwstr>https://doi.org/10.33321/cdi.2024.48.8</vt:lpwstr>
  </property>
</Properties>
</file>