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7A" w:rsidRPr="00A34E9C" w:rsidRDefault="00D8067A" w:rsidP="00D34BAD">
      <w:bookmarkStart w:id="0" w:name="_Toc279153756"/>
      <w:r>
        <w:t xml:space="preserve"> </w:t>
      </w:r>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D8067A" w:rsidRPr="00A34E9C" w:rsidTr="003340DD">
        <w:trPr>
          <w:trHeight w:val="8339"/>
        </w:trPr>
        <w:tc>
          <w:tcPr>
            <w:tcW w:w="5000" w:type="pct"/>
          </w:tcPr>
          <w:p w:rsidR="00D8067A" w:rsidRDefault="00D8067A" w:rsidP="00D34BAD">
            <w:pPr>
              <w:pStyle w:val="NoSpacing"/>
              <w:spacing w:after="240" w:line="312" w:lineRule="auto"/>
              <w:rPr>
                <w:rFonts w:ascii="Tahoma" w:hAnsi="Tahoma" w:cs="Tahoma"/>
                <w:sz w:val="44"/>
                <w:szCs w:val="56"/>
                <w:lang w:val="en-AU"/>
              </w:rPr>
            </w:pPr>
            <w:r>
              <w:rPr>
                <w:rFonts w:ascii="Tahoma" w:hAnsi="Tahoma" w:cs="Tahoma"/>
                <w:sz w:val="44"/>
                <w:szCs w:val="56"/>
                <w:lang w:val="en-AU"/>
              </w:rPr>
              <w:t>1313</w:t>
            </w:r>
          </w:p>
          <w:p w:rsidR="00D8067A" w:rsidRPr="000F7949" w:rsidRDefault="00D8067A" w:rsidP="00D55001">
            <w:pPr>
              <w:pStyle w:val="NoSpacing"/>
              <w:rPr>
                <w:rFonts w:ascii="Tahoma" w:hAnsi="Tahoma" w:cs="Tahoma"/>
                <w:b/>
                <w:bCs/>
                <w:sz w:val="44"/>
                <w:szCs w:val="56"/>
                <w:highlight w:val="yellow"/>
              </w:rPr>
            </w:pPr>
            <w:r>
              <w:rPr>
                <w:rFonts w:ascii="Tahoma" w:hAnsi="Tahoma" w:cs="Tahoma"/>
                <w:sz w:val="44"/>
                <w:szCs w:val="56"/>
                <w:lang w:val="en-AU"/>
              </w:rPr>
              <w:t>Final</w:t>
            </w:r>
            <w:r w:rsidRPr="00A00E1F">
              <w:rPr>
                <w:rFonts w:ascii="Tahoma" w:hAnsi="Tahoma" w:cs="Tahoma"/>
                <w:sz w:val="44"/>
                <w:szCs w:val="56"/>
                <w:lang w:val="en-AU"/>
              </w:rPr>
              <w:t xml:space="preserve"> prot</w:t>
            </w:r>
            <w:r>
              <w:rPr>
                <w:rFonts w:ascii="Tahoma" w:hAnsi="Tahoma" w:cs="Tahoma"/>
                <w:sz w:val="44"/>
                <w:szCs w:val="56"/>
                <w:lang w:val="en-AU"/>
              </w:rPr>
              <w:t>ocol to guide the assessment of b</w:t>
            </w:r>
            <w:r w:rsidRPr="000F7949">
              <w:rPr>
                <w:rFonts w:ascii="Tahoma" w:hAnsi="Tahoma" w:cs="Tahoma"/>
                <w:bCs/>
                <w:sz w:val="44"/>
                <w:szCs w:val="56"/>
              </w:rPr>
              <w:t>one mineral density analyses using Dual Energy X-Ray Absorptiometry (DXA) in breast cancer patients receiving aromatase inhibitor treatment</w:t>
            </w:r>
          </w:p>
          <w:p w:rsidR="00D8067A" w:rsidRPr="00A34E9C" w:rsidRDefault="00D8067A" w:rsidP="000F7949">
            <w:pPr>
              <w:pStyle w:val="NoSpacing"/>
              <w:spacing w:after="240" w:line="312" w:lineRule="auto"/>
              <w:rPr>
                <w:rFonts w:ascii="Tahoma" w:hAnsi="Tahoma" w:cs="Tahoma"/>
                <w:sz w:val="48"/>
                <w:szCs w:val="56"/>
              </w:rPr>
            </w:pPr>
          </w:p>
        </w:tc>
      </w:tr>
      <w:tr w:rsidR="00D8067A" w:rsidRPr="00A34E9C" w:rsidTr="00D61C4E">
        <w:tc>
          <w:tcPr>
            <w:tcW w:w="5000" w:type="pct"/>
          </w:tcPr>
          <w:p w:rsidR="00D8067A" w:rsidRPr="00FE705C" w:rsidRDefault="00F93196" w:rsidP="00DB05CC">
            <w:pPr>
              <w:pStyle w:val="NoSpacing"/>
              <w:spacing w:after="240" w:line="312" w:lineRule="auto"/>
              <w:rPr>
                <w:rFonts w:ascii="Tahoma" w:hAnsi="Tahoma" w:cs="Tahoma"/>
                <w:sz w:val="32"/>
                <w:szCs w:val="40"/>
              </w:rPr>
            </w:pPr>
            <w:r>
              <w:rPr>
                <w:rFonts w:ascii="Tahoma" w:hAnsi="Tahoma" w:cs="Tahoma"/>
                <w:sz w:val="32"/>
                <w:szCs w:val="40"/>
                <w:lang w:val="en-AU"/>
              </w:rPr>
              <w:t xml:space="preserve">July </w:t>
            </w:r>
            <w:r w:rsidR="00D8067A">
              <w:rPr>
                <w:rFonts w:ascii="Tahoma" w:hAnsi="Tahoma" w:cs="Tahoma"/>
                <w:sz w:val="32"/>
                <w:szCs w:val="40"/>
                <w:lang w:val="en-AU"/>
              </w:rPr>
              <w:t>2013</w:t>
            </w:r>
          </w:p>
        </w:tc>
      </w:tr>
    </w:tbl>
    <w:p w:rsidR="00D8067A" w:rsidRPr="00A34E9C" w:rsidRDefault="00D8067A" w:rsidP="00D34BAD"/>
    <w:p w:rsidR="00D8067A" w:rsidRPr="00A34E9C" w:rsidRDefault="00D8067A" w:rsidP="00D34BAD">
      <w:pPr>
        <w:rPr>
          <w:rFonts w:ascii="Cambria" w:hAnsi="Cambria" w:cs="Times New Roman"/>
          <w:b/>
          <w:i/>
          <w:color w:val="365F91"/>
          <w:sz w:val="22"/>
          <w:szCs w:val="28"/>
          <w:lang w:val="en-US" w:eastAsia="en-US"/>
        </w:rPr>
      </w:pPr>
      <w:r w:rsidRPr="00A34E9C">
        <w:br w:type="page"/>
      </w:r>
    </w:p>
    <w:sdt>
      <w:sdtPr>
        <w:id w:val="1530910643"/>
        <w:docPartObj>
          <w:docPartGallery w:val="Table of Contents"/>
          <w:docPartUnique/>
        </w:docPartObj>
      </w:sdtPr>
      <w:sdtEndPr>
        <w:rPr>
          <w:rFonts w:eastAsia="SimSun" w:cs="Tahoma"/>
          <w:bCs/>
          <w:noProof/>
          <w:color w:val="auto"/>
          <w:sz w:val="20"/>
          <w:szCs w:val="20"/>
          <w:lang w:val="en-AU" w:eastAsia="zh-CN"/>
        </w:rPr>
      </w:sdtEndPr>
      <w:sdtContent>
        <w:p w:rsidR="005E09EC" w:rsidRDefault="005E09EC">
          <w:pPr>
            <w:pStyle w:val="TOCHeading0"/>
          </w:pPr>
          <w:r>
            <w:t>Table of Contents</w:t>
          </w:r>
        </w:p>
        <w:p w:rsidR="005E09EC" w:rsidRDefault="005E09EC">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2968480" w:history="1">
            <w:r w:rsidRPr="002920C7">
              <w:rPr>
                <w:rStyle w:val="Hyperlink"/>
              </w:rPr>
              <w:t>MSAC and PASC</w:t>
            </w:r>
            <w:r>
              <w:rPr>
                <w:webHidden/>
              </w:rPr>
              <w:tab/>
            </w:r>
            <w:r>
              <w:rPr>
                <w:webHidden/>
              </w:rPr>
              <w:fldChar w:fldCharType="begin"/>
            </w:r>
            <w:r>
              <w:rPr>
                <w:webHidden/>
              </w:rPr>
              <w:instrText xml:space="preserve"> PAGEREF _Toc362968480 \h </w:instrText>
            </w:r>
            <w:r>
              <w:rPr>
                <w:webHidden/>
              </w:rPr>
            </w:r>
            <w:r>
              <w:rPr>
                <w:webHidden/>
              </w:rPr>
              <w:fldChar w:fldCharType="separate"/>
            </w:r>
            <w:r>
              <w:rPr>
                <w:webHidden/>
              </w:rPr>
              <w:t>3</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81" w:history="1">
            <w:r w:rsidRPr="002920C7">
              <w:rPr>
                <w:rStyle w:val="Hyperlink"/>
              </w:rPr>
              <w:t>Purpose of this document</w:t>
            </w:r>
            <w:r>
              <w:rPr>
                <w:webHidden/>
              </w:rPr>
              <w:tab/>
            </w:r>
            <w:r>
              <w:rPr>
                <w:webHidden/>
              </w:rPr>
              <w:fldChar w:fldCharType="begin"/>
            </w:r>
            <w:r>
              <w:rPr>
                <w:webHidden/>
              </w:rPr>
              <w:instrText xml:space="preserve"> PAGEREF _Toc362968481 \h </w:instrText>
            </w:r>
            <w:r>
              <w:rPr>
                <w:webHidden/>
              </w:rPr>
            </w:r>
            <w:r>
              <w:rPr>
                <w:webHidden/>
              </w:rPr>
              <w:fldChar w:fldCharType="separate"/>
            </w:r>
            <w:r>
              <w:rPr>
                <w:webHidden/>
              </w:rPr>
              <w:t>3</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82" w:history="1">
            <w:r w:rsidRPr="002920C7">
              <w:rPr>
                <w:rStyle w:val="Hyperlink"/>
              </w:rPr>
              <w:t>Purpose of application</w:t>
            </w:r>
            <w:r>
              <w:rPr>
                <w:webHidden/>
              </w:rPr>
              <w:tab/>
            </w:r>
            <w:r>
              <w:rPr>
                <w:webHidden/>
              </w:rPr>
              <w:fldChar w:fldCharType="begin"/>
            </w:r>
            <w:r>
              <w:rPr>
                <w:webHidden/>
              </w:rPr>
              <w:instrText xml:space="preserve"> PAGEREF _Toc362968482 \h </w:instrText>
            </w:r>
            <w:r>
              <w:rPr>
                <w:webHidden/>
              </w:rPr>
            </w:r>
            <w:r>
              <w:rPr>
                <w:webHidden/>
              </w:rPr>
              <w:fldChar w:fldCharType="separate"/>
            </w:r>
            <w:r>
              <w:rPr>
                <w:webHidden/>
              </w:rPr>
              <w:t>4</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83" w:history="1">
            <w:r w:rsidRPr="002920C7">
              <w:rPr>
                <w:rStyle w:val="Hyperlink"/>
              </w:rPr>
              <w:t>Intervention</w:t>
            </w:r>
            <w:r>
              <w:rPr>
                <w:webHidden/>
              </w:rPr>
              <w:tab/>
            </w:r>
            <w:r>
              <w:rPr>
                <w:webHidden/>
              </w:rPr>
              <w:fldChar w:fldCharType="begin"/>
            </w:r>
            <w:r>
              <w:rPr>
                <w:webHidden/>
              </w:rPr>
              <w:instrText xml:space="preserve"> PAGEREF _Toc362968483 \h </w:instrText>
            </w:r>
            <w:r>
              <w:rPr>
                <w:webHidden/>
              </w:rPr>
            </w:r>
            <w:r>
              <w:rPr>
                <w:webHidden/>
              </w:rPr>
              <w:fldChar w:fldCharType="separate"/>
            </w:r>
            <w:r>
              <w:rPr>
                <w:webHidden/>
              </w:rPr>
              <w:t>4</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84" w:history="1">
            <w:r w:rsidRPr="002920C7">
              <w:rPr>
                <w:rStyle w:val="Hyperlink"/>
              </w:rPr>
              <w:t>Description</w:t>
            </w:r>
            <w:r>
              <w:rPr>
                <w:webHidden/>
              </w:rPr>
              <w:tab/>
            </w:r>
            <w:r>
              <w:rPr>
                <w:webHidden/>
              </w:rPr>
              <w:fldChar w:fldCharType="begin"/>
            </w:r>
            <w:r>
              <w:rPr>
                <w:webHidden/>
              </w:rPr>
              <w:instrText xml:space="preserve"> PAGEREF _Toc362968484 \h </w:instrText>
            </w:r>
            <w:r>
              <w:rPr>
                <w:webHidden/>
              </w:rPr>
            </w:r>
            <w:r>
              <w:rPr>
                <w:webHidden/>
              </w:rPr>
              <w:fldChar w:fldCharType="separate"/>
            </w:r>
            <w:r>
              <w:rPr>
                <w:webHidden/>
              </w:rPr>
              <w:t>4</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85" w:history="1">
            <w:r w:rsidRPr="002920C7">
              <w:rPr>
                <w:rStyle w:val="Hyperlink"/>
                <w:b/>
                <w:lang w:eastAsia="ja-JP"/>
              </w:rPr>
              <w:t>Fracture risk</w:t>
            </w:r>
            <w:r>
              <w:rPr>
                <w:webHidden/>
              </w:rPr>
              <w:tab/>
            </w:r>
            <w:r>
              <w:rPr>
                <w:webHidden/>
              </w:rPr>
              <w:fldChar w:fldCharType="begin"/>
            </w:r>
            <w:r>
              <w:rPr>
                <w:webHidden/>
              </w:rPr>
              <w:instrText xml:space="preserve"> PAGEREF _Toc362968485 \h </w:instrText>
            </w:r>
            <w:r>
              <w:rPr>
                <w:webHidden/>
              </w:rPr>
            </w:r>
            <w:r>
              <w:rPr>
                <w:webHidden/>
              </w:rPr>
              <w:fldChar w:fldCharType="separate"/>
            </w:r>
            <w:r>
              <w:rPr>
                <w:webHidden/>
              </w:rPr>
              <w:t>8</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86" w:history="1">
            <w:r w:rsidRPr="002920C7">
              <w:rPr>
                <w:rStyle w:val="Hyperlink"/>
              </w:rPr>
              <w:t>Administration, dose, frequency of administration, duration of the intervention</w:t>
            </w:r>
            <w:r>
              <w:rPr>
                <w:webHidden/>
              </w:rPr>
              <w:tab/>
            </w:r>
            <w:r>
              <w:rPr>
                <w:webHidden/>
              </w:rPr>
              <w:fldChar w:fldCharType="begin"/>
            </w:r>
            <w:r>
              <w:rPr>
                <w:webHidden/>
              </w:rPr>
              <w:instrText xml:space="preserve"> PAGEREF _Toc362968486 \h </w:instrText>
            </w:r>
            <w:r>
              <w:rPr>
                <w:webHidden/>
              </w:rPr>
            </w:r>
            <w:r>
              <w:rPr>
                <w:webHidden/>
              </w:rPr>
              <w:fldChar w:fldCharType="separate"/>
            </w:r>
            <w:r>
              <w:rPr>
                <w:webHidden/>
              </w:rPr>
              <w:t>9</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87" w:history="1">
            <w:r w:rsidRPr="002920C7">
              <w:rPr>
                <w:rStyle w:val="Hyperlink"/>
              </w:rPr>
              <w:t>Co-administered interventions</w:t>
            </w:r>
            <w:r>
              <w:rPr>
                <w:webHidden/>
              </w:rPr>
              <w:tab/>
            </w:r>
            <w:r>
              <w:rPr>
                <w:webHidden/>
              </w:rPr>
              <w:fldChar w:fldCharType="begin"/>
            </w:r>
            <w:r>
              <w:rPr>
                <w:webHidden/>
              </w:rPr>
              <w:instrText xml:space="preserve"> PAGEREF _Toc362968487 \h </w:instrText>
            </w:r>
            <w:r>
              <w:rPr>
                <w:webHidden/>
              </w:rPr>
            </w:r>
            <w:r>
              <w:rPr>
                <w:webHidden/>
              </w:rPr>
              <w:fldChar w:fldCharType="separate"/>
            </w:r>
            <w:r>
              <w:rPr>
                <w:webHidden/>
              </w:rPr>
              <w:t>10</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88" w:history="1">
            <w:r w:rsidRPr="002920C7">
              <w:rPr>
                <w:rStyle w:val="Hyperlink"/>
              </w:rPr>
              <w:t>Background</w:t>
            </w:r>
            <w:r>
              <w:rPr>
                <w:webHidden/>
              </w:rPr>
              <w:tab/>
            </w:r>
            <w:r>
              <w:rPr>
                <w:webHidden/>
              </w:rPr>
              <w:fldChar w:fldCharType="begin"/>
            </w:r>
            <w:r>
              <w:rPr>
                <w:webHidden/>
              </w:rPr>
              <w:instrText xml:space="preserve"> PAGEREF _Toc362968488 \h </w:instrText>
            </w:r>
            <w:r>
              <w:rPr>
                <w:webHidden/>
              </w:rPr>
            </w:r>
            <w:r>
              <w:rPr>
                <w:webHidden/>
              </w:rPr>
              <w:fldChar w:fldCharType="separate"/>
            </w:r>
            <w:r>
              <w:rPr>
                <w:webHidden/>
              </w:rPr>
              <w:t>13</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89" w:history="1">
            <w:r w:rsidRPr="002920C7">
              <w:rPr>
                <w:rStyle w:val="Hyperlink"/>
              </w:rPr>
              <w:t>Current arrangements for public reimbursement</w:t>
            </w:r>
            <w:r>
              <w:rPr>
                <w:webHidden/>
              </w:rPr>
              <w:tab/>
            </w:r>
            <w:r>
              <w:rPr>
                <w:webHidden/>
              </w:rPr>
              <w:fldChar w:fldCharType="begin"/>
            </w:r>
            <w:r>
              <w:rPr>
                <w:webHidden/>
              </w:rPr>
              <w:instrText xml:space="preserve"> PAGEREF _Toc362968489 \h </w:instrText>
            </w:r>
            <w:r>
              <w:rPr>
                <w:webHidden/>
              </w:rPr>
            </w:r>
            <w:r>
              <w:rPr>
                <w:webHidden/>
              </w:rPr>
              <w:fldChar w:fldCharType="separate"/>
            </w:r>
            <w:r>
              <w:rPr>
                <w:webHidden/>
              </w:rPr>
              <w:t>13</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90" w:history="1">
            <w:r w:rsidRPr="002920C7">
              <w:rPr>
                <w:rStyle w:val="Hyperlink"/>
              </w:rPr>
              <w:t>Regulatory status</w:t>
            </w:r>
            <w:r>
              <w:rPr>
                <w:webHidden/>
              </w:rPr>
              <w:tab/>
            </w:r>
            <w:r>
              <w:rPr>
                <w:webHidden/>
              </w:rPr>
              <w:fldChar w:fldCharType="begin"/>
            </w:r>
            <w:r>
              <w:rPr>
                <w:webHidden/>
              </w:rPr>
              <w:instrText xml:space="preserve"> PAGEREF _Toc362968490 \h </w:instrText>
            </w:r>
            <w:r>
              <w:rPr>
                <w:webHidden/>
              </w:rPr>
            </w:r>
            <w:r>
              <w:rPr>
                <w:webHidden/>
              </w:rPr>
              <w:fldChar w:fldCharType="separate"/>
            </w:r>
            <w:r>
              <w:rPr>
                <w:webHidden/>
              </w:rPr>
              <w:t>16</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91" w:history="1">
            <w:r w:rsidRPr="002920C7">
              <w:rPr>
                <w:rStyle w:val="Hyperlink"/>
              </w:rPr>
              <w:t>Patient population</w:t>
            </w:r>
            <w:r>
              <w:rPr>
                <w:webHidden/>
              </w:rPr>
              <w:tab/>
            </w:r>
            <w:r>
              <w:rPr>
                <w:webHidden/>
              </w:rPr>
              <w:fldChar w:fldCharType="begin"/>
            </w:r>
            <w:r>
              <w:rPr>
                <w:webHidden/>
              </w:rPr>
              <w:instrText xml:space="preserve"> PAGEREF _Toc362968491 \h </w:instrText>
            </w:r>
            <w:r>
              <w:rPr>
                <w:webHidden/>
              </w:rPr>
            </w:r>
            <w:r>
              <w:rPr>
                <w:webHidden/>
              </w:rPr>
              <w:fldChar w:fldCharType="separate"/>
            </w:r>
            <w:r>
              <w:rPr>
                <w:webHidden/>
              </w:rPr>
              <w:t>16</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92" w:history="1">
            <w:r w:rsidRPr="002920C7">
              <w:rPr>
                <w:rStyle w:val="Hyperlink"/>
              </w:rPr>
              <w:t>Proposed MBS listing</w:t>
            </w:r>
            <w:r>
              <w:rPr>
                <w:webHidden/>
              </w:rPr>
              <w:tab/>
            </w:r>
            <w:r>
              <w:rPr>
                <w:webHidden/>
              </w:rPr>
              <w:fldChar w:fldCharType="begin"/>
            </w:r>
            <w:r>
              <w:rPr>
                <w:webHidden/>
              </w:rPr>
              <w:instrText xml:space="preserve"> PAGEREF _Toc362968492 \h </w:instrText>
            </w:r>
            <w:r>
              <w:rPr>
                <w:webHidden/>
              </w:rPr>
            </w:r>
            <w:r>
              <w:rPr>
                <w:webHidden/>
              </w:rPr>
              <w:fldChar w:fldCharType="separate"/>
            </w:r>
            <w:r>
              <w:rPr>
                <w:webHidden/>
              </w:rPr>
              <w:t>18</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93" w:history="1">
            <w:r w:rsidRPr="002920C7">
              <w:rPr>
                <w:rStyle w:val="Hyperlink"/>
              </w:rPr>
              <w:t>Clinical place for the proposed intervention</w:t>
            </w:r>
            <w:r>
              <w:rPr>
                <w:webHidden/>
              </w:rPr>
              <w:tab/>
            </w:r>
            <w:r>
              <w:rPr>
                <w:webHidden/>
              </w:rPr>
              <w:fldChar w:fldCharType="begin"/>
            </w:r>
            <w:r>
              <w:rPr>
                <w:webHidden/>
              </w:rPr>
              <w:instrText xml:space="preserve"> PAGEREF _Toc362968493 \h </w:instrText>
            </w:r>
            <w:r>
              <w:rPr>
                <w:webHidden/>
              </w:rPr>
            </w:r>
            <w:r>
              <w:rPr>
                <w:webHidden/>
              </w:rPr>
              <w:fldChar w:fldCharType="separate"/>
            </w:r>
            <w:r>
              <w:rPr>
                <w:webHidden/>
              </w:rPr>
              <w:t>19</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94" w:history="1">
            <w:r w:rsidRPr="002920C7">
              <w:rPr>
                <w:rStyle w:val="Hyperlink"/>
              </w:rPr>
              <w:t>Comparator</w:t>
            </w:r>
            <w:r>
              <w:rPr>
                <w:webHidden/>
              </w:rPr>
              <w:tab/>
            </w:r>
            <w:r>
              <w:rPr>
                <w:webHidden/>
              </w:rPr>
              <w:fldChar w:fldCharType="begin"/>
            </w:r>
            <w:r>
              <w:rPr>
                <w:webHidden/>
              </w:rPr>
              <w:instrText xml:space="preserve"> PAGEREF _Toc362968494 \h </w:instrText>
            </w:r>
            <w:r>
              <w:rPr>
                <w:webHidden/>
              </w:rPr>
            </w:r>
            <w:r>
              <w:rPr>
                <w:webHidden/>
              </w:rPr>
              <w:fldChar w:fldCharType="separate"/>
            </w:r>
            <w:r>
              <w:rPr>
                <w:webHidden/>
              </w:rPr>
              <w:t>23</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95" w:history="1">
            <w:r w:rsidRPr="002920C7">
              <w:rPr>
                <w:rStyle w:val="Hyperlink"/>
              </w:rPr>
              <w:t>Clinical claim</w:t>
            </w:r>
            <w:r>
              <w:rPr>
                <w:webHidden/>
              </w:rPr>
              <w:tab/>
            </w:r>
            <w:r>
              <w:rPr>
                <w:webHidden/>
              </w:rPr>
              <w:fldChar w:fldCharType="begin"/>
            </w:r>
            <w:r>
              <w:rPr>
                <w:webHidden/>
              </w:rPr>
              <w:instrText xml:space="preserve"> PAGEREF _Toc362968495 \h </w:instrText>
            </w:r>
            <w:r>
              <w:rPr>
                <w:webHidden/>
              </w:rPr>
            </w:r>
            <w:r>
              <w:rPr>
                <w:webHidden/>
              </w:rPr>
              <w:fldChar w:fldCharType="separate"/>
            </w:r>
            <w:r>
              <w:rPr>
                <w:webHidden/>
              </w:rPr>
              <w:t>23</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96" w:history="1">
            <w:r w:rsidRPr="002920C7">
              <w:rPr>
                <w:rStyle w:val="Hyperlink"/>
              </w:rPr>
              <w:t>Outcomes and health care resources affected by introduction of proposed intervention</w:t>
            </w:r>
            <w:r>
              <w:rPr>
                <w:webHidden/>
              </w:rPr>
              <w:tab/>
            </w:r>
            <w:r>
              <w:rPr>
                <w:webHidden/>
              </w:rPr>
              <w:fldChar w:fldCharType="begin"/>
            </w:r>
            <w:r>
              <w:rPr>
                <w:webHidden/>
              </w:rPr>
              <w:instrText xml:space="preserve"> PAGEREF _Toc362968496 \h </w:instrText>
            </w:r>
            <w:r>
              <w:rPr>
                <w:webHidden/>
              </w:rPr>
            </w:r>
            <w:r>
              <w:rPr>
                <w:webHidden/>
              </w:rPr>
              <w:fldChar w:fldCharType="separate"/>
            </w:r>
            <w:r>
              <w:rPr>
                <w:webHidden/>
              </w:rPr>
              <w:t>25</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97" w:history="1">
            <w:r w:rsidRPr="002920C7">
              <w:rPr>
                <w:rStyle w:val="Hyperlink"/>
              </w:rPr>
              <w:t>Outcomes</w:t>
            </w:r>
            <w:r>
              <w:rPr>
                <w:webHidden/>
              </w:rPr>
              <w:tab/>
            </w:r>
            <w:r>
              <w:rPr>
                <w:webHidden/>
              </w:rPr>
              <w:fldChar w:fldCharType="begin"/>
            </w:r>
            <w:r>
              <w:rPr>
                <w:webHidden/>
              </w:rPr>
              <w:instrText xml:space="preserve"> PAGEREF _Toc362968497 \h </w:instrText>
            </w:r>
            <w:r>
              <w:rPr>
                <w:webHidden/>
              </w:rPr>
            </w:r>
            <w:r>
              <w:rPr>
                <w:webHidden/>
              </w:rPr>
              <w:fldChar w:fldCharType="separate"/>
            </w:r>
            <w:r>
              <w:rPr>
                <w:webHidden/>
              </w:rPr>
              <w:t>25</w:t>
            </w:r>
            <w:r>
              <w:rPr>
                <w:webHidden/>
              </w:rPr>
              <w:fldChar w:fldCharType="end"/>
            </w:r>
          </w:hyperlink>
        </w:p>
        <w:p w:rsidR="005E09EC" w:rsidRDefault="005E09EC">
          <w:pPr>
            <w:pStyle w:val="TOC2"/>
            <w:rPr>
              <w:rFonts w:asciiTheme="minorHAnsi" w:eastAsiaTheme="minorEastAsia" w:hAnsiTheme="minorHAnsi" w:cstheme="minorBidi"/>
              <w:sz w:val="22"/>
              <w:szCs w:val="22"/>
              <w:lang w:val="en-AU" w:eastAsia="en-AU"/>
            </w:rPr>
          </w:pPr>
          <w:hyperlink w:anchor="_Toc362968498" w:history="1">
            <w:r w:rsidRPr="002920C7">
              <w:rPr>
                <w:rStyle w:val="Hyperlink"/>
              </w:rPr>
              <w:t>Health care resources</w:t>
            </w:r>
            <w:r>
              <w:rPr>
                <w:webHidden/>
              </w:rPr>
              <w:tab/>
            </w:r>
            <w:r>
              <w:rPr>
                <w:webHidden/>
              </w:rPr>
              <w:fldChar w:fldCharType="begin"/>
            </w:r>
            <w:r>
              <w:rPr>
                <w:webHidden/>
              </w:rPr>
              <w:instrText xml:space="preserve"> PAGEREF _Toc362968498 \h </w:instrText>
            </w:r>
            <w:r>
              <w:rPr>
                <w:webHidden/>
              </w:rPr>
            </w:r>
            <w:r>
              <w:rPr>
                <w:webHidden/>
              </w:rPr>
              <w:fldChar w:fldCharType="separate"/>
            </w:r>
            <w:r>
              <w:rPr>
                <w:webHidden/>
              </w:rPr>
              <w:t>26</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499" w:history="1">
            <w:r w:rsidRPr="002920C7">
              <w:rPr>
                <w:rStyle w:val="Hyperlink"/>
              </w:rPr>
              <w:t>Proposed structure of economic evaluation (decision-analytic)</w:t>
            </w:r>
            <w:r>
              <w:rPr>
                <w:webHidden/>
              </w:rPr>
              <w:tab/>
            </w:r>
            <w:r>
              <w:rPr>
                <w:webHidden/>
              </w:rPr>
              <w:fldChar w:fldCharType="begin"/>
            </w:r>
            <w:r>
              <w:rPr>
                <w:webHidden/>
              </w:rPr>
              <w:instrText xml:space="preserve"> PAGEREF _Toc362968499 \h </w:instrText>
            </w:r>
            <w:r>
              <w:rPr>
                <w:webHidden/>
              </w:rPr>
            </w:r>
            <w:r>
              <w:rPr>
                <w:webHidden/>
              </w:rPr>
              <w:fldChar w:fldCharType="separate"/>
            </w:r>
            <w:r>
              <w:rPr>
                <w:webHidden/>
              </w:rPr>
              <w:t>28</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500" w:history="1">
            <w:r w:rsidRPr="002920C7">
              <w:rPr>
                <w:rStyle w:val="Hyperlink"/>
              </w:rPr>
              <w:t>Clinical research questions for public funding</w:t>
            </w:r>
            <w:r>
              <w:rPr>
                <w:webHidden/>
              </w:rPr>
              <w:tab/>
            </w:r>
            <w:r>
              <w:rPr>
                <w:webHidden/>
              </w:rPr>
              <w:fldChar w:fldCharType="begin"/>
            </w:r>
            <w:r>
              <w:rPr>
                <w:webHidden/>
              </w:rPr>
              <w:instrText xml:space="preserve"> PAGEREF _Toc362968500 \h </w:instrText>
            </w:r>
            <w:r>
              <w:rPr>
                <w:webHidden/>
              </w:rPr>
            </w:r>
            <w:r>
              <w:rPr>
                <w:webHidden/>
              </w:rPr>
              <w:fldChar w:fldCharType="separate"/>
            </w:r>
            <w:r>
              <w:rPr>
                <w:webHidden/>
              </w:rPr>
              <w:t>30</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501" w:history="1">
            <w:r w:rsidRPr="002920C7">
              <w:rPr>
                <w:rStyle w:val="Hyperlink"/>
              </w:rPr>
              <w:t>References</w:t>
            </w:r>
            <w:r>
              <w:rPr>
                <w:webHidden/>
              </w:rPr>
              <w:tab/>
            </w:r>
            <w:r>
              <w:rPr>
                <w:webHidden/>
              </w:rPr>
              <w:fldChar w:fldCharType="begin"/>
            </w:r>
            <w:r>
              <w:rPr>
                <w:webHidden/>
              </w:rPr>
              <w:instrText xml:space="preserve"> PAGEREF _Toc362968501 \h </w:instrText>
            </w:r>
            <w:r>
              <w:rPr>
                <w:webHidden/>
              </w:rPr>
            </w:r>
            <w:r>
              <w:rPr>
                <w:webHidden/>
              </w:rPr>
              <w:fldChar w:fldCharType="separate"/>
            </w:r>
            <w:r>
              <w:rPr>
                <w:webHidden/>
              </w:rPr>
              <w:t>32</w:t>
            </w:r>
            <w:r>
              <w:rPr>
                <w:webHidden/>
              </w:rPr>
              <w:fldChar w:fldCharType="end"/>
            </w:r>
          </w:hyperlink>
        </w:p>
        <w:p w:rsidR="005E09EC" w:rsidRDefault="005E09EC">
          <w:pPr>
            <w:pStyle w:val="TOC1"/>
            <w:tabs>
              <w:tab w:val="left" w:pos="1800"/>
            </w:tabs>
            <w:rPr>
              <w:rFonts w:asciiTheme="minorHAnsi" w:eastAsiaTheme="minorEastAsia" w:hAnsiTheme="minorHAnsi" w:cstheme="minorBidi"/>
              <w:b w:val="0"/>
              <w:sz w:val="22"/>
              <w:szCs w:val="22"/>
              <w:lang w:eastAsia="en-AU"/>
            </w:rPr>
          </w:pPr>
          <w:hyperlink w:anchor="_Toc362968502" w:history="1">
            <w:r w:rsidRPr="002920C7">
              <w:rPr>
                <w:rStyle w:val="Hyperlink"/>
              </w:rPr>
              <w:t>Appendix 1</w:t>
            </w:r>
            <w:r>
              <w:rPr>
                <w:rFonts w:asciiTheme="minorHAnsi" w:eastAsiaTheme="minorEastAsia" w:hAnsiTheme="minorHAnsi" w:cstheme="minorBidi"/>
                <w:b w:val="0"/>
                <w:sz w:val="22"/>
                <w:szCs w:val="22"/>
                <w:lang w:eastAsia="en-AU"/>
              </w:rPr>
              <w:tab/>
            </w:r>
            <w:r w:rsidRPr="002920C7">
              <w:rPr>
                <w:rStyle w:val="Hyperlink"/>
              </w:rPr>
              <w:t>Examples of treatments currently listed on the ARTG for the treatment of osteoporosis</w:t>
            </w:r>
            <w:r>
              <w:rPr>
                <w:webHidden/>
              </w:rPr>
              <w:tab/>
            </w:r>
            <w:r>
              <w:rPr>
                <w:webHidden/>
              </w:rPr>
              <w:fldChar w:fldCharType="begin"/>
            </w:r>
            <w:r>
              <w:rPr>
                <w:webHidden/>
              </w:rPr>
              <w:instrText xml:space="preserve"> PAGEREF _Toc362968502 \h </w:instrText>
            </w:r>
            <w:r>
              <w:rPr>
                <w:webHidden/>
              </w:rPr>
            </w:r>
            <w:r>
              <w:rPr>
                <w:webHidden/>
              </w:rPr>
              <w:fldChar w:fldCharType="separate"/>
            </w:r>
            <w:r>
              <w:rPr>
                <w:webHidden/>
              </w:rPr>
              <w:t>35</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503" w:history="1">
            <w:r w:rsidRPr="002920C7">
              <w:rPr>
                <w:rStyle w:val="Hyperlink"/>
              </w:rPr>
              <w:t>Appendix 2</w:t>
            </w:r>
            <w:r>
              <w:rPr>
                <w:webHidden/>
              </w:rPr>
              <w:tab/>
            </w:r>
            <w:r>
              <w:rPr>
                <w:webHidden/>
              </w:rPr>
              <w:fldChar w:fldCharType="begin"/>
            </w:r>
            <w:r>
              <w:rPr>
                <w:webHidden/>
              </w:rPr>
              <w:instrText xml:space="preserve"> PAGEREF _Toc362968503 \h </w:instrText>
            </w:r>
            <w:r>
              <w:rPr>
                <w:webHidden/>
              </w:rPr>
            </w:r>
            <w:r>
              <w:rPr>
                <w:webHidden/>
              </w:rPr>
              <w:fldChar w:fldCharType="separate"/>
            </w:r>
            <w:r>
              <w:rPr>
                <w:webHidden/>
              </w:rPr>
              <w:t>37</w:t>
            </w:r>
            <w:r>
              <w:rPr>
                <w:webHidden/>
              </w:rPr>
              <w:fldChar w:fldCharType="end"/>
            </w:r>
          </w:hyperlink>
        </w:p>
        <w:p w:rsidR="005E09EC" w:rsidRDefault="005E09EC">
          <w:pPr>
            <w:pStyle w:val="TOC1"/>
            <w:rPr>
              <w:rFonts w:asciiTheme="minorHAnsi" w:eastAsiaTheme="minorEastAsia" w:hAnsiTheme="minorHAnsi" w:cstheme="minorBidi"/>
              <w:b w:val="0"/>
              <w:sz w:val="22"/>
              <w:szCs w:val="22"/>
              <w:lang w:eastAsia="en-AU"/>
            </w:rPr>
          </w:pPr>
          <w:hyperlink w:anchor="_Toc362968504" w:history="1">
            <w:r w:rsidRPr="002920C7">
              <w:rPr>
                <w:rStyle w:val="Hyperlink"/>
              </w:rPr>
              <w:t>Appendix 3</w:t>
            </w:r>
            <w:r>
              <w:rPr>
                <w:webHidden/>
              </w:rPr>
              <w:tab/>
            </w:r>
            <w:r>
              <w:rPr>
                <w:webHidden/>
              </w:rPr>
              <w:fldChar w:fldCharType="begin"/>
            </w:r>
            <w:r>
              <w:rPr>
                <w:webHidden/>
              </w:rPr>
              <w:instrText xml:space="preserve"> PAGEREF _Toc362968504 \h </w:instrText>
            </w:r>
            <w:r>
              <w:rPr>
                <w:webHidden/>
              </w:rPr>
            </w:r>
            <w:r>
              <w:rPr>
                <w:webHidden/>
              </w:rPr>
              <w:fldChar w:fldCharType="separate"/>
            </w:r>
            <w:r>
              <w:rPr>
                <w:webHidden/>
              </w:rPr>
              <w:t>41</w:t>
            </w:r>
            <w:r>
              <w:rPr>
                <w:webHidden/>
              </w:rPr>
              <w:fldChar w:fldCharType="end"/>
            </w:r>
          </w:hyperlink>
        </w:p>
        <w:p w:rsidR="005E09EC" w:rsidRDefault="005E09EC">
          <w:pPr>
            <w:pStyle w:val="TOC1"/>
            <w:tabs>
              <w:tab w:val="left" w:pos="1800"/>
            </w:tabs>
            <w:rPr>
              <w:rFonts w:asciiTheme="minorHAnsi" w:eastAsiaTheme="minorEastAsia" w:hAnsiTheme="minorHAnsi" w:cstheme="minorBidi"/>
              <w:b w:val="0"/>
              <w:sz w:val="22"/>
              <w:szCs w:val="22"/>
              <w:lang w:eastAsia="en-AU"/>
            </w:rPr>
          </w:pPr>
          <w:hyperlink w:anchor="_Toc362968505" w:history="1">
            <w:r w:rsidRPr="002920C7">
              <w:rPr>
                <w:rStyle w:val="Hyperlink"/>
              </w:rPr>
              <w:t>Appendix 4</w:t>
            </w:r>
            <w:r>
              <w:rPr>
                <w:rFonts w:asciiTheme="minorHAnsi" w:eastAsiaTheme="minorEastAsia" w:hAnsiTheme="minorHAnsi" w:cstheme="minorBidi"/>
                <w:b w:val="0"/>
                <w:sz w:val="22"/>
                <w:szCs w:val="22"/>
                <w:lang w:eastAsia="en-AU"/>
              </w:rPr>
              <w:tab/>
            </w:r>
            <w:r w:rsidRPr="002920C7">
              <w:rPr>
                <w:rStyle w:val="Hyperlink"/>
              </w:rPr>
              <w:t>PBS anti-osteoporotic medication, listed according to eligible indication</w:t>
            </w:r>
            <w:r>
              <w:rPr>
                <w:webHidden/>
              </w:rPr>
              <w:tab/>
            </w:r>
            <w:r>
              <w:rPr>
                <w:webHidden/>
              </w:rPr>
              <w:fldChar w:fldCharType="begin"/>
            </w:r>
            <w:r>
              <w:rPr>
                <w:webHidden/>
              </w:rPr>
              <w:instrText xml:space="preserve"> PAGEREF _Toc362968505 \h </w:instrText>
            </w:r>
            <w:r>
              <w:rPr>
                <w:webHidden/>
              </w:rPr>
            </w:r>
            <w:r>
              <w:rPr>
                <w:webHidden/>
              </w:rPr>
              <w:fldChar w:fldCharType="separate"/>
            </w:r>
            <w:r>
              <w:rPr>
                <w:webHidden/>
              </w:rPr>
              <w:t>73</w:t>
            </w:r>
            <w:r>
              <w:rPr>
                <w:webHidden/>
              </w:rPr>
              <w:fldChar w:fldCharType="end"/>
            </w:r>
          </w:hyperlink>
        </w:p>
        <w:p w:rsidR="005E09EC" w:rsidRDefault="005E09EC">
          <w:pPr>
            <w:pStyle w:val="TOC1"/>
            <w:tabs>
              <w:tab w:val="left" w:pos="1800"/>
            </w:tabs>
            <w:rPr>
              <w:rFonts w:asciiTheme="minorHAnsi" w:eastAsiaTheme="minorEastAsia" w:hAnsiTheme="minorHAnsi" w:cstheme="minorBidi"/>
              <w:b w:val="0"/>
              <w:sz w:val="22"/>
              <w:szCs w:val="22"/>
              <w:lang w:eastAsia="en-AU"/>
            </w:rPr>
          </w:pPr>
          <w:hyperlink w:anchor="_Toc362968506" w:history="1">
            <w:r w:rsidRPr="002920C7">
              <w:rPr>
                <w:rStyle w:val="Hyperlink"/>
              </w:rPr>
              <w:t>Appendix 5</w:t>
            </w:r>
            <w:r>
              <w:rPr>
                <w:rFonts w:asciiTheme="minorHAnsi" w:eastAsiaTheme="minorEastAsia" w:hAnsiTheme="minorHAnsi" w:cstheme="minorBidi"/>
                <w:b w:val="0"/>
                <w:sz w:val="22"/>
                <w:szCs w:val="22"/>
                <w:lang w:eastAsia="en-AU"/>
              </w:rPr>
              <w:tab/>
            </w:r>
            <w:r w:rsidRPr="002920C7">
              <w:rPr>
                <w:rStyle w:val="Hyperlink"/>
              </w:rPr>
              <w:t>Medicare Benefits Schedule - Note D1.27</w:t>
            </w:r>
            <w:r>
              <w:rPr>
                <w:webHidden/>
              </w:rPr>
              <w:tab/>
            </w:r>
            <w:r>
              <w:rPr>
                <w:webHidden/>
              </w:rPr>
              <w:fldChar w:fldCharType="begin"/>
            </w:r>
            <w:r>
              <w:rPr>
                <w:webHidden/>
              </w:rPr>
              <w:instrText xml:space="preserve"> PAGEREF _Toc362968506 \h </w:instrText>
            </w:r>
            <w:r>
              <w:rPr>
                <w:webHidden/>
              </w:rPr>
            </w:r>
            <w:r>
              <w:rPr>
                <w:webHidden/>
              </w:rPr>
              <w:fldChar w:fldCharType="separate"/>
            </w:r>
            <w:r>
              <w:rPr>
                <w:webHidden/>
              </w:rPr>
              <w:t>75</w:t>
            </w:r>
            <w:r>
              <w:rPr>
                <w:webHidden/>
              </w:rPr>
              <w:fldChar w:fldCharType="end"/>
            </w:r>
          </w:hyperlink>
        </w:p>
        <w:p w:rsidR="005E09EC" w:rsidRDefault="005E09EC">
          <w:r>
            <w:rPr>
              <w:b/>
              <w:bCs/>
              <w:noProof/>
            </w:rPr>
            <w:fldChar w:fldCharType="end"/>
          </w:r>
        </w:p>
      </w:sdtContent>
    </w:sdt>
    <w:p w:rsidR="00D8067A" w:rsidRPr="00A34E9C" w:rsidRDefault="00D8067A" w:rsidP="00D34BAD">
      <w:pPr>
        <w:pStyle w:val="Heading1"/>
        <w:spacing w:after="240"/>
      </w:pPr>
      <w:bookmarkStart w:id="1" w:name="_Toc283297629"/>
      <w:bookmarkStart w:id="2" w:name="_Toc335905406"/>
      <w:bookmarkStart w:id="3" w:name="_Toc362968480"/>
      <w:bookmarkEnd w:id="0"/>
      <w:r w:rsidRPr="00A34E9C">
        <w:t>MSA</w:t>
      </w:r>
      <w:bookmarkStart w:id="4" w:name="_GoBack"/>
      <w:bookmarkEnd w:id="4"/>
      <w:r w:rsidRPr="00A34E9C">
        <w:t>C and PASC</w:t>
      </w:r>
      <w:bookmarkEnd w:id="1"/>
      <w:bookmarkEnd w:id="2"/>
      <w:bookmarkEnd w:id="3"/>
    </w:p>
    <w:p w:rsidR="00D8067A" w:rsidRPr="00A34E9C" w:rsidRDefault="00D8067A" w:rsidP="00D34BAD">
      <w:r w:rsidRPr="00A34E9C">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D8067A" w:rsidRPr="000901A8" w:rsidRDefault="00D8067A" w:rsidP="00D34BAD">
      <w:r w:rsidRPr="000901A8">
        <w:t>The Protocol Advisory Sub-Committee (PASC) is a standing sub-committee of MSAC. Its primary objective is the determination of protocols to guide clinical and economic assessments of medical interventions proposed for public funding.</w:t>
      </w:r>
    </w:p>
    <w:p w:rsidR="00D8067A" w:rsidRPr="00A34E9C" w:rsidRDefault="00D8067A" w:rsidP="00D34BAD">
      <w:pPr>
        <w:pStyle w:val="Heading2"/>
        <w:spacing w:after="240"/>
      </w:pPr>
      <w:bookmarkStart w:id="5" w:name="_Toc283297630"/>
      <w:bookmarkStart w:id="6" w:name="_Toc335905407"/>
      <w:bookmarkStart w:id="7" w:name="_Toc362968481"/>
      <w:r w:rsidRPr="00A34E9C">
        <w:t>Purpose of this document</w:t>
      </w:r>
      <w:bookmarkEnd w:id="5"/>
      <w:bookmarkEnd w:id="6"/>
      <w:bookmarkEnd w:id="7"/>
    </w:p>
    <w:p w:rsidR="00D8067A" w:rsidRPr="00A34E9C" w:rsidRDefault="00D8067A" w:rsidP="00D34BAD">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D8067A" w:rsidRPr="00A34E9C" w:rsidRDefault="00D8067A" w:rsidP="00D34BAD">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D8067A" w:rsidRPr="00A34E9C" w:rsidRDefault="00D8067A" w:rsidP="00D34BAD">
      <w:pPr>
        <w:pStyle w:val="ListParagraph"/>
      </w:pPr>
      <w:r w:rsidRPr="00A34E9C">
        <w:rPr>
          <w:b/>
          <w:u w:val="single"/>
        </w:rPr>
        <w:t>P</w:t>
      </w:r>
      <w:r w:rsidRPr="00A34E9C">
        <w:t>atients – specification of the characteristics of the patients in whom the intervention is to be considered for use;</w:t>
      </w:r>
    </w:p>
    <w:p w:rsidR="00D8067A" w:rsidRPr="00A34E9C" w:rsidRDefault="00D8067A" w:rsidP="00D34BAD">
      <w:pPr>
        <w:pStyle w:val="ListParagraph"/>
      </w:pPr>
      <w:r w:rsidRPr="00A34E9C">
        <w:rPr>
          <w:b/>
          <w:u w:val="single"/>
        </w:rPr>
        <w:t>I</w:t>
      </w:r>
      <w:r w:rsidRPr="00A34E9C">
        <w:t>ntervention – specification of the proposed intervention</w:t>
      </w:r>
    </w:p>
    <w:p w:rsidR="00D8067A" w:rsidRPr="00A34E9C" w:rsidRDefault="00D8067A" w:rsidP="00D34BAD">
      <w:pPr>
        <w:pStyle w:val="ListParagraph"/>
      </w:pPr>
      <w:r w:rsidRPr="00A34E9C">
        <w:rPr>
          <w:b/>
          <w:u w:val="single"/>
        </w:rPr>
        <w:t>C</w:t>
      </w:r>
      <w:r w:rsidRPr="00A34E9C">
        <w:t>omparator – specification of the therapy most likely to be replaced by the proposed intervention</w:t>
      </w:r>
    </w:p>
    <w:p w:rsidR="00D8067A" w:rsidRPr="00A34E9C" w:rsidRDefault="00D8067A" w:rsidP="00D34BAD">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D8067A" w:rsidRPr="00A34E9C" w:rsidRDefault="00D8067A" w:rsidP="00D34BAD">
      <w:pPr>
        <w:rPr>
          <w:color w:val="215868"/>
          <w:szCs w:val="32"/>
        </w:rPr>
      </w:pPr>
      <w:r w:rsidRPr="00A34E9C">
        <w:br w:type="page"/>
      </w:r>
    </w:p>
    <w:p w:rsidR="00D8067A" w:rsidRPr="000901A8" w:rsidRDefault="00D8067A" w:rsidP="00D34BAD">
      <w:pPr>
        <w:pStyle w:val="Heading1"/>
        <w:spacing w:after="240"/>
      </w:pPr>
      <w:bookmarkStart w:id="8" w:name="_Toc335905408"/>
      <w:bookmarkStart w:id="9" w:name="_Toc362968482"/>
      <w:r w:rsidRPr="000901A8">
        <w:lastRenderedPageBreak/>
        <w:t>Purpose of application</w:t>
      </w:r>
      <w:bookmarkEnd w:id="8"/>
      <w:bookmarkEnd w:id="9"/>
    </w:p>
    <w:p w:rsidR="00D8067A" w:rsidRDefault="00D8067A" w:rsidP="0031428F">
      <w:pPr>
        <w:rPr>
          <w:b/>
          <w:bCs/>
        </w:rPr>
      </w:pPr>
      <w:r>
        <w:t>T</w:t>
      </w:r>
      <w:r w:rsidRPr="00A67624">
        <w:t xml:space="preserve">he Department of Health and Ageing </w:t>
      </w:r>
      <w:r>
        <w:t>received a</w:t>
      </w:r>
      <w:r w:rsidRPr="00A67624">
        <w:t xml:space="preserve"> proposal for </w:t>
      </w:r>
      <w:r>
        <w:t>the listing of</w:t>
      </w:r>
      <w:r w:rsidRPr="00A67624">
        <w:t xml:space="preserve"> </w:t>
      </w:r>
      <w:r>
        <w:t>d</w:t>
      </w:r>
      <w:r w:rsidRPr="00A67624">
        <w:t>ual energy X-ray absorptiometry</w:t>
      </w:r>
      <w:r>
        <w:t xml:space="preserve"> (DXA)</w:t>
      </w:r>
      <w:r w:rsidRPr="00A67624">
        <w:t xml:space="preserve"> </w:t>
      </w:r>
      <w:r>
        <w:t>on the Medicare Benefits Schedule (MBS)</w:t>
      </w:r>
      <w:r w:rsidRPr="00A67624">
        <w:t xml:space="preserve"> </w:t>
      </w:r>
      <w:r>
        <w:t xml:space="preserve">in June 2011. This proposal is for the provision of an MBS item for bone densitometry by DXA to women with breast cancer who receive, or are being considered for, treatment with aromatase inhibitors. The </w:t>
      </w:r>
      <w:r w:rsidRPr="00C321D6">
        <w:t>Australian and New Zealand Bone and Mineral Society (ANZBMS)</w:t>
      </w:r>
      <w:r>
        <w:t xml:space="preserve"> became involved with the preparation of a Decision Analytic Protocol (DAP) in March 2012. </w:t>
      </w:r>
    </w:p>
    <w:p w:rsidR="00D8067A" w:rsidRPr="000E0A7C" w:rsidRDefault="00D8067A" w:rsidP="000E0A7C">
      <w:r>
        <w:t>T</w:t>
      </w:r>
      <w:r w:rsidRPr="000E0A7C">
        <w:t>his decision analytic protocol</w:t>
      </w:r>
      <w:r>
        <w:t xml:space="preserve"> was drafted</w:t>
      </w:r>
      <w:r w:rsidRPr="000E0A7C">
        <w:t xml:space="preserve"> to guide the assessment of safety, effectiveness and cost-effectiveness of bone mineral density analysis using DXA </w:t>
      </w:r>
      <w:r>
        <w:t xml:space="preserve">for </w:t>
      </w:r>
      <w:r w:rsidRPr="000E0A7C">
        <w:t>women</w:t>
      </w:r>
      <w:r>
        <w:t xml:space="preserve"> with breast cancer who receive aromatase inhibitors </w:t>
      </w:r>
      <w:r w:rsidRPr="000E0A7C">
        <w:t>in order to inform MSAC’s decision-making regarding public funding of the intervention.</w:t>
      </w:r>
    </w:p>
    <w:p w:rsidR="00D8067A" w:rsidRPr="00A34E9C" w:rsidRDefault="00D8067A" w:rsidP="00D34BAD">
      <w:pPr>
        <w:pStyle w:val="Heading1"/>
        <w:spacing w:after="240"/>
      </w:pPr>
      <w:bookmarkStart w:id="10" w:name="_Toc335905409"/>
      <w:bookmarkStart w:id="11" w:name="_Toc362968483"/>
      <w:r w:rsidRPr="00A34E9C">
        <w:t>Intervention</w:t>
      </w:r>
      <w:bookmarkEnd w:id="10"/>
      <w:bookmarkEnd w:id="11"/>
    </w:p>
    <w:p w:rsidR="00D8067A" w:rsidRPr="00A34E9C" w:rsidRDefault="00D8067A" w:rsidP="00D34BAD">
      <w:pPr>
        <w:pStyle w:val="Heading2"/>
        <w:spacing w:after="240"/>
      </w:pPr>
      <w:bookmarkStart w:id="12" w:name="_Toc335905410"/>
      <w:bookmarkStart w:id="13" w:name="_Toc362968484"/>
      <w:r w:rsidRPr="00A34E9C">
        <w:t>Description</w:t>
      </w:r>
      <w:bookmarkEnd w:id="12"/>
      <w:bookmarkEnd w:id="13"/>
    </w:p>
    <w:p w:rsidR="00D8067A" w:rsidRDefault="00D8067A" w:rsidP="0031428F">
      <w:pPr>
        <w:rPr>
          <w:lang w:eastAsia="en-US"/>
        </w:rPr>
      </w:pPr>
      <w:r w:rsidRPr="00A67624">
        <w:rPr>
          <w:lang w:eastAsia="en-US"/>
        </w:rPr>
        <w:t xml:space="preserve">Osteoporosis (OP) is a ‘skeletal disorder characterised by compromised bone strength predisposing a person to an increased risk of fracture’, </w:t>
      </w:r>
      <w:r>
        <w:rPr>
          <w:lang w:eastAsia="en-US"/>
        </w:rPr>
        <w:t>and</w:t>
      </w:r>
      <w:r w:rsidRPr="00A67624">
        <w:rPr>
          <w:lang w:eastAsia="en-US"/>
        </w:rPr>
        <w:t xml:space="preserve"> is an established and well defined disease assessed on the basis of bone mineral densitometry (BMD). </w:t>
      </w:r>
      <w:r>
        <w:rPr>
          <w:lang w:eastAsia="en-US"/>
        </w:rPr>
        <w:t>In terms of bone mineral density, osteoporosis can be defined as</w:t>
      </w:r>
      <w:r w:rsidRPr="00A67624">
        <w:rPr>
          <w:lang w:eastAsia="en-US"/>
        </w:rPr>
        <w:t xml:space="preserve"> </w:t>
      </w:r>
      <w:r>
        <w:rPr>
          <w:lang w:eastAsia="en-US"/>
        </w:rPr>
        <w:t>“</w:t>
      </w:r>
      <w:r w:rsidRPr="00A67624">
        <w:rPr>
          <w:lang w:eastAsia="en-US"/>
        </w:rPr>
        <w:t xml:space="preserve">a BMD that </w:t>
      </w:r>
      <w:proofErr w:type="gramStart"/>
      <w:r w:rsidRPr="00A67624">
        <w:rPr>
          <w:lang w:eastAsia="en-US"/>
        </w:rPr>
        <w:t>lies</w:t>
      </w:r>
      <w:proofErr w:type="gramEnd"/>
      <w:r w:rsidRPr="00A67624">
        <w:rPr>
          <w:lang w:eastAsia="en-US"/>
        </w:rPr>
        <w:t xml:space="preserve"> 2.5 standard deviations</w:t>
      </w:r>
      <w:r>
        <w:rPr>
          <w:lang w:eastAsia="en-US"/>
        </w:rPr>
        <w:t xml:space="preserve"> (SD)</w:t>
      </w:r>
      <w:r w:rsidRPr="00A67624">
        <w:rPr>
          <w:lang w:eastAsia="en-US"/>
        </w:rPr>
        <w:t xml:space="preserve"> or more below the average value for young healthy women (a T-score of </w:t>
      </w:r>
      <w:r w:rsidR="008E2CA4" w:rsidRPr="00D55001">
        <w:rPr>
          <w:lang w:eastAsia="en-US"/>
        </w:rPr>
        <w:t>≤</w:t>
      </w:r>
      <w:r w:rsidRPr="00A67624">
        <w:rPr>
          <w:lang w:eastAsia="en-US"/>
        </w:rPr>
        <w:t>-2.5 SD)</w:t>
      </w:r>
      <w:r>
        <w:rPr>
          <w:lang w:eastAsia="en-US"/>
        </w:rPr>
        <w:t>”</w:t>
      </w:r>
      <w:r w:rsidRPr="00A67624">
        <w:rPr>
          <w:lang w:eastAsia="en-US"/>
        </w:rPr>
        <w:t xml:space="preserve"> (WHO 2007). According to the AIHW</w:t>
      </w:r>
      <w:r>
        <w:rPr>
          <w:lang w:eastAsia="en-US"/>
        </w:rPr>
        <w:t xml:space="preserve"> (2011)</w:t>
      </w:r>
      <w:r w:rsidRPr="00A67624">
        <w:rPr>
          <w:lang w:eastAsia="en-US"/>
        </w:rPr>
        <w:t xml:space="preserve"> 692,000 Australians (3.4% of the total population) </w:t>
      </w:r>
      <w:r>
        <w:rPr>
          <w:lang w:eastAsia="en-US"/>
        </w:rPr>
        <w:t>received a principle diagnosis</w:t>
      </w:r>
      <w:r w:rsidRPr="00A67624">
        <w:rPr>
          <w:lang w:eastAsia="en-US"/>
        </w:rPr>
        <w:t xml:space="preserve"> of osteoporosis in 2007–08, of which women accounted for 8</w:t>
      </w:r>
      <w:r>
        <w:rPr>
          <w:lang w:eastAsia="en-US"/>
        </w:rPr>
        <w:t xml:space="preserve">2 </w:t>
      </w:r>
      <w:r w:rsidRPr="00A67624">
        <w:rPr>
          <w:lang w:eastAsia="en-US"/>
        </w:rPr>
        <w:t>per</w:t>
      </w:r>
      <w:r>
        <w:rPr>
          <w:lang w:eastAsia="en-US"/>
        </w:rPr>
        <w:t xml:space="preserve"> </w:t>
      </w:r>
      <w:r w:rsidRPr="00A67624">
        <w:rPr>
          <w:lang w:eastAsia="en-US"/>
        </w:rPr>
        <w:t xml:space="preserve">cent of cases. </w:t>
      </w:r>
    </w:p>
    <w:p w:rsidR="00D8067A" w:rsidRPr="00A67624" w:rsidRDefault="00D8067A" w:rsidP="00A66697">
      <w:pPr>
        <w:rPr>
          <w:rFonts w:eastAsia="Times New Roman"/>
          <w:lang w:eastAsia="en-US"/>
        </w:rPr>
      </w:pPr>
      <w:r w:rsidRPr="00A47F11">
        <w:rPr>
          <w:rFonts w:eastAsia="Times New Roman"/>
          <w:lang w:eastAsia="en-US"/>
        </w:rPr>
        <w:t xml:space="preserve">Maintenance of bone mineral density relies upon equilibrium between the processes of bone formation and bone </w:t>
      </w:r>
      <w:proofErr w:type="spellStart"/>
      <w:r w:rsidRPr="00A47F11">
        <w:rPr>
          <w:rFonts w:eastAsia="Times New Roman"/>
          <w:lang w:eastAsia="en-US"/>
        </w:rPr>
        <w:t>resportion</w:t>
      </w:r>
      <w:proofErr w:type="spellEnd"/>
      <w:r w:rsidRPr="00A47F11">
        <w:rPr>
          <w:rFonts w:eastAsia="Times New Roman"/>
          <w:lang w:eastAsia="en-US"/>
        </w:rPr>
        <w:t xml:space="preserve">. Bone formation refers to the deposition of bone matrix and the fixing of calcium in its mineral form. Bone </w:t>
      </w:r>
      <w:proofErr w:type="spellStart"/>
      <w:r w:rsidRPr="00A47F11">
        <w:rPr>
          <w:rFonts w:eastAsia="Times New Roman"/>
          <w:lang w:eastAsia="en-US"/>
        </w:rPr>
        <w:t>resorption</w:t>
      </w:r>
      <w:proofErr w:type="spellEnd"/>
      <w:r w:rsidRPr="00A47F11">
        <w:rPr>
          <w:rFonts w:eastAsia="Times New Roman"/>
          <w:lang w:eastAsia="en-US"/>
        </w:rPr>
        <w:t xml:space="preserve"> is the process of bone breakdown by osteoclasts and the release of minerals from bone. Coupled </w:t>
      </w:r>
      <w:r>
        <w:rPr>
          <w:rFonts w:eastAsia="Times New Roman"/>
          <w:lang w:eastAsia="en-US"/>
        </w:rPr>
        <w:t xml:space="preserve">together, </w:t>
      </w:r>
      <w:r w:rsidRPr="00A47F11">
        <w:rPr>
          <w:rFonts w:eastAsia="Times New Roman"/>
          <w:lang w:eastAsia="en-US"/>
        </w:rPr>
        <w:t>these processes are referred to as bone remodelling.</w:t>
      </w:r>
      <w:r>
        <w:rPr>
          <w:rFonts w:eastAsia="Times New Roman"/>
          <w:lang w:eastAsia="en-US"/>
        </w:rPr>
        <w:t xml:space="preserve"> The process of bone remodelling is mediated through the action of </w:t>
      </w:r>
      <w:r w:rsidRPr="00A67624">
        <w:rPr>
          <w:rFonts w:eastAsia="Times New Roman"/>
          <w:lang w:eastAsia="en-US"/>
        </w:rPr>
        <w:t xml:space="preserve">osteoblasts, osteocytes and osteoclasts (Santen et al, 2011). </w:t>
      </w:r>
    </w:p>
    <w:p w:rsidR="00D8067A" w:rsidRPr="00A66697" w:rsidRDefault="00D8067A" w:rsidP="00615E23">
      <w:pPr>
        <w:pStyle w:val="ListParagraph"/>
        <w:numPr>
          <w:ilvl w:val="0"/>
          <w:numId w:val="13"/>
        </w:numPr>
        <w:rPr>
          <w:rFonts w:eastAsia="Times New Roman"/>
          <w:lang w:eastAsia="en-US"/>
        </w:rPr>
      </w:pPr>
      <w:r w:rsidRPr="00A66697">
        <w:rPr>
          <w:rFonts w:eastAsia="Times New Roman"/>
          <w:lang w:eastAsia="en-US"/>
        </w:rPr>
        <w:t>Osteoblasts are bone forming cells which produce organic bone matrix and aid its mineralisation</w:t>
      </w:r>
      <w:r>
        <w:rPr>
          <w:rFonts w:eastAsia="Times New Roman"/>
          <w:lang w:eastAsia="en-US"/>
        </w:rPr>
        <w:t>.</w:t>
      </w:r>
    </w:p>
    <w:p w:rsidR="00D8067A" w:rsidRPr="00A66697" w:rsidRDefault="00D8067A" w:rsidP="00615E23">
      <w:pPr>
        <w:pStyle w:val="ListParagraph"/>
        <w:numPr>
          <w:ilvl w:val="0"/>
          <w:numId w:val="13"/>
        </w:numPr>
        <w:rPr>
          <w:rFonts w:eastAsia="Times New Roman"/>
          <w:lang w:eastAsia="en-US"/>
        </w:rPr>
      </w:pPr>
      <w:r w:rsidRPr="00A66697">
        <w:rPr>
          <w:rFonts w:eastAsia="Times New Roman"/>
          <w:lang w:eastAsia="en-US"/>
        </w:rPr>
        <w:t xml:space="preserve">Osteoclasts are bone </w:t>
      </w:r>
      <w:proofErr w:type="spellStart"/>
      <w:r w:rsidRPr="00A66697">
        <w:rPr>
          <w:rFonts w:eastAsia="Times New Roman"/>
          <w:lang w:eastAsia="en-US"/>
        </w:rPr>
        <w:t>resorptive</w:t>
      </w:r>
      <w:proofErr w:type="spellEnd"/>
      <w:r w:rsidRPr="00A66697">
        <w:rPr>
          <w:rFonts w:eastAsia="Times New Roman"/>
          <w:lang w:eastAsia="en-US"/>
        </w:rPr>
        <w:t xml:space="preserve"> cells which digest bone mineral and degrade extracellular matrix proteins and form bone </w:t>
      </w:r>
      <w:proofErr w:type="spellStart"/>
      <w:r w:rsidRPr="00A66697">
        <w:rPr>
          <w:rFonts w:eastAsia="Times New Roman"/>
          <w:lang w:eastAsia="en-US"/>
        </w:rPr>
        <w:t>resorptive</w:t>
      </w:r>
      <w:proofErr w:type="spellEnd"/>
      <w:r w:rsidRPr="00A66697">
        <w:rPr>
          <w:rFonts w:eastAsia="Times New Roman"/>
          <w:lang w:eastAsia="en-US"/>
        </w:rPr>
        <w:t xml:space="preserve"> “pits”.</w:t>
      </w:r>
    </w:p>
    <w:p w:rsidR="00D8067A" w:rsidRDefault="00D8067A" w:rsidP="00615E23">
      <w:pPr>
        <w:pStyle w:val="ListParagraph"/>
        <w:numPr>
          <w:ilvl w:val="0"/>
          <w:numId w:val="13"/>
        </w:numPr>
        <w:rPr>
          <w:rFonts w:eastAsia="Times New Roman"/>
          <w:lang w:eastAsia="en-US"/>
        </w:rPr>
      </w:pPr>
      <w:r w:rsidRPr="00A66697">
        <w:rPr>
          <w:rFonts w:eastAsia="Times New Roman"/>
          <w:lang w:eastAsia="en-US"/>
        </w:rPr>
        <w:t xml:space="preserve">Osteocytes are osteoblasts which do not undergo apoptosis and become incorporated into the bone matrix and are important in the coupling mechanism of bone formation and </w:t>
      </w:r>
      <w:proofErr w:type="spellStart"/>
      <w:r w:rsidRPr="00A66697">
        <w:rPr>
          <w:rFonts w:eastAsia="Times New Roman"/>
          <w:lang w:eastAsia="en-US"/>
        </w:rPr>
        <w:t>resorption</w:t>
      </w:r>
      <w:proofErr w:type="spellEnd"/>
      <w:r w:rsidRPr="00A66697">
        <w:rPr>
          <w:rFonts w:eastAsia="Times New Roman"/>
          <w:lang w:eastAsia="en-US"/>
        </w:rPr>
        <w:t>.</w:t>
      </w:r>
    </w:p>
    <w:p w:rsidR="00D8067A" w:rsidRPr="00C6264F" w:rsidRDefault="00D8067A" w:rsidP="00C6264F">
      <w:pPr>
        <w:rPr>
          <w:rFonts w:eastAsia="Times New Roman"/>
          <w:lang w:eastAsia="en-US"/>
        </w:rPr>
      </w:pPr>
      <w:r>
        <w:rPr>
          <w:rFonts w:eastAsia="Times New Roman"/>
          <w:lang w:eastAsia="en-US"/>
        </w:rPr>
        <w:t>The processes underlying bone remodelling are complex and not completely understood.</w:t>
      </w:r>
    </w:p>
    <w:p w:rsidR="00D8067A" w:rsidRDefault="00D8067A" w:rsidP="00A66697">
      <w:pPr>
        <w:rPr>
          <w:rFonts w:eastAsia="Times New Roman"/>
          <w:lang w:eastAsia="en-US"/>
        </w:rPr>
      </w:pPr>
      <w:r>
        <w:rPr>
          <w:rFonts w:eastAsia="Times New Roman"/>
          <w:lang w:eastAsia="en-US"/>
        </w:rPr>
        <w:t>O</w:t>
      </w:r>
      <w:r w:rsidRPr="00A67624">
        <w:rPr>
          <w:rFonts w:eastAsia="Times New Roman"/>
          <w:lang w:eastAsia="en-US"/>
        </w:rPr>
        <w:t>steoporosis and low BMD are thought to occur as a result of increased numbers and activity of osteoclasts</w:t>
      </w:r>
      <w:r>
        <w:rPr>
          <w:rFonts w:eastAsia="Times New Roman"/>
          <w:lang w:eastAsia="en-US"/>
        </w:rPr>
        <w:t xml:space="preserve">. Oestrogen promotes the apoptosis of osteoclasts and as a result women who are </w:t>
      </w:r>
      <w:r>
        <w:rPr>
          <w:rFonts w:eastAsia="Times New Roman"/>
          <w:lang w:eastAsia="en-US"/>
        </w:rPr>
        <w:lastRenderedPageBreak/>
        <w:t xml:space="preserve">oestrogen deficient, particularly post-menopausal women, experience higher rates of bone </w:t>
      </w:r>
      <w:proofErr w:type="spellStart"/>
      <w:r>
        <w:rPr>
          <w:rFonts w:eastAsia="Times New Roman"/>
          <w:lang w:eastAsia="en-US"/>
        </w:rPr>
        <w:t>resorption</w:t>
      </w:r>
      <w:proofErr w:type="spellEnd"/>
      <w:r>
        <w:rPr>
          <w:rFonts w:eastAsia="Times New Roman"/>
          <w:lang w:eastAsia="en-US"/>
        </w:rPr>
        <w:t xml:space="preserve"> due to the increased activity of osteoclasts </w:t>
      </w:r>
      <w:r w:rsidRPr="00A67624">
        <w:rPr>
          <w:rFonts w:eastAsia="Times New Roman"/>
          <w:lang w:eastAsia="en-US"/>
        </w:rPr>
        <w:t>(Santen et al 2011)</w:t>
      </w:r>
      <w:r>
        <w:rPr>
          <w:rFonts w:eastAsia="Times New Roman"/>
          <w:lang w:eastAsia="en-US"/>
        </w:rPr>
        <w:t>.</w:t>
      </w:r>
      <w:r w:rsidRPr="00A67624">
        <w:rPr>
          <w:rFonts w:eastAsia="Times New Roman"/>
          <w:lang w:eastAsia="en-US"/>
        </w:rPr>
        <w:t xml:space="preserve"> </w:t>
      </w:r>
    </w:p>
    <w:p w:rsidR="00D8067A" w:rsidRPr="00A47F11" w:rsidRDefault="00D8067A" w:rsidP="00A66697">
      <w:pPr>
        <w:rPr>
          <w:rFonts w:eastAsia="Times New Roman"/>
          <w:lang w:eastAsia="en-US"/>
        </w:rPr>
      </w:pPr>
      <w:r w:rsidRPr="00A47F11">
        <w:rPr>
          <w:rFonts w:eastAsia="Times New Roman"/>
          <w:lang w:eastAsia="en-US"/>
        </w:rPr>
        <w:t xml:space="preserve">Bone formation exceeds bone </w:t>
      </w:r>
      <w:proofErr w:type="spellStart"/>
      <w:r w:rsidRPr="00A47F11">
        <w:rPr>
          <w:rFonts w:eastAsia="Times New Roman"/>
          <w:lang w:eastAsia="en-US"/>
        </w:rPr>
        <w:t>resorption</w:t>
      </w:r>
      <w:proofErr w:type="spellEnd"/>
      <w:r w:rsidRPr="00A47F11">
        <w:rPr>
          <w:rFonts w:eastAsia="Times New Roman"/>
          <w:lang w:eastAsia="en-US"/>
        </w:rPr>
        <w:t xml:space="preserve"> from birth until the age of approximately 20 years. At the end of this period, peak bone mass is achieved and between the ages of 20 and 40 is roughly maintained through equilibrium between bone formation and </w:t>
      </w:r>
      <w:proofErr w:type="spellStart"/>
      <w:r>
        <w:rPr>
          <w:rFonts w:eastAsia="Times New Roman"/>
          <w:lang w:eastAsia="en-US"/>
        </w:rPr>
        <w:t>resorption</w:t>
      </w:r>
      <w:proofErr w:type="spellEnd"/>
      <w:r>
        <w:rPr>
          <w:rFonts w:eastAsia="Times New Roman"/>
          <w:lang w:eastAsia="en-US"/>
        </w:rPr>
        <w:t xml:space="preserve"> (Marcus et al 2008). </w:t>
      </w:r>
      <w:r w:rsidRPr="00A47F11">
        <w:rPr>
          <w:rFonts w:eastAsia="Times New Roman"/>
          <w:lang w:eastAsia="en-US"/>
        </w:rPr>
        <w:t xml:space="preserve">However, the rate of bone </w:t>
      </w:r>
      <w:proofErr w:type="spellStart"/>
      <w:r w:rsidRPr="00A47F11">
        <w:rPr>
          <w:rFonts w:eastAsia="Times New Roman"/>
          <w:lang w:eastAsia="en-US"/>
        </w:rPr>
        <w:t>resor</w:t>
      </w:r>
      <w:r>
        <w:rPr>
          <w:rFonts w:eastAsia="Times New Roman"/>
          <w:lang w:eastAsia="en-US"/>
        </w:rPr>
        <w:t>ption</w:t>
      </w:r>
      <w:proofErr w:type="spellEnd"/>
      <w:r>
        <w:rPr>
          <w:rFonts w:eastAsia="Times New Roman"/>
          <w:lang w:eastAsia="en-US"/>
        </w:rPr>
        <w:t xml:space="preserve"> exceeds that of formation</w:t>
      </w:r>
      <w:r w:rsidRPr="00A47F11">
        <w:rPr>
          <w:rFonts w:eastAsia="Times New Roman"/>
          <w:lang w:eastAsia="en-US"/>
        </w:rPr>
        <w:t xml:space="preserve"> for menopausal and post-menopausal women and men 60 years or older, resulting in net bone loss. The rate of decline in bone mass is most rapid in women within two years of menopause and averages two per cent to four per cent a year during the first </w:t>
      </w:r>
      <w:r>
        <w:rPr>
          <w:rFonts w:eastAsia="Times New Roman"/>
          <w:lang w:eastAsia="en-US"/>
        </w:rPr>
        <w:t>five</w:t>
      </w:r>
      <w:r w:rsidRPr="00A47F11">
        <w:rPr>
          <w:rFonts w:eastAsia="Times New Roman"/>
          <w:lang w:eastAsia="en-US"/>
        </w:rPr>
        <w:t xml:space="preserve"> years after menopause</w:t>
      </w:r>
      <w:r>
        <w:rPr>
          <w:rFonts w:eastAsia="Times New Roman"/>
          <w:lang w:eastAsia="en-US"/>
        </w:rPr>
        <w:t xml:space="preserve"> and may exceed 5 per cent per annum (Elders et al 2008)</w:t>
      </w:r>
      <w:r w:rsidRPr="00A47F11">
        <w:rPr>
          <w:rFonts w:eastAsia="Times New Roman"/>
          <w:lang w:eastAsia="en-US"/>
        </w:rPr>
        <w:t xml:space="preserve">. Bone mineral content may decline by 25 per cent to 33 per cent during this period. </w:t>
      </w:r>
      <w:r>
        <w:rPr>
          <w:rFonts w:eastAsia="Times New Roman"/>
          <w:lang w:eastAsia="en-US"/>
        </w:rPr>
        <w:t>Following this bone loss the rate slows to around one per cent per annum</w:t>
      </w:r>
      <w:r w:rsidRPr="00A47F11">
        <w:rPr>
          <w:rFonts w:eastAsia="Times New Roman"/>
          <w:lang w:eastAsia="en-US"/>
        </w:rPr>
        <w:t xml:space="preserve">. The areas of greatest loss include the femoral neck and lumbar vertebrae, sites rich in trabecular bone and subject to future fracture. Cortical </w:t>
      </w:r>
      <w:r>
        <w:rPr>
          <w:rFonts w:eastAsia="Times New Roman"/>
          <w:lang w:eastAsia="en-US"/>
        </w:rPr>
        <w:t xml:space="preserve">bone, comprising 80 per cent of </w:t>
      </w:r>
      <w:r w:rsidRPr="00A47F11">
        <w:rPr>
          <w:rFonts w:eastAsia="Times New Roman"/>
          <w:lang w:eastAsia="en-US"/>
        </w:rPr>
        <w:t>skeletal bone, is lost less rapidly. This reduction in bone density frequently remains undiagnosed, and is most often clinically manifest as a skeletal fracture sustained with minimal trauma (WHO 2007).</w:t>
      </w:r>
    </w:p>
    <w:p w:rsidR="00D8067A" w:rsidRDefault="00D8067A" w:rsidP="00A66697">
      <w:pPr>
        <w:rPr>
          <w:rFonts w:eastAsia="Times New Roman"/>
          <w:lang w:eastAsia="en-US"/>
        </w:rPr>
      </w:pPr>
      <w:r w:rsidRPr="00A47F11">
        <w:rPr>
          <w:rFonts w:eastAsia="Times New Roman"/>
          <w:lang w:eastAsia="en-US"/>
        </w:rPr>
        <w:t>Fractures are defined as minimal trauma fractures when the trauma is a result of a fall from standing height or les</w:t>
      </w:r>
      <w:r>
        <w:rPr>
          <w:rFonts w:eastAsia="Times New Roman"/>
          <w:lang w:eastAsia="en-US"/>
        </w:rPr>
        <w:t>s, and comprise</w:t>
      </w:r>
      <w:r w:rsidRPr="00A47F11">
        <w:rPr>
          <w:rFonts w:eastAsia="Times New Roman"/>
          <w:lang w:eastAsia="en-US"/>
        </w:rPr>
        <w:t xml:space="preserve"> a significant portion of the health burden caused by OP. </w:t>
      </w:r>
      <w:r>
        <w:rPr>
          <w:rFonts w:eastAsia="Times New Roman"/>
          <w:lang w:eastAsia="en-US"/>
        </w:rPr>
        <w:t>Patients with m</w:t>
      </w:r>
      <w:r w:rsidRPr="00A47F11">
        <w:rPr>
          <w:rFonts w:eastAsia="Times New Roman"/>
          <w:lang w:eastAsia="en-US"/>
        </w:rPr>
        <w:t xml:space="preserve">inimal trauma fractures </w:t>
      </w:r>
      <w:r w:rsidR="004061AC">
        <w:rPr>
          <w:rFonts w:eastAsia="Times New Roman"/>
          <w:lang w:eastAsia="en-US"/>
        </w:rPr>
        <w:t>experience</w:t>
      </w:r>
      <w:r w:rsidRPr="00A47F11">
        <w:rPr>
          <w:rFonts w:eastAsia="Times New Roman"/>
          <w:lang w:eastAsia="en-US"/>
        </w:rPr>
        <w:t xml:space="preserve"> increased morbidity, complications, and mortality compared to age- and gender-matched peers (</w:t>
      </w:r>
      <w:proofErr w:type="spellStart"/>
      <w:r w:rsidRPr="00A47F11">
        <w:rPr>
          <w:rFonts w:eastAsia="Times New Roman"/>
          <w:lang w:eastAsia="en-US"/>
        </w:rPr>
        <w:t>Center</w:t>
      </w:r>
      <w:proofErr w:type="spellEnd"/>
      <w:r w:rsidRPr="00A47F11">
        <w:rPr>
          <w:rFonts w:eastAsia="Times New Roman"/>
          <w:lang w:eastAsia="en-US"/>
        </w:rPr>
        <w:t xml:space="preserve"> et al 2007) as they are more likely to immobilise patients and leave them vulnerable to diseases (e</w:t>
      </w:r>
      <w:r>
        <w:rPr>
          <w:rFonts w:eastAsia="Times New Roman"/>
          <w:lang w:eastAsia="en-US"/>
        </w:rPr>
        <w:t>.</w:t>
      </w:r>
      <w:r w:rsidRPr="00A47F11">
        <w:rPr>
          <w:rFonts w:eastAsia="Times New Roman"/>
          <w:lang w:eastAsia="en-US"/>
        </w:rPr>
        <w:t>g</w:t>
      </w:r>
      <w:r>
        <w:rPr>
          <w:rFonts w:eastAsia="Times New Roman"/>
          <w:lang w:eastAsia="en-US"/>
        </w:rPr>
        <w:t>.</w:t>
      </w:r>
      <w:r w:rsidRPr="00A47F11">
        <w:rPr>
          <w:rFonts w:eastAsia="Times New Roman"/>
          <w:lang w:eastAsia="en-US"/>
        </w:rPr>
        <w:t xml:space="preserve"> pneumonia). </w:t>
      </w:r>
      <w:r>
        <w:rPr>
          <w:rFonts w:eastAsia="Times New Roman"/>
          <w:lang w:eastAsia="en-US"/>
        </w:rPr>
        <w:t>Common</w:t>
      </w:r>
      <w:r w:rsidRPr="00A47F11">
        <w:rPr>
          <w:rFonts w:eastAsia="Times New Roman"/>
          <w:lang w:eastAsia="en-US"/>
        </w:rPr>
        <w:t xml:space="preserve"> sites of minimal trauma fracture are the hip</w:t>
      </w:r>
      <w:r>
        <w:rPr>
          <w:rFonts w:eastAsia="Times New Roman"/>
          <w:lang w:eastAsia="en-US"/>
        </w:rPr>
        <w:t xml:space="preserve">, </w:t>
      </w:r>
      <w:r w:rsidRPr="00A47F11">
        <w:rPr>
          <w:rFonts w:eastAsia="Times New Roman"/>
          <w:lang w:eastAsia="en-US"/>
        </w:rPr>
        <w:t xml:space="preserve">pelvis, the wrist and forearm and the spine. </w:t>
      </w:r>
    </w:p>
    <w:p w:rsidR="00D8067A" w:rsidRDefault="00D8067A">
      <w:pPr>
        <w:spacing w:after="0" w:line="240" w:lineRule="auto"/>
        <w:jc w:val="left"/>
        <w:rPr>
          <w:rFonts w:ascii="Arial Narrow" w:hAnsi="Arial Narrow"/>
          <w:b/>
          <w:lang w:val="en-GB" w:eastAsia="ja-JP"/>
        </w:rPr>
      </w:pPr>
      <w:r>
        <w:br w:type="page"/>
      </w:r>
    </w:p>
    <w:p w:rsidR="00D8067A" w:rsidRDefault="00D8067A" w:rsidP="00C6264F">
      <w:pPr>
        <w:pStyle w:val="Caption"/>
      </w:pPr>
      <w:r>
        <w:lastRenderedPageBreak/>
        <w:t xml:space="preserve">Table </w:t>
      </w:r>
      <w:r w:rsidR="00876F0F">
        <w:fldChar w:fldCharType="begin"/>
      </w:r>
      <w:r w:rsidR="00876F0F">
        <w:instrText xml:space="preserve"> SEQ Table \* ARABIC </w:instrText>
      </w:r>
      <w:r w:rsidR="00876F0F">
        <w:fldChar w:fldCharType="separate"/>
      </w:r>
      <w:proofErr w:type="gramStart"/>
      <w:r w:rsidR="00CD3C9F">
        <w:rPr>
          <w:noProof/>
        </w:rPr>
        <w:t>1</w:t>
      </w:r>
      <w:r w:rsidR="00876F0F">
        <w:rPr>
          <w:noProof/>
        </w:rPr>
        <w:fldChar w:fldCharType="end"/>
      </w:r>
      <w:r>
        <w:tab/>
        <w:t>Risk factors for developing osteoporosis</w:t>
      </w:r>
      <w:proofErr w:type="gramEnd"/>
    </w:p>
    <w:tbl>
      <w:tblPr>
        <w:tblW w:w="0" w:type="auto"/>
        <w:tblBorders>
          <w:top w:val="single" w:sz="12" w:space="0" w:color="auto"/>
          <w:bottom w:val="single" w:sz="12" w:space="0" w:color="auto"/>
        </w:tblBorders>
        <w:tblLook w:val="00A0" w:firstRow="1" w:lastRow="0" w:firstColumn="1" w:lastColumn="0" w:noHBand="0" w:noVBand="0"/>
      </w:tblPr>
      <w:tblGrid>
        <w:gridCol w:w="2943"/>
        <w:gridCol w:w="6205"/>
      </w:tblGrid>
      <w:tr w:rsidR="00D8067A" w:rsidRPr="00794F2D" w:rsidTr="003E0E84">
        <w:trPr>
          <w:trHeight w:val="441"/>
        </w:trPr>
        <w:tc>
          <w:tcPr>
            <w:tcW w:w="2943" w:type="dxa"/>
            <w:tcBorders>
              <w:top w:val="single" w:sz="12" w:space="0" w:color="auto"/>
              <w:bottom w:val="single" w:sz="4" w:space="0" w:color="auto"/>
            </w:tcBorders>
          </w:tcPr>
          <w:p w:rsidR="00D8067A" w:rsidRPr="00794F2D" w:rsidRDefault="00D8067A" w:rsidP="004A6C8D">
            <w:pPr>
              <w:tabs>
                <w:tab w:val="left" w:pos="2835"/>
              </w:tabs>
              <w:spacing w:before="40" w:after="0" w:line="240" w:lineRule="auto"/>
              <w:jc w:val="left"/>
              <w:rPr>
                <w:rFonts w:ascii="Arial Narrow" w:hAnsi="Arial Narrow"/>
                <w:b/>
                <w:sz w:val="18"/>
                <w:szCs w:val="18"/>
              </w:rPr>
            </w:pPr>
            <w:r w:rsidRPr="00794F2D">
              <w:rPr>
                <w:rFonts w:ascii="Arial Narrow" w:hAnsi="Arial Narrow"/>
                <w:b/>
                <w:sz w:val="18"/>
                <w:szCs w:val="18"/>
              </w:rPr>
              <w:t>Type of risk factor</w:t>
            </w:r>
          </w:p>
        </w:tc>
        <w:tc>
          <w:tcPr>
            <w:tcW w:w="6205" w:type="dxa"/>
            <w:tcBorders>
              <w:top w:val="single" w:sz="12" w:space="0" w:color="auto"/>
              <w:bottom w:val="single" w:sz="4" w:space="0" w:color="auto"/>
            </w:tcBorders>
          </w:tcPr>
          <w:p w:rsidR="00D8067A" w:rsidRPr="00794F2D" w:rsidRDefault="00D8067A" w:rsidP="004A6C8D">
            <w:pPr>
              <w:tabs>
                <w:tab w:val="left" w:pos="2835"/>
              </w:tabs>
              <w:spacing w:before="40" w:after="0" w:line="240" w:lineRule="auto"/>
              <w:rPr>
                <w:rFonts w:ascii="Arial Narrow" w:hAnsi="Arial Narrow"/>
                <w:b/>
                <w:sz w:val="18"/>
                <w:szCs w:val="18"/>
              </w:rPr>
            </w:pPr>
            <w:r w:rsidRPr="00794F2D">
              <w:rPr>
                <w:rFonts w:ascii="Arial Narrow" w:hAnsi="Arial Narrow"/>
                <w:b/>
                <w:sz w:val="18"/>
                <w:szCs w:val="18"/>
              </w:rPr>
              <w:t>Examples</w:t>
            </w:r>
          </w:p>
        </w:tc>
      </w:tr>
      <w:tr w:rsidR="00D8067A" w:rsidRPr="00794F2D" w:rsidTr="003E0E84">
        <w:tc>
          <w:tcPr>
            <w:tcW w:w="2943" w:type="dxa"/>
            <w:tcBorders>
              <w:top w:val="single" w:sz="4" w:space="0" w:color="auto"/>
            </w:tcBorders>
          </w:tcPr>
          <w:p w:rsidR="00D8067A" w:rsidRPr="00794F2D" w:rsidRDefault="00D8067A" w:rsidP="004A6C8D">
            <w:pPr>
              <w:spacing w:after="0" w:line="240" w:lineRule="auto"/>
              <w:jc w:val="left"/>
              <w:rPr>
                <w:rFonts w:ascii="Arial Narrow" w:hAnsi="Arial Narrow"/>
                <w:sz w:val="18"/>
                <w:szCs w:val="18"/>
              </w:rPr>
            </w:pPr>
            <w:r w:rsidRPr="00794F2D">
              <w:rPr>
                <w:rFonts w:ascii="Arial Narrow" w:hAnsi="Arial Narrow"/>
                <w:sz w:val="18"/>
                <w:szCs w:val="18"/>
              </w:rPr>
              <w:t xml:space="preserve">Fixed (non-modifiable) risk factors </w:t>
            </w:r>
          </w:p>
        </w:tc>
        <w:tc>
          <w:tcPr>
            <w:tcW w:w="6205" w:type="dxa"/>
            <w:tcBorders>
              <w:top w:val="single" w:sz="4" w:space="0" w:color="auto"/>
            </w:tcBorders>
          </w:tcPr>
          <w:p w:rsidR="00D8067A" w:rsidRDefault="00D8067A" w:rsidP="004A6C8D">
            <w:pPr>
              <w:spacing w:after="0" w:line="240" w:lineRule="auto"/>
              <w:rPr>
                <w:rFonts w:ascii="Arial Narrow" w:hAnsi="Arial Narrow"/>
                <w:sz w:val="18"/>
                <w:szCs w:val="18"/>
              </w:rPr>
            </w:pPr>
            <w:r w:rsidRPr="00794F2D">
              <w:rPr>
                <w:rFonts w:ascii="Arial Narrow" w:hAnsi="Arial Narrow"/>
                <w:sz w:val="18"/>
                <w:szCs w:val="18"/>
              </w:rPr>
              <w:t>Age (increases with the age after 40-50)</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Sex (</w:t>
            </w:r>
            <w:r>
              <w:rPr>
                <w:rFonts w:ascii="Arial Narrow" w:hAnsi="Arial Narrow"/>
                <w:sz w:val="18"/>
                <w:szCs w:val="18"/>
              </w:rPr>
              <w:t>osteoporosis</w:t>
            </w:r>
            <w:r w:rsidRPr="00794F2D">
              <w:rPr>
                <w:rFonts w:ascii="Arial Narrow" w:hAnsi="Arial Narrow"/>
                <w:sz w:val="18"/>
                <w:szCs w:val="18"/>
              </w:rPr>
              <w:t xml:space="preserve"> affects </w:t>
            </w:r>
            <w:r>
              <w:rPr>
                <w:rFonts w:ascii="Arial Narrow" w:hAnsi="Arial Narrow"/>
                <w:sz w:val="18"/>
                <w:szCs w:val="18"/>
              </w:rPr>
              <w:t>women</w:t>
            </w:r>
            <w:r w:rsidRPr="00794F2D">
              <w:rPr>
                <w:rFonts w:ascii="Arial Narrow" w:hAnsi="Arial Narrow"/>
                <w:sz w:val="18"/>
                <w:szCs w:val="18"/>
              </w:rPr>
              <w:t xml:space="preserve"> at an earlier age)</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Menopause</w:t>
            </w:r>
          </w:p>
          <w:p w:rsidR="00D8067A" w:rsidRDefault="00D8067A" w:rsidP="004A6C8D">
            <w:pPr>
              <w:tabs>
                <w:tab w:val="left" w:pos="2835"/>
              </w:tabs>
              <w:spacing w:after="0" w:line="240" w:lineRule="auto"/>
              <w:rPr>
                <w:rFonts w:ascii="Arial Narrow" w:hAnsi="Arial Narrow"/>
                <w:sz w:val="18"/>
                <w:szCs w:val="18"/>
              </w:rPr>
            </w:pPr>
            <w:r w:rsidRPr="00794F2D">
              <w:rPr>
                <w:rFonts w:ascii="Arial Narrow" w:hAnsi="Arial Narrow"/>
                <w:sz w:val="18"/>
                <w:szCs w:val="18"/>
              </w:rPr>
              <w:t xml:space="preserve">Family history of </w:t>
            </w:r>
            <w:r>
              <w:rPr>
                <w:rFonts w:ascii="Arial Narrow" w:hAnsi="Arial Narrow"/>
                <w:sz w:val="18"/>
                <w:szCs w:val="18"/>
              </w:rPr>
              <w:t>osteoporosis</w:t>
            </w:r>
            <w:r w:rsidRPr="00794F2D">
              <w:rPr>
                <w:rFonts w:ascii="Arial Narrow" w:hAnsi="Arial Narrow"/>
                <w:sz w:val="18"/>
                <w:szCs w:val="18"/>
              </w:rPr>
              <w:t xml:space="preserve"> (genetic predisposition)</w:t>
            </w:r>
          </w:p>
          <w:p w:rsidR="00D8067A" w:rsidRPr="00794F2D" w:rsidRDefault="00D8067A" w:rsidP="004A6C8D">
            <w:pPr>
              <w:tabs>
                <w:tab w:val="left" w:pos="2835"/>
              </w:tabs>
              <w:spacing w:after="0" w:line="240" w:lineRule="auto"/>
              <w:rPr>
                <w:rFonts w:ascii="Arial Narrow" w:hAnsi="Arial Narrow"/>
                <w:sz w:val="18"/>
                <w:szCs w:val="18"/>
              </w:rPr>
            </w:pPr>
            <w:r>
              <w:rPr>
                <w:rFonts w:ascii="Arial Narrow" w:hAnsi="Arial Narrow"/>
                <w:sz w:val="18"/>
                <w:szCs w:val="18"/>
              </w:rPr>
              <w:t>Previous low trauma fracture (fragility fracture) particularly of the hip, spine or wrist.</w:t>
            </w:r>
          </w:p>
        </w:tc>
      </w:tr>
      <w:tr w:rsidR="00D8067A" w:rsidRPr="00794F2D" w:rsidTr="003E0E84">
        <w:tc>
          <w:tcPr>
            <w:tcW w:w="2943" w:type="dxa"/>
          </w:tcPr>
          <w:p w:rsidR="00D8067A" w:rsidRPr="00794F2D" w:rsidRDefault="00D8067A" w:rsidP="004A6C8D">
            <w:pPr>
              <w:spacing w:after="0" w:line="240" w:lineRule="auto"/>
              <w:jc w:val="left"/>
              <w:rPr>
                <w:rFonts w:ascii="Arial Narrow" w:hAnsi="Arial Narrow"/>
                <w:sz w:val="18"/>
                <w:szCs w:val="18"/>
              </w:rPr>
            </w:pPr>
            <w:r w:rsidRPr="00794F2D">
              <w:rPr>
                <w:rFonts w:ascii="Arial Narrow" w:hAnsi="Arial Narrow"/>
                <w:sz w:val="18"/>
                <w:szCs w:val="18"/>
              </w:rPr>
              <w:t>Lifestyle (modifiable) risk factors</w:t>
            </w:r>
          </w:p>
        </w:tc>
        <w:tc>
          <w:tcPr>
            <w:tcW w:w="6205" w:type="dxa"/>
          </w:tcPr>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 xml:space="preserve">Physical inactivity </w:t>
            </w:r>
          </w:p>
          <w:p w:rsidR="00D8067A" w:rsidRPr="00794F2D" w:rsidRDefault="00D8067A" w:rsidP="004A6C8D">
            <w:pPr>
              <w:spacing w:after="0" w:line="240" w:lineRule="auto"/>
              <w:rPr>
                <w:rFonts w:ascii="Arial Narrow" w:hAnsi="Arial Narrow"/>
                <w:sz w:val="18"/>
                <w:szCs w:val="18"/>
              </w:rPr>
            </w:pPr>
            <w:r>
              <w:rPr>
                <w:rFonts w:ascii="Arial Narrow" w:hAnsi="Arial Narrow"/>
                <w:sz w:val="18"/>
                <w:szCs w:val="18"/>
              </w:rPr>
              <w:t>Diet:</w:t>
            </w:r>
            <w:r w:rsidRPr="00794F2D">
              <w:rPr>
                <w:rFonts w:ascii="Arial Narrow" w:hAnsi="Arial Narrow"/>
                <w:sz w:val="18"/>
                <w:szCs w:val="18"/>
              </w:rPr>
              <w:t xml:space="preserve"> low calcium intake </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 xml:space="preserve">Vitamin D deficiency </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 xml:space="preserve">Tobacco smoking </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 xml:space="preserve">Excessive alcohol consumption </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Low body mass index (BMI &lt;18.5)</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Anorexia/exercise induced amenorrhoea</w:t>
            </w:r>
          </w:p>
          <w:p w:rsidR="00D8067A" w:rsidRPr="00794F2D" w:rsidRDefault="00D8067A" w:rsidP="004A6C8D">
            <w:pPr>
              <w:spacing w:after="0" w:line="240" w:lineRule="auto"/>
              <w:rPr>
                <w:rFonts w:ascii="Arial Narrow" w:hAnsi="Arial Narrow"/>
                <w:sz w:val="18"/>
                <w:szCs w:val="18"/>
              </w:rPr>
            </w:pPr>
            <w:r w:rsidRPr="00794F2D">
              <w:rPr>
                <w:rFonts w:ascii="Arial Narrow" w:hAnsi="Arial Narrow"/>
                <w:sz w:val="18"/>
                <w:szCs w:val="18"/>
              </w:rPr>
              <w:t>Excessively high body mass index</w:t>
            </w:r>
          </w:p>
        </w:tc>
      </w:tr>
      <w:tr w:rsidR="00D8067A" w:rsidRPr="00794F2D" w:rsidTr="003E0E84">
        <w:tc>
          <w:tcPr>
            <w:tcW w:w="2943" w:type="dxa"/>
            <w:tcBorders>
              <w:bottom w:val="nil"/>
            </w:tcBorders>
          </w:tcPr>
          <w:p w:rsidR="00D8067A" w:rsidRPr="00794F2D" w:rsidRDefault="00D8067A" w:rsidP="004A6C8D">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 Diseases implicated in OP</w:t>
            </w:r>
          </w:p>
          <w:p w:rsidR="00D8067A" w:rsidRPr="00794F2D" w:rsidRDefault="00D8067A" w:rsidP="004A6C8D">
            <w:pPr>
              <w:tabs>
                <w:tab w:val="left" w:pos="2835"/>
              </w:tabs>
              <w:spacing w:before="40" w:after="0" w:line="240" w:lineRule="auto"/>
              <w:jc w:val="left"/>
              <w:rPr>
                <w:rFonts w:ascii="Arial Narrow" w:hAnsi="Arial Narrow"/>
                <w:sz w:val="18"/>
                <w:szCs w:val="18"/>
              </w:rPr>
            </w:pPr>
          </w:p>
        </w:tc>
        <w:tc>
          <w:tcPr>
            <w:tcW w:w="6205" w:type="dxa"/>
            <w:tcBorders>
              <w:bottom w:val="nil"/>
            </w:tcBorders>
          </w:tcPr>
          <w:p w:rsidR="00D8067A" w:rsidRPr="00794F2D" w:rsidRDefault="00D8067A" w:rsidP="004A6C8D">
            <w:pPr>
              <w:tabs>
                <w:tab w:val="left" w:pos="0"/>
                <w:tab w:val="left" w:pos="34"/>
              </w:tabs>
              <w:spacing w:before="40" w:after="0" w:line="240" w:lineRule="auto"/>
              <w:jc w:val="left"/>
              <w:rPr>
                <w:rFonts w:ascii="Arial Narrow" w:hAnsi="Arial Narrow"/>
                <w:sz w:val="18"/>
                <w:szCs w:val="18"/>
              </w:rPr>
            </w:pPr>
            <w:r w:rsidRPr="00794F2D">
              <w:rPr>
                <w:rFonts w:ascii="Arial Narrow" w:hAnsi="Arial Narrow"/>
                <w:sz w:val="18"/>
                <w:szCs w:val="18"/>
              </w:rPr>
              <w:t xml:space="preserve">Rheumatoid arthritis </w:t>
            </w:r>
          </w:p>
          <w:p w:rsidR="00D8067A" w:rsidRDefault="00D8067A" w:rsidP="004A6C8D">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Hyperthyroidism</w:t>
            </w:r>
          </w:p>
          <w:p w:rsidR="00D8067A" w:rsidRDefault="00D8067A" w:rsidP="004A6C8D">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Hyperparathyroidism</w:t>
            </w:r>
          </w:p>
          <w:p w:rsidR="00D8067A" w:rsidRDefault="00D8067A" w:rsidP="004A6C8D">
            <w:pPr>
              <w:tabs>
                <w:tab w:val="left" w:pos="0"/>
                <w:tab w:val="left" w:pos="34"/>
              </w:tabs>
              <w:spacing w:before="40" w:after="0" w:line="240" w:lineRule="auto"/>
              <w:jc w:val="left"/>
              <w:rPr>
                <w:rFonts w:ascii="Arial Narrow" w:hAnsi="Arial Narrow"/>
                <w:sz w:val="18"/>
                <w:szCs w:val="18"/>
              </w:rPr>
            </w:pPr>
            <w:proofErr w:type="spellStart"/>
            <w:r>
              <w:rPr>
                <w:rFonts w:ascii="Arial Narrow" w:hAnsi="Arial Narrow"/>
                <w:sz w:val="18"/>
                <w:szCs w:val="18"/>
              </w:rPr>
              <w:t>Hypogonadism</w:t>
            </w:r>
            <w:proofErr w:type="spellEnd"/>
            <w:r>
              <w:rPr>
                <w:rFonts w:ascii="Arial Narrow" w:hAnsi="Arial Narrow"/>
                <w:sz w:val="18"/>
                <w:szCs w:val="18"/>
              </w:rPr>
              <w:t>, including early menopause</w:t>
            </w:r>
          </w:p>
          <w:p w:rsidR="00D8067A" w:rsidRPr="00794F2D" w:rsidRDefault="00D8067A" w:rsidP="004A6C8D">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Cushing’s syndrome</w:t>
            </w:r>
          </w:p>
          <w:p w:rsidR="00D8067A" w:rsidRPr="00794F2D" w:rsidRDefault="00D8067A" w:rsidP="004A6C8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gut conditions including coeliac disease, and inflammatory bowel disease</w:t>
            </w:r>
          </w:p>
          <w:p w:rsidR="00D8067A" w:rsidRPr="00794F2D" w:rsidRDefault="00D8067A" w:rsidP="004A6C8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liver disease</w:t>
            </w:r>
          </w:p>
          <w:p w:rsidR="00D8067A" w:rsidRPr="00794F2D" w:rsidRDefault="00D8067A" w:rsidP="004A6C8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renal disease</w:t>
            </w:r>
          </w:p>
          <w:p w:rsidR="00D8067A" w:rsidRPr="00794F2D" w:rsidRDefault="00D8067A" w:rsidP="004A6C8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Some cancers (</w:t>
            </w:r>
            <w:proofErr w:type="spellStart"/>
            <w:r w:rsidRPr="00794F2D">
              <w:rPr>
                <w:rFonts w:ascii="Arial Narrow" w:hAnsi="Arial Narrow"/>
                <w:sz w:val="18"/>
                <w:szCs w:val="18"/>
              </w:rPr>
              <w:t>eg</w:t>
            </w:r>
            <w:proofErr w:type="spellEnd"/>
            <w:r w:rsidRPr="00794F2D">
              <w:rPr>
                <w:rFonts w:ascii="Arial Narrow" w:hAnsi="Arial Narrow"/>
                <w:sz w:val="18"/>
                <w:szCs w:val="18"/>
              </w:rPr>
              <w:t xml:space="preserve"> myeloma)</w:t>
            </w:r>
          </w:p>
          <w:p w:rsidR="00D8067A" w:rsidRPr="00794F2D" w:rsidRDefault="00D8067A" w:rsidP="004A6C8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Type 1 diabetes</w:t>
            </w:r>
          </w:p>
          <w:p w:rsidR="00D8067A" w:rsidRPr="00794F2D" w:rsidRDefault="00D8067A" w:rsidP="004A6C8D">
            <w:pPr>
              <w:tabs>
                <w:tab w:val="left" w:pos="0"/>
              </w:tabs>
              <w:spacing w:before="40" w:after="0" w:line="240" w:lineRule="auto"/>
              <w:jc w:val="left"/>
              <w:rPr>
                <w:rFonts w:ascii="Arial Narrow" w:hAnsi="Arial Narrow"/>
                <w:sz w:val="18"/>
                <w:szCs w:val="18"/>
              </w:rPr>
            </w:pPr>
            <w:proofErr w:type="spellStart"/>
            <w:r w:rsidRPr="00794F2D">
              <w:rPr>
                <w:rFonts w:ascii="Arial Narrow" w:hAnsi="Arial Narrow"/>
                <w:sz w:val="18"/>
                <w:szCs w:val="18"/>
              </w:rPr>
              <w:t>Gastrectomy</w:t>
            </w:r>
            <w:proofErr w:type="spellEnd"/>
          </w:p>
          <w:p w:rsidR="00D8067A" w:rsidRPr="00794F2D" w:rsidRDefault="00D8067A" w:rsidP="004A6C8D">
            <w:pPr>
              <w:tabs>
                <w:tab w:val="left" w:pos="0"/>
              </w:tabs>
              <w:spacing w:before="40" w:after="0" w:line="240" w:lineRule="auto"/>
              <w:jc w:val="left"/>
              <w:rPr>
                <w:rFonts w:ascii="Arial Narrow" w:hAnsi="Arial Narrow"/>
                <w:sz w:val="18"/>
                <w:szCs w:val="18"/>
              </w:rPr>
            </w:pPr>
            <w:proofErr w:type="spellStart"/>
            <w:r w:rsidRPr="00794F2D">
              <w:rPr>
                <w:rFonts w:ascii="Arial Narrow" w:hAnsi="Arial Narrow"/>
                <w:sz w:val="18"/>
                <w:szCs w:val="18"/>
              </w:rPr>
              <w:t>Ankylosing</w:t>
            </w:r>
            <w:proofErr w:type="spellEnd"/>
            <w:r w:rsidRPr="00794F2D">
              <w:rPr>
                <w:rFonts w:ascii="Arial Narrow" w:hAnsi="Arial Narrow"/>
                <w:sz w:val="18"/>
                <w:szCs w:val="18"/>
              </w:rPr>
              <w:t xml:space="preserve"> spondylitis</w:t>
            </w:r>
          </w:p>
        </w:tc>
      </w:tr>
      <w:tr w:rsidR="00D8067A" w:rsidRPr="00794F2D" w:rsidTr="003E0E84">
        <w:tc>
          <w:tcPr>
            <w:tcW w:w="2943" w:type="dxa"/>
            <w:tcBorders>
              <w:top w:val="nil"/>
              <w:bottom w:val="single" w:sz="12" w:space="0" w:color="auto"/>
            </w:tcBorders>
          </w:tcPr>
          <w:p w:rsidR="00D8067A" w:rsidRPr="00794F2D" w:rsidRDefault="00D8067A" w:rsidP="004A6C8D">
            <w:pPr>
              <w:tabs>
                <w:tab w:val="left" w:pos="2835"/>
              </w:tabs>
              <w:spacing w:before="40" w:after="0" w:line="240" w:lineRule="auto"/>
              <w:rPr>
                <w:rFonts w:ascii="Arial Narrow" w:hAnsi="Arial Narrow"/>
                <w:sz w:val="18"/>
                <w:szCs w:val="18"/>
              </w:rPr>
            </w:pPr>
            <w:r w:rsidRPr="00794F2D">
              <w:rPr>
                <w:rFonts w:ascii="Arial Narrow" w:hAnsi="Arial Narrow"/>
                <w:sz w:val="18"/>
                <w:szCs w:val="18"/>
              </w:rPr>
              <w:t>Drug therapies implicated in OP</w:t>
            </w:r>
          </w:p>
          <w:p w:rsidR="00D8067A" w:rsidRPr="00794F2D" w:rsidRDefault="00D8067A" w:rsidP="004A6C8D">
            <w:pPr>
              <w:tabs>
                <w:tab w:val="left" w:pos="2835"/>
              </w:tabs>
              <w:spacing w:before="40" w:after="0" w:line="240" w:lineRule="auto"/>
              <w:jc w:val="left"/>
              <w:rPr>
                <w:rFonts w:ascii="Arial Narrow" w:hAnsi="Arial Narrow"/>
                <w:sz w:val="18"/>
                <w:szCs w:val="18"/>
              </w:rPr>
            </w:pPr>
          </w:p>
        </w:tc>
        <w:tc>
          <w:tcPr>
            <w:tcW w:w="6205" w:type="dxa"/>
            <w:tcBorders>
              <w:top w:val="nil"/>
              <w:bottom w:val="single" w:sz="12" w:space="0" w:color="auto"/>
            </w:tcBorders>
          </w:tcPr>
          <w:p w:rsidR="00D8067A" w:rsidRPr="00794F2D" w:rsidRDefault="00D8067A" w:rsidP="004A6C8D">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Chemotherapy </w:t>
            </w:r>
          </w:p>
          <w:p w:rsidR="00D8067A" w:rsidRPr="00794F2D" w:rsidRDefault="00D8067A" w:rsidP="004A6C8D">
            <w:pPr>
              <w:tabs>
                <w:tab w:val="left" w:pos="2835"/>
              </w:tabs>
              <w:spacing w:before="40" w:after="0" w:line="240" w:lineRule="auto"/>
              <w:rPr>
                <w:rFonts w:ascii="Arial Narrow" w:hAnsi="Arial Narrow"/>
                <w:sz w:val="18"/>
                <w:szCs w:val="18"/>
              </w:rPr>
            </w:pPr>
            <w:r w:rsidRPr="00794F2D">
              <w:rPr>
                <w:rFonts w:ascii="Arial Narrow" w:hAnsi="Arial Narrow"/>
                <w:sz w:val="18"/>
                <w:szCs w:val="18"/>
              </w:rPr>
              <w:t>Aromatase inhibitors for the treatment of breast cancer</w:t>
            </w:r>
          </w:p>
          <w:p w:rsidR="00D8067A" w:rsidRPr="00794F2D" w:rsidRDefault="00D8067A" w:rsidP="004A6C8D">
            <w:pPr>
              <w:tabs>
                <w:tab w:val="left" w:pos="2835"/>
              </w:tabs>
              <w:spacing w:before="40" w:after="0" w:line="240" w:lineRule="auto"/>
              <w:rPr>
                <w:rFonts w:ascii="Arial Narrow" w:hAnsi="Arial Narrow"/>
                <w:sz w:val="18"/>
                <w:szCs w:val="18"/>
              </w:rPr>
            </w:pPr>
            <w:r>
              <w:rPr>
                <w:rFonts w:ascii="Arial Narrow" w:hAnsi="Arial Narrow"/>
                <w:sz w:val="18"/>
                <w:szCs w:val="18"/>
              </w:rPr>
              <w:t>Long-term c</w:t>
            </w:r>
            <w:r w:rsidRPr="00794F2D">
              <w:rPr>
                <w:rFonts w:ascii="Arial Narrow" w:hAnsi="Arial Narrow"/>
                <w:sz w:val="18"/>
                <w:szCs w:val="18"/>
              </w:rPr>
              <w:t>orticosteroid use</w:t>
            </w:r>
          </w:p>
          <w:p w:rsidR="00D8067A" w:rsidRPr="00794F2D" w:rsidRDefault="00D8067A" w:rsidP="004A6C8D">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Anti-androgenic treatments for </w:t>
            </w:r>
            <w:r>
              <w:rPr>
                <w:rFonts w:ascii="Arial Narrow" w:hAnsi="Arial Narrow"/>
                <w:sz w:val="18"/>
                <w:szCs w:val="18"/>
              </w:rPr>
              <w:t>p</w:t>
            </w:r>
            <w:r w:rsidRPr="00794F2D">
              <w:rPr>
                <w:rFonts w:ascii="Arial Narrow" w:hAnsi="Arial Narrow"/>
                <w:sz w:val="18"/>
                <w:szCs w:val="18"/>
              </w:rPr>
              <w:t xml:space="preserve">rostate </w:t>
            </w:r>
            <w:r>
              <w:rPr>
                <w:rFonts w:ascii="Arial Narrow" w:hAnsi="Arial Narrow"/>
                <w:sz w:val="18"/>
                <w:szCs w:val="18"/>
              </w:rPr>
              <w:t>c</w:t>
            </w:r>
            <w:r w:rsidRPr="00794F2D">
              <w:rPr>
                <w:rFonts w:ascii="Arial Narrow" w:hAnsi="Arial Narrow"/>
                <w:sz w:val="18"/>
                <w:szCs w:val="18"/>
              </w:rPr>
              <w:t>ancer</w:t>
            </w:r>
          </w:p>
        </w:tc>
      </w:tr>
      <w:tr w:rsidR="00D8067A" w:rsidRPr="00794F2D" w:rsidTr="003E0E84">
        <w:tc>
          <w:tcPr>
            <w:tcW w:w="9148" w:type="dxa"/>
            <w:gridSpan w:val="2"/>
            <w:tcBorders>
              <w:top w:val="single" w:sz="12" w:space="0" w:color="auto"/>
              <w:bottom w:val="nil"/>
            </w:tcBorders>
          </w:tcPr>
          <w:p w:rsidR="00D8067A" w:rsidRPr="00794F2D" w:rsidRDefault="00D8067A" w:rsidP="004A6C8D">
            <w:pPr>
              <w:spacing w:after="0" w:line="240" w:lineRule="auto"/>
              <w:rPr>
                <w:rFonts w:ascii="Arial Narrow" w:hAnsi="Arial Narrow"/>
                <w:sz w:val="16"/>
                <w:szCs w:val="16"/>
              </w:rPr>
            </w:pPr>
            <w:r w:rsidRPr="00794F2D">
              <w:rPr>
                <w:rFonts w:ascii="Arial Narrow" w:hAnsi="Arial Narrow"/>
                <w:sz w:val="16"/>
                <w:szCs w:val="16"/>
              </w:rPr>
              <w:t xml:space="preserve">Source; AIHW (2008 and 2010), Osteoporosis Australia 2011, Smith 2006 and </w:t>
            </w:r>
            <w:proofErr w:type="spellStart"/>
            <w:r w:rsidRPr="00794F2D">
              <w:rPr>
                <w:rFonts w:ascii="Arial Narrow" w:hAnsi="Arial Narrow"/>
                <w:sz w:val="16"/>
                <w:szCs w:val="16"/>
              </w:rPr>
              <w:t>Bjarnson</w:t>
            </w:r>
            <w:proofErr w:type="spellEnd"/>
            <w:r w:rsidRPr="00794F2D">
              <w:rPr>
                <w:rFonts w:ascii="Arial Narrow" w:hAnsi="Arial Narrow"/>
                <w:sz w:val="16"/>
                <w:szCs w:val="16"/>
              </w:rPr>
              <w:t xml:space="preserve"> et al 2008</w:t>
            </w:r>
          </w:p>
        </w:tc>
      </w:tr>
    </w:tbl>
    <w:p w:rsidR="00D8067A" w:rsidRDefault="00D8067A" w:rsidP="00075E36">
      <w:pPr>
        <w:pStyle w:val="Caption"/>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9148"/>
      </w:tblGrid>
      <w:tr w:rsidR="00D8067A" w:rsidRPr="00075E36" w:rsidTr="00A25C50">
        <w:tc>
          <w:tcPr>
            <w:tcW w:w="9148" w:type="dxa"/>
            <w:tcBorders>
              <w:bottom w:val="nil"/>
            </w:tcBorders>
          </w:tcPr>
          <w:p w:rsidR="00D8067A" w:rsidRPr="00075E36" w:rsidRDefault="00D8067A" w:rsidP="001B2CF7">
            <w:pPr>
              <w:tabs>
                <w:tab w:val="left" w:pos="2835"/>
              </w:tabs>
              <w:spacing w:before="40" w:after="0" w:line="240" w:lineRule="auto"/>
              <w:jc w:val="left"/>
              <w:rPr>
                <w:rFonts w:ascii="Arial Narrow" w:eastAsia="Times New Roman" w:hAnsi="Arial Narrow"/>
                <w:lang w:eastAsia="en-US"/>
              </w:rPr>
            </w:pPr>
          </w:p>
        </w:tc>
      </w:tr>
    </w:tbl>
    <w:p w:rsidR="00D8067A" w:rsidRDefault="00D8067A" w:rsidP="00D34BAD">
      <w:pPr>
        <w:jc w:val="left"/>
        <w:rPr>
          <w:rFonts w:eastAsia="Times New Roman"/>
          <w:b/>
          <w:lang w:eastAsia="en-US"/>
        </w:rPr>
      </w:pPr>
    </w:p>
    <w:p w:rsidR="00D8067A" w:rsidRPr="00A67624" w:rsidRDefault="00D8067A" w:rsidP="00D34BAD">
      <w:pPr>
        <w:jc w:val="left"/>
        <w:rPr>
          <w:rFonts w:eastAsia="Times New Roman"/>
          <w:b/>
          <w:lang w:eastAsia="en-US"/>
        </w:rPr>
      </w:pPr>
      <w:r w:rsidRPr="00A67624">
        <w:rPr>
          <w:rFonts w:eastAsia="Times New Roman"/>
          <w:b/>
          <w:lang w:eastAsia="en-US"/>
        </w:rPr>
        <w:t>Aromatase inhibitors for hormone receptor positive breast cancer</w:t>
      </w:r>
    </w:p>
    <w:p w:rsidR="00D8067A" w:rsidRPr="00A67624" w:rsidRDefault="00D8067A" w:rsidP="00A66697">
      <w:pPr>
        <w:rPr>
          <w:rFonts w:eastAsia="Times New Roman"/>
          <w:lang w:eastAsia="en-US"/>
        </w:rPr>
      </w:pPr>
      <w:r w:rsidRPr="00A67624">
        <w:rPr>
          <w:rFonts w:eastAsia="Times New Roman"/>
          <w:lang w:eastAsia="en-US"/>
        </w:rPr>
        <w:t xml:space="preserve">In hormone receptor-positive breast cancer the proliferation of mammary carcinoma cells is dependent on oestrogen. </w:t>
      </w:r>
      <w:r>
        <w:rPr>
          <w:rFonts w:eastAsia="Times New Roman"/>
          <w:lang w:eastAsia="en-US"/>
        </w:rPr>
        <w:t>O</w:t>
      </w:r>
      <w:r w:rsidRPr="00A67624">
        <w:rPr>
          <w:rFonts w:eastAsia="Times New Roman"/>
          <w:lang w:eastAsia="en-US"/>
        </w:rPr>
        <w:t>estrogen is biosynthesized from androgens by the enzyme complex aromatase and in premenopausal women the highest levels of aromatase are present in the ovaries whilst in postmenopausal women aromatase activity occurs primarily in the peripheral adipose tissues</w:t>
      </w:r>
      <w:r>
        <w:rPr>
          <w:rFonts w:eastAsia="Times New Roman"/>
          <w:lang w:eastAsia="en-US"/>
        </w:rPr>
        <w:t>.</w:t>
      </w:r>
      <w:r w:rsidRPr="00A67624">
        <w:rPr>
          <w:rFonts w:eastAsia="Times New Roman"/>
          <w:lang w:eastAsia="en-US"/>
        </w:rPr>
        <w:t xml:space="preserve"> </w:t>
      </w:r>
      <w:r>
        <w:rPr>
          <w:rFonts w:eastAsia="Times New Roman"/>
          <w:lang w:eastAsia="en-US"/>
        </w:rPr>
        <w:t>In women with</w:t>
      </w:r>
      <w:r w:rsidRPr="007C5E2F">
        <w:t xml:space="preserve"> </w:t>
      </w:r>
      <w:r w:rsidRPr="007C5E2F">
        <w:rPr>
          <w:rFonts w:eastAsia="Times New Roman"/>
          <w:lang w:eastAsia="en-US"/>
        </w:rPr>
        <w:t>hormone receptor-positive breast cancer</w:t>
      </w:r>
      <w:r>
        <w:rPr>
          <w:rFonts w:eastAsia="Times New Roman"/>
          <w:lang w:eastAsia="en-US"/>
        </w:rPr>
        <w:t>, e</w:t>
      </w:r>
      <w:r w:rsidRPr="00A67624">
        <w:rPr>
          <w:rFonts w:eastAsia="Times New Roman"/>
          <w:lang w:eastAsia="en-US"/>
        </w:rPr>
        <w:t xml:space="preserve">xpression of aromatase is </w:t>
      </w:r>
      <w:r>
        <w:rPr>
          <w:rFonts w:eastAsia="Times New Roman"/>
          <w:lang w:eastAsia="en-US"/>
        </w:rPr>
        <w:t xml:space="preserve">also </w:t>
      </w:r>
      <w:r w:rsidRPr="00A67624">
        <w:rPr>
          <w:rFonts w:eastAsia="Times New Roman"/>
          <w:lang w:eastAsia="en-US"/>
        </w:rPr>
        <w:t xml:space="preserve">high at or near breast tumour sites. Common therapies for hormone receptor positive breast cancer include </w:t>
      </w:r>
      <w:r>
        <w:rPr>
          <w:rFonts w:eastAsia="Times New Roman"/>
          <w:lang w:eastAsia="en-US"/>
        </w:rPr>
        <w:t>a</w:t>
      </w:r>
      <w:r w:rsidRPr="00A67624">
        <w:rPr>
          <w:rFonts w:eastAsia="Times New Roman"/>
          <w:lang w:eastAsia="en-US"/>
        </w:rPr>
        <w:t>romatase inhibitors</w:t>
      </w:r>
      <w:r>
        <w:rPr>
          <w:rFonts w:eastAsia="Times New Roman"/>
          <w:lang w:eastAsia="en-US"/>
        </w:rPr>
        <w:t xml:space="preserve"> (AIs)</w:t>
      </w:r>
      <w:r w:rsidRPr="00A67624">
        <w:rPr>
          <w:rFonts w:eastAsia="Times New Roman"/>
          <w:lang w:eastAsia="en-US"/>
        </w:rPr>
        <w:t xml:space="preserve"> and </w:t>
      </w:r>
      <w:proofErr w:type="spellStart"/>
      <w:r>
        <w:rPr>
          <w:rFonts w:eastAsia="Times New Roman"/>
          <w:lang w:eastAsia="en-US"/>
        </w:rPr>
        <w:t>t</w:t>
      </w:r>
      <w:r w:rsidRPr="00A67624">
        <w:rPr>
          <w:rFonts w:eastAsia="Times New Roman"/>
          <w:lang w:eastAsia="en-US"/>
        </w:rPr>
        <w:t>amoxifen</w:t>
      </w:r>
      <w:proofErr w:type="spellEnd"/>
      <w:r w:rsidRPr="00A67624">
        <w:rPr>
          <w:rFonts w:eastAsia="Times New Roman"/>
          <w:lang w:eastAsia="en-US"/>
        </w:rPr>
        <w:t xml:space="preserve">. Aromatase inhibitors act by inactivating the aromatase enzyme complex and reduce circulating oestrogen whilst </w:t>
      </w:r>
      <w:proofErr w:type="spellStart"/>
      <w:r>
        <w:rPr>
          <w:rFonts w:eastAsia="Times New Roman"/>
          <w:lang w:eastAsia="en-US"/>
        </w:rPr>
        <w:t>tamoxifen</w:t>
      </w:r>
      <w:proofErr w:type="spellEnd"/>
      <w:r w:rsidRPr="00A67624">
        <w:rPr>
          <w:rFonts w:eastAsia="Times New Roman"/>
          <w:lang w:eastAsia="en-US"/>
        </w:rPr>
        <w:t xml:space="preserve"> acts on oestrogen receptors as an oestrogen antagonist in breast tissue</w:t>
      </w:r>
      <w:r w:rsidRPr="00A47640">
        <w:t xml:space="preserve"> </w:t>
      </w:r>
      <w:r>
        <w:t>(</w:t>
      </w:r>
      <w:proofErr w:type="spellStart"/>
      <w:r>
        <w:rPr>
          <w:rFonts w:eastAsia="Times New Roman"/>
          <w:lang w:eastAsia="en-US"/>
        </w:rPr>
        <w:t>Bjarnason</w:t>
      </w:r>
      <w:proofErr w:type="spellEnd"/>
      <w:r>
        <w:rPr>
          <w:rFonts w:eastAsia="Times New Roman"/>
          <w:lang w:eastAsia="en-US"/>
        </w:rPr>
        <w:t xml:space="preserve"> et al </w:t>
      </w:r>
      <w:r w:rsidRPr="00A47640">
        <w:rPr>
          <w:rFonts w:eastAsia="Times New Roman"/>
          <w:lang w:eastAsia="en-US"/>
        </w:rPr>
        <w:t>2008)</w:t>
      </w:r>
      <w:r w:rsidRPr="00A67624">
        <w:rPr>
          <w:rFonts w:eastAsia="Times New Roman"/>
          <w:lang w:eastAsia="en-US"/>
        </w:rPr>
        <w:t xml:space="preserve">. Aromatase inhibitors have been shown to be effective in the treatment for hormone receptor-positive breast cancer in postmenopausal women and </w:t>
      </w:r>
      <w:r>
        <w:rPr>
          <w:rFonts w:eastAsia="Times New Roman"/>
          <w:lang w:eastAsia="en-US"/>
        </w:rPr>
        <w:t xml:space="preserve">in </w:t>
      </w:r>
      <w:r w:rsidRPr="00A67624">
        <w:rPr>
          <w:rFonts w:eastAsia="Times New Roman"/>
          <w:lang w:eastAsia="en-US"/>
        </w:rPr>
        <w:t xml:space="preserve">women who have experienced failure of </w:t>
      </w:r>
      <w:proofErr w:type="spellStart"/>
      <w:r>
        <w:rPr>
          <w:rFonts w:eastAsia="Times New Roman"/>
          <w:lang w:eastAsia="en-US"/>
        </w:rPr>
        <w:t>tamoxifen</w:t>
      </w:r>
      <w:proofErr w:type="spellEnd"/>
      <w:r w:rsidRPr="00A67624">
        <w:rPr>
          <w:rFonts w:eastAsia="Times New Roman"/>
          <w:lang w:eastAsia="en-US"/>
        </w:rPr>
        <w:t xml:space="preserve"> or failure of </w:t>
      </w:r>
      <w:proofErr w:type="spellStart"/>
      <w:r>
        <w:rPr>
          <w:rFonts w:eastAsia="Times New Roman"/>
          <w:lang w:eastAsia="en-US"/>
        </w:rPr>
        <w:t>tamoxifen</w:t>
      </w:r>
      <w:proofErr w:type="spellEnd"/>
      <w:r w:rsidRPr="00A67624">
        <w:rPr>
          <w:rFonts w:eastAsia="Times New Roman"/>
          <w:lang w:eastAsia="en-US"/>
        </w:rPr>
        <w:t xml:space="preserve"> plus other hormonal therapy. In these patients</w:t>
      </w:r>
      <w:r>
        <w:rPr>
          <w:rFonts w:eastAsia="Times New Roman"/>
          <w:lang w:eastAsia="en-US"/>
        </w:rPr>
        <w:t>,</w:t>
      </w:r>
      <w:r w:rsidRPr="00A67624">
        <w:rPr>
          <w:rFonts w:eastAsia="Times New Roman"/>
          <w:lang w:eastAsia="en-US"/>
        </w:rPr>
        <w:t xml:space="preserve"> </w:t>
      </w:r>
      <w:proofErr w:type="spellStart"/>
      <w:r w:rsidRPr="00A67624">
        <w:rPr>
          <w:rFonts w:eastAsia="Times New Roman"/>
          <w:lang w:eastAsia="en-US"/>
        </w:rPr>
        <w:t>Bjarnason</w:t>
      </w:r>
      <w:proofErr w:type="spellEnd"/>
      <w:r w:rsidRPr="00A67624">
        <w:rPr>
          <w:rFonts w:eastAsia="Times New Roman"/>
          <w:lang w:eastAsia="en-US"/>
        </w:rPr>
        <w:t xml:space="preserve"> et al (2008) indicates that AIs produce higher cure rates and have a more favourable toxicity profile. </w:t>
      </w:r>
    </w:p>
    <w:p w:rsidR="00D8067A" w:rsidRDefault="00D8067A" w:rsidP="00A66697">
      <w:pPr>
        <w:rPr>
          <w:rFonts w:eastAsia="Times New Roman"/>
          <w:lang w:eastAsia="en-US"/>
        </w:rPr>
      </w:pPr>
      <w:r w:rsidRPr="00A67624">
        <w:rPr>
          <w:rFonts w:eastAsia="Times New Roman"/>
          <w:lang w:eastAsia="en-US"/>
        </w:rPr>
        <w:lastRenderedPageBreak/>
        <w:t xml:space="preserve">Several studies comparing the effects of AIs and </w:t>
      </w:r>
      <w:proofErr w:type="spellStart"/>
      <w:r>
        <w:rPr>
          <w:rFonts w:eastAsia="Times New Roman"/>
          <w:lang w:eastAsia="en-US"/>
        </w:rPr>
        <w:t>tamoxifen</w:t>
      </w:r>
      <w:proofErr w:type="spellEnd"/>
      <w:r w:rsidRPr="00A67624">
        <w:rPr>
          <w:rFonts w:eastAsia="Times New Roman"/>
          <w:lang w:eastAsia="en-US"/>
        </w:rPr>
        <w:t xml:space="preserve"> on BMD have reported significantly higher rates of bone-turnover in patients treated with AIs (Perez et al 2006, </w:t>
      </w:r>
      <w:proofErr w:type="spellStart"/>
      <w:r w:rsidRPr="00A67624">
        <w:rPr>
          <w:rFonts w:eastAsia="Times New Roman"/>
          <w:lang w:eastAsia="en-US"/>
        </w:rPr>
        <w:t>Confavreux</w:t>
      </w:r>
      <w:proofErr w:type="spellEnd"/>
      <w:r w:rsidRPr="00A67624">
        <w:rPr>
          <w:rFonts w:eastAsia="Times New Roman"/>
          <w:lang w:eastAsia="en-US"/>
        </w:rPr>
        <w:t xml:space="preserve"> et al 2007 and </w:t>
      </w:r>
      <w:proofErr w:type="spellStart"/>
      <w:r w:rsidRPr="00A67624">
        <w:rPr>
          <w:rFonts w:eastAsia="Times New Roman"/>
          <w:lang w:eastAsia="en-US"/>
        </w:rPr>
        <w:t>Hadji</w:t>
      </w:r>
      <w:proofErr w:type="spellEnd"/>
      <w:r w:rsidRPr="00A67624">
        <w:rPr>
          <w:rFonts w:eastAsia="Times New Roman"/>
          <w:lang w:eastAsia="en-US"/>
        </w:rPr>
        <w:t xml:space="preserve"> et al 2009). In addition</w:t>
      </w:r>
      <w:r>
        <w:rPr>
          <w:rFonts w:eastAsia="Times New Roman"/>
          <w:lang w:eastAsia="en-US"/>
        </w:rPr>
        <w:t>,</w:t>
      </w:r>
      <w:r w:rsidRPr="00A67624">
        <w:rPr>
          <w:rFonts w:eastAsia="Times New Roman"/>
          <w:lang w:eastAsia="en-US"/>
        </w:rPr>
        <w:t xml:space="preserve"> several trials</w:t>
      </w:r>
      <w:r>
        <w:rPr>
          <w:rFonts w:eastAsia="Times New Roman"/>
          <w:lang w:eastAsia="en-US"/>
        </w:rPr>
        <w:t xml:space="preserve"> comparing treatment with AIs to </w:t>
      </w:r>
      <w:proofErr w:type="spellStart"/>
      <w:r>
        <w:rPr>
          <w:rFonts w:eastAsia="Times New Roman"/>
          <w:lang w:eastAsia="en-US"/>
        </w:rPr>
        <w:t>tamoxifen</w:t>
      </w:r>
      <w:proofErr w:type="spellEnd"/>
      <w:r>
        <w:rPr>
          <w:rFonts w:eastAsia="Times New Roman"/>
          <w:lang w:eastAsia="en-US"/>
        </w:rPr>
        <w:t xml:space="preserve"> have reported higher rates of fracture in patients treated with AIs. O</w:t>
      </w:r>
      <w:r w:rsidRPr="00A67624">
        <w:rPr>
          <w:rFonts w:eastAsia="Times New Roman"/>
          <w:lang w:eastAsia="en-US"/>
        </w:rPr>
        <w:t>ne trial (</w:t>
      </w:r>
      <w:proofErr w:type="spellStart"/>
      <w:r w:rsidRPr="00A67624">
        <w:rPr>
          <w:rFonts w:eastAsia="Times New Roman"/>
          <w:lang w:eastAsia="en-US"/>
        </w:rPr>
        <w:t>Cuzi</w:t>
      </w:r>
      <w:r w:rsidR="0072030D">
        <w:rPr>
          <w:rFonts w:eastAsia="Times New Roman"/>
          <w:lang w:eastAsia="en-US"/>
        </w:rPr>
        <w:t>c</w:t>
      </w:r>
      <w:r w:rsidRPr="00A67624">
        <w:rPr>
          <w:rFonts w:eastAsia="Times New Roman"/>
          <w:lang w:eastAsia="en-US"/>
        </w:rPr>
        <w:t>k</w:t>
      </w:r>
      <w:proofErr w:type="spellEnd"/>
      <w:r w:rsidRPr="00A67624">
        <w:rPr>
          <w:rFonts w:eastAsia="Times New Roman"/>
          <w:lang w:eastAsia="en-US"/>
        </w:rPr>
        <w:t xml:space="preserve"> et al 2010) </w:t>
      </w:r>
      <w:r>
        <w:rPr>
          <w:rFonts w:eastAsia="Times New Roman"/>
          <w:lang w:eastAsia="en-US"/>
        </w:rPr>
        <w:t xml:space="preserve">had a median </w:t>
      </w:r>
      <w:r w:rsidRPr="00A67624">
        <w:rPr>
          <w:rFonts w:eastAsia="Times New Roman"/>
          <w:lang w:eastAsia="en-US"/>
        </w:rPr>
        <w:t>follow up of 120 months</w:t>
      </w:r>
      <w:r>
        <w:rPr>
          <w:rFonts w:eastAsia="Times New Roman"/>
          <w:lang w:eastAsia="en-US"/>
        </w:rPr>
        <w:t xml:space="preserve"> and found that</w:t>
      </w:r>
      <w:r w:rsidRPr="00A67624">
        <w:rPr>
          <w:rFonts w:eastAsia="Times New Roman"/>
          <w:lang w:eastAsia="en-US"/>
        </w:rPr>
        <w:t xml:space="preserve"> fractures within the active treatment period were more frequent in patients receiving AIs than </w:t>
      </w:r>
      <w:proofErr w:type="spellStart"/>
      <w:r>
        <w:rPr>
          <w:rFonts w:eastAsia="Times New Roman"/>
          <w:lang w:eastAsia="en-US"/>
        </w:rPr>
        <w:t>tamoxifen</w:t>
      </w:r>
      <w:proofErr w:type="spellEnd"/>
      <w:r w:rsidRPr="00A67624">
        <w:rPr>
          <w:rFonts w:eastAsia="Times New Roman"/>
          <w:lang w:eastAsia="en-US"/>
        </w:rPr>
        <w:t xml:space="preserve"> (</w:t>
      </w:r>
      <w:r>
        <w:rPr>
          <w:rFonts w:eastAsia="Times New Roman"/>
          <w:lang w:eastAsia="en-US"/>
        </w:rPr>
        <w:t>o</w:t>
      </w:r>
      <w:r w:rsidRPr="00A67624">
        <w:rPr>
          <w:rFonts w:eastAsia="Times New Roman"/>
          <w:lang w:eastAsia="en-US"/>
        </w:rPr>
        <w:t xml:space="preserve">dds </w:t>
      </w:r>
      <w:r>
        <w:rPr>
          <w:rFonts w:eastAsia="Times New Roman"/>
          <w:lang w:eastAsia="en-US"/>
        </w:rPr>
        <w:t>ratio</w:t>
      </w:r>
      <w:r w:rsidRPr="00A67624">
        <w:rPr>
          <w:rFonts w:eastAsia="Times New Roman"/>
          <w:lang w:eastAsia="en-US"/>
        </w:rPr>
        <w:t xml:space="preserve"> 1.33, 95% Confidence interval 1.15-1.55; p&lt;0.001). A</w:t>
      </w:r>
      <w:r>
        <w:rPr>
          <w:rFonts w:eastAsia="Times New Roman"/>
          <w:lang w:eastAsia="en-US"/>
        </w:rPr>
        <w:t xml:space="preserve"> randomised controlled trial </w:t>
      </w:r>
      <w:r w:rsidRPr="00A67624">
        <w:rPr>
          <w:rFonts w:eastAsia="Times New Roman"/>
          <w:lang w:eastAsia="en-US"/>
        </w:rPr>
        <w:t xml:space="preserve">(Coleman et al 2007) involving 206 postmenopausal women (with 2-3 years of treatment with </w:t>
      </w:r>
      <w:proofErr w:type="spellStart"/>
      <w:r>
        <w:rPr>
          <w:rFonts w:eastAsia="Times New Roman"/>
          <w:lang w:eastAsia="en-US"/>
        </w:rPr>
        <w:t>tamoxifen</w:t>
      </w:r>
      <w:proofErr w:type="spellEnd"/>
      <w:r w:rsidRPr="00A67624">
        <w:rPr>
          <w:rFonts w:eastAsia="Times New Roman"/>
          <w:lang w:eastAsia="en-US"/>
        </w:rPr>
        <w:t>) who either continued treatment w</w:t>
      </w:r>
      <w:r>
        <w:rPr>
          <w:rFonts w:eastAsia="Times New Roman"/>
          <w:lang w:eastAsia="en-US"/>
        </w:rPr>
        <w:t xml:space="preserve">ith </w:t>
      </w:r>
      <w:proofErr w:type="spellStart"/>
      <w:r>
        <w:rPr>
          <w:rFonts w:eastAsia="Times New Roman"/>
          <w:lang w:eastAsia="en-US"/>
        </w:rPr>
        <w:t>tamoxifen</w:t>
      </w:r>
      <w:proofErr w:type="spellEnd"/>
      <w:r>
        <w:rPr>
          <w:rFonts w:eastAsia="Times New Roman"/>
          <w:lang w:eastAsia="en-US"/>
        </w:rPr>
        <w:t xml:space="preserve"> or switched to AI</w:t>
      </w:r>
      <w:r w:rsidRPr="00A67624">
        <w:rPr>
          <w:rFonts w:eastAsia="Times New Roman"/>
          <w:lang w:eastAsia="en-US"/>
        </w:rPr>
        <w:t>s found that after a median of 58 months of follow-up the odds ratio for fractures in AI treated patients was significantly higher (p=0.003).</w:t>
      </w:r>
    </w:p>
    <w:p w:rsidR="00D8067A" w:rsidRDefault="00EC7AC6" w:rsidP="00A66697">
      <w:pPr>
        <w:rPr>
          <w:rFonts w:eastAsia="Times New Roman"/>
          <w:lang w:eastAsia="en-US"/>
        </w:rPr>
      </w:pPr>
      <w:r>
        <w:rPr>
          <w:rFonts w:eastAsia="Times New Roman"/>
          <w:lang w:eastAsia="en-US"/>
        </w:rPr>
        <w:t xml:space="preserve">The negative impact of </w:t>
      </w:r>
      <w:r w:rsidRPr="00A67624">
        <w:rPr>
          <w:rFonts w:eastAsia="Times New Roman"/>
          <w:lang w:eastAsia="en-US"/>
        </w:rPr>
        <w:t>AIs on bone density</w:t>
      </w:r>
      <w:r>
        <w:rPr>
          <w:rFonts w:eastAsia="Times New Roman"/>
          <w:lang w:eastAsia="en-US"/>
        </w:rPr>
        <w:t xml:space="preserve"> is</w:t>
      </w:r>
      <w:r w:rsidRPr="00A67624">
        <w:rPr>
          <w:rFonts w:eastAsia="Times New Roman"/>
          <w:lang w:eastAsia="en-US"/>
        </w:rPr>
        <w:t xml:space="preserve"> due to the inhibition of</w:t>
      </w:r>
      <w:r>
        <w:rPr>
          <w:rFonts w:eastAsia="Times New Roman"/>
          <w:lang w:eastAsia="en-US"/>
        </w:rPr>
        <w:t xml:space="preserve"> overall</w:t>
      </w:r>
      <w:r w:rsidRPr="00A67624">
        <w:rPr>
          <w:rFonts w:eastAsia="Times New Roman"/>
          <w:lang w:eastAsia="en-US"/>
        </w:rPr>
        <w:t xml:space="preserve"> oestrogen production within the body. </w:t>
      </w:r>
      <w:proofErr w:type="spellStart"/>
      <w:r w:rsidRPr="00A67624">
        <w:rPr>
          <w:rFonts w:eastAsia="Times New Roman"/>
          <w:lang w:eastAsia="en-US"/>
        </w:rPr>
        <w:t>Tamoxifen</w:t>
      </w:r>
      <w:proofErr w:type="spellEnd"/>
      <w:r>
        <w:rPr>
          <w:rFonts w:eastAsia="Times New Roman"/>
          <w:lang w:eastAsia="en-US"/>
        </w:rPr>
        <w:t>, which acts as a local agonist/antagonist at oestrogen receptor sites,</w:t>
      </w:r>
      <w:r w:rsidRPr="00A67624">
        <w:rPr>
          <w:rFonts w:eastAsia="Times New Roman"/>
          <w:lang w:eastAsia="en-US"/>
        </w:rPr>
        <w:t xml:space="preserve"> does not appear to have a detrimental effect on BMD.</w:t>
      </w:r>
      <w:r w:rsidR="008E2CA4">
        <w:rPr>
          <w:rFonts w:eastAsia="Times New Roman"/>
          <w:lang w:eastAsia="en-US"/>
        </w:rPr>
        <w:t xml:space="preserve"> </w:t>
      </w:r>
      <w:r w:rsidR="005D130F" w:rsidRPr="003E0E84">
        <w:rPr>
          <w:rFonts w:eastAsia="Times New Roman"/>
          <w:lang w:eastAsia="en-US"/>
        </w:rPr>
        <w:t xml:space="preserve">There are no Australian clinical practice guidelines specifically for the management of BMD in women being treated with aromatase inhibitors. Cancer Australia has published </w:t>
      </w:r>
      <w:r>
        <w:rPr>
          <w:rFonts w:eastAsia="Times New Roman"/>
          <w:lang w:eastAsia="en-US"/>
        </w:rPr>
        <w:t>“</w:t>
      </w:r>
      <w:r w:rsidR="005D130F" w:rsidRPr="00EC7AC6">
        <w:rPr>
          <w:rFonts w:eastAsia="Times New Roman"/>
          <w:lang w:eastAsia="en-US"/>
        </w:rPr>
        <w:t>Recommendations for Aromatase inhibitors as adjuvant endocrine therapy</w:t>
      </w:r>
      <w:r>
        <w:rPr>
          <w:rFonts w:eastAsia="Times New Roman"/>
          <w:lang w:eastAsia="en-US"/>
        </w:rPr>
        <w:t>”</w:t>
      </w:r>
      <w:r w:rsidR="005D130F" w:rsidRPr="003E0E84">
        <w:rPr>
          <w:rFonts w:eastAsia="Times New Roman"/>
          <w:i/>
          <w:lang w:eastAsia="en-US"/>
        </w:rPr>
        <w:t xml:space="preserve"> </w:t>
      </w:r>
      <w:r w:rsidR="005D130F" w:rsidRPr="003E0E84">
        <w:rPr>
          <w:rFonts w:eastAsia="Times New Roman"/>
          <w:lang w:eastAsia="en-US"/>
        </w:rPr>
        <w:t>(NBCC 2006) which state that</w:t>
      </w:r>
      <w:r w:rsidR="005D130F" w:rsidRPr="00EC7AC6">
        <w:t xml:space="preserve"> “</w:t>
      </w:r>
      <w:r w:rsidR="005D130F" w:rsidRPr="00EC7AC6">
        <w:rPr>
          <w:rFonts w:eastAsia="Times New Roman"/>
          <w:lang w:eastAsia="en-US"/>
        </w:rPr>
        <w:t>reduction</w:t>
      </w:r>
      <w:r w:rsidR="005D130F" w:rsidRPr="005D130F">
        <w:rPr>
          <w:rFonts w:eastAsia="Times New Roman"/>
          <w:lang w:eastAsia="en-US"/>
        </w:rPr>
        <w:t xml:space="preserve"> of bone mineral density in women receiving an aromatase inhibitor should be managed according to existing guidelines for women in general. This includes the identification and treatment of women at high risk of osteoporosis</w:t>
      </w:r>
      <w:r w:rsidR="005D130F">
        <w:rPr>
          <w:rFonts w:eastAsia="Times New Roman"/>
          <w:lang w:eastAsia="en-US"/>
        </w:rPr>
        <w:t>”. This statement refers to guidelines published in 2004</w:t>
      </w:r>
      <w:r w:rsidR="00087CFA">
        <w:rPr>
          <w:rFonts w:eastAsia="Times New Roman"/>
          <w:lang w:eastAsia="en-US"/>
        </w:rPr>
        <w:t xml:space="preserve"> (O’Neil et al</w:t>
      </w:r>
      <w:r w:rsidR="008E2CA4">
        <w:rPr>
          <w:rFonts w:eastAsia="Times New Roman"/>
          <w:lang w:eastAsia="en-US"/>
        </w:rPr>
        <w:t xml:space="preserve"> 2004</w:t>
      </w:r>
      <w:r w:rsidR="00087CFA">
        <w:rPr>
          <w:rFonts w:eastAsia="Times New Roman"/>
          <w:lang w:eastAsia="en-US"/>
        </w:rPr>
        <w:t>). More recent Australian guidelines regarding the prevention and treatment of osteoporosis in postmenopausal women and older men are available (RACGP 2010b); however, these guidelines do not contain recommendations for the patient population of interest. Two relevant publications were identified, “</w:t>
      </w:r>
      <w:r w:rsidR="00087CFA" w:rsidRPr="00087CFA">
        <w:rPr>
          <w:rFonts w:eastAsia="Times New Roman"/>
          <w:lang w:eastAsia="en-US"/>
        </w:rPr>
        <w:t>Management of early breast cancer</w:t>
      </w:r>
      <w:r w:rsidR="00087CFA">
        <w:rPr>
          <w:rFonts w:eastAsia="Times New Roman"/>
          <w:lang w:eastAsia="en-US"/>
        </w:rPr>
        <w:t>”</w:t>
      </w:r>
      <w:r w:rsidR="00087CFA" w:rsidRPr="00087CFA">
        <w:rPr>
          <w:rFonts w:eastAsia="Times New Roman"/>
          <w:lang w:eastAsia="en-US"/>
        </w:rPr>
        <w:t xml:space="preserve"> </w:t>
      </w:r>
      <w:r w:rsidR="00087CFA">
        <w:rPr>
          <w:rFonts w:eastAsia="Times New Roman"/>
          <w:lang w:eastAsia="en-US"/>
        </w:rPr>
        <w:t>from the New Zealand Guidelines Group (2009) and “</w:t>
      </w:r>
      <w:r w:rsidR="00087CFA" w:rsidRPr="00087CFA">
        <w:rPr>
          <w:rFonts w:eastAsia="Times New Roman"/>
          <w:lang w:eastAsia="en-US"/>
        </w:rPr>
        <w:t>Guidance for the management of breast cancer treatment-induced bone loss: a consensus position statement from a UK Expert Group</w:t>
      </w:r>
      <w:r w:rsidR="00087CFA">
        <w:rPr>
          <w:rFonts w:eastAsia="Times New Roman"/>
          <w:lang w:eastAsia="en-US"/>
        </w:rPr>
        <w:t xml:space="preserve">” (Reid et al </w:t>
      </w:r>
      <w:r>
        <w:rPr>
          <w:rFonts w:eastAsia="Times New Roman"/>
          <w:lang w:eastAsia="en-US"/>
        </w:rPr>
        <w:t xml:space="preserve">2008).  </w:t>
      </w:r>
      <w:r w:rsidR="00D8067A" w:rsidRPr="00A67624">
        <w:rPr>
          <w:rFonts w:eastAsia="Times New Roman"/>
          <w:lang w:eastAsia="en-US"/>
        </w:rPr>
        <w:t xml:space="preserve">The New Zealand Guidelines Group (2009) </w:t>
      </w:r>
      <w:r w:rsidR="00D8067A">
        <w:rPr>
          <w:rFonts w:eastAsia="Times New Roman"/>
          <w:lang w:eastAsia="en-US"/>
        </w:rPr>
        <w:t>made the following recommendations regarding BMD monitoring in postmenopausal women receiving adjuvant therapy with an aromatase inhibitor:</w:t>
      </w:r>
    </w:p>
    <w:p w:rsidR="00D8067A" w:rsidRDefault="00D8067A" w:rsidP="00615E23">
      <w:pPr>
        <w:pStyle w:val="ListParagraph"/>
        <w:numPr>
          <w:ilvl w:val="0"/>
          <w:numId w:val="11"/>
        </w:numPr>
        <w:rPr>
          <w:rFonts w:eastAsia="Times New Roman"/>
          <w:lang w:eastAsia="en-US"/>
        </w:rPr>
      </w:pPr>
      <w:r>
        <w:rPr>
          <w:rFonts w:eastAsia="Times New Roman"/>
          <w:lang w:eastAsia="en-US"/>
        </w:rPr>
        <w:t xml:space="preserve">Patients </w:t>
      </w:r>
      <w:r w:rsidRPr="00A66697">
        <w:rPr>
          <w:rFonts w:eastAsia="Times New Roman"/>
          <w:lang w:eastAsia="en-US"/>
        </w:rPr>
        <w:t xml:space="preserve">should have bone density monitored at least every </w:t>
      </w:r>
      <w:r>
        <w:rPr>
          <w:rFonts w:eastAsia="Times New Roman"/>
          <w:lang w:eastAsia="en-US"/>
        </w:rPr>
        <w:t>two</w:t>
      </w:r>
      <w:r w:rsidRPr="00A66697">
        <w:rPr>
          <w:rFonts w:eastAsia="Times New Roman"/>
          <w:lang w:eastAsia="en-US"/>
        </w:rPr>
        <w:t xml:space="preserve"> years following a baseline </w:t>
      </w:r>
      <w:r>
        <w:rPr>
          <w:rFonts w:eastAsia="Times New Roman"/>
          <w:lang w:eastAsia="en-US"/>
        </w:rPr>
        <w:t>DXA</w:t>
      </w:r>
      <w:r w:rsidRPr="00A66697">
        <w:rPr>
          <w:rFonts w:eastAsia="Times New Roman"/>
          <w:lang w:eastAsia="en-US"/>
        </w:rPr>
        <w:t xml:space="preserve"> (dual energy X-ray absorptiometry). </w:t>
      </w:r>
    </w:p>
    <w:p w:rsidR="00D8067A" w:rsidRPr="00A66697" w:rsidRDefault="00D8067A" w:rsidP="00615E23">
      <w:pPr>
        <w:pStyle w:val="ListParagraph"/>
        <w:numPr>
          <w:ilvl w:val="0"/>
          <w:numId w:val="11"/>
        </w:numPr>
        <w:rPr>
          <w:rFonts w:eastAsia="Times New Roman"/>
          <w:lang w:eastAsia="en-US"/>
        </w:rPr>
      </w:pPr>
      <w:r w:rsidRPr="00A66697">
        <w:rPr>
          <w:rFonts w:eastAsia="Times New Roman"/>
          <w:lang w:eastAsia="en-US"/>
        </w:rPr>
        <w:t xml:space="preserve">Frequency of bone mineral density monitoring should be tailored to the individual. If baseline T-score </w:t>
      </w:r>
      <w:r>
        <w:rPr>
          <w:rFonts w:eastAsia="Times New Roman"/>
          <w:lang w:eastAsia="en-US"/>
        </w:rPr>
        <w:t xml:space="preserve">is greater than </w:t>
      </w:r>
      <w:r w:rsidRPr="00A66697">
        <w:rPr>
          <w:rFonts w:eastAsia="Times New Roman"/>
          <w:lang w:eastAsia="en-US"/>
        </w:rPr>
        <w:t>-1.0</w:t>
      </w:r>
      <w:r>
        <w:rPr>
          <w:rFonts w:eastAsia="Times New Roman"/>
          <w:lang w:eastAsia="en-US"/>
        </w:rPr>
        <w:t>,</w:t>
      </w:r>
      <w:r w:rsidRPr="00A66697">
        <w:rPr>
          <w:rFonts w:eastAsia="Times New Roman"/>
          <w:lang w:eastAsia="en-US"/>
        </w:rPr>
        <w:t xml:space="preserve"> further monitoring of bone density may not be necessary</w:t>
      </w:r>
      <w:r>
        <w:rPr>
          <w:rFonts w:eastAsia="Times New Roman"/>
          <w:lang w:eastAsia="en-US"/>
        </w:rPr>
        <w:t>.</w:t>
      </w:r>
    </w:p>
    <w:p w:rsidR="00D8067A" w:rsidRPr="00A67624" w:rsidRDefault="00D8067A" w:rsidP="00A66697">
      <w:pPr>
        <w:rPr>
          <w:rFonts w:eastAsia="Times New Roman"/>
          <w:b/>
          <w:lang w:eastAsia="en-US"/>
        </w:rPr>
      </w:pPr>
      <w:r w:rsidRPr="00A67624">
        <w:rPr>
          <w:rFonts w:eastAsia="Times New Roman"/>
          <w:b/>
          <w:lang w:eastAsia="en-US"/>
        </w:rPr>
        <w:t xml:space="preserve">Methods for </w:t>
      </w:r>
      <w:r>
        <w:rPr>
          <w:rFonts w:eastAsia="Times New Roman"/>
          <w:b/>
          <w:lang w:eastAsia="en-US"/>
        </w:rPr>
        <w:t>measuring</w:t>
      </w:r>
      <w:r w:rsidRPr="00A67624">
        <w:rPr>
          <w:rFonts w:eastAsia="Times New Roman"/>
          <w:b/>
          <w:lang w:eastAsia="en-US"/>
        </w:rPr>
        <w:t xml:space="preserve"> BMD</w:t>
      </w:r>
    </w:p>
    <w:p w:rsidR="00D8067A" w:rsidRPr="00B40726" w:rsidRDefault="00D8067A" w:rsidP="00376A18">
      <w:r w:rsidRPr="00B40726">
        <w:t xml:space="preserve">Dual </w:t>
      </w:r>
      <w:r>
        <w:t>e</w:t>
      </w:r>
      <w:r w:rsidRPr="00B40726">
        <w:t xml:space="preserve">nergy X-ray absorptiometry (DXA) </w:t>
      </w:r>
      <w:r>
        <w:t xml:space="preserve">and </w:t>
      </w:r>
      <w:r w:rsidRPr="00B40726">
        <w:t>quantitative computed tomography (QCT) can be used in measuring BMD</w:t>
      </w:r>
      <w:r>
        <w:t>.</w:t>
      </w:r>
      <w:r w:rsidRPr="00B40726">
        <w:t xml:space="preserve"> DXA </w:t>
      </w:r>
      <w:r>
        <w:t>is more</w:t>
      </w:r>
      <w:r w:rsidRPr="00B40726">
        <w:t xml:space="preserve"> widely used</w:t>
      </w:r>
      <w:r>
        <w:t xml:space="preserve">, </w:t>
      </w:r>
      <w:r w:rsidRPr="002B6023">
        <w:t>has better reproducibility</w:t>
      </w:r>
      <w:r>
        <w:t>,</w:t>
      </w:r>
      <w:r w:rsidRPr="00B40726">
        <w:t xml:space="preserve"> and</w:t>
      </w:r>
      <w:r>
        <w:t xml:space="preserve"> is considered more appropriate in general use than QCT which delivers higher doses of radiation. QCT may be preferred when measuring BMD in the presence of fractures, but has been excluded from this DAP (see Summary box below).</w:t>
      </w:r>
      <w:r w:rsidRPr="00B40726">
        <w:t xml:space="preserve"> </w:t>
      </w:r>
      <w:r>
        <w:t>Another tool for measuring BMD is quantitative ultrasound (QUS).</w:t>
      </w:r>
    </w:p>
    <w:p w:rsidR="00D8067A" w:rsidRPr="00B40726" w:rsidRDefault="00D8067A" w:rsidP="00376A18">
      <w:r w:rsidRPr="00B40726">
        <w:t>The</w:t>
      </w:r>
      <w:r>
        <w:t xml:space="preserve"> DXA</w:t>
      </w:r>
      <w:r w:rsidRPr="00B40726">
        <w:t xml:space="preserve"> scan is used to generate T-scores which is a comparison of a patient’s bone density to that of peak bone density for the patient’s gender and is the number of standard deviations</w:t>
      </w:r>
      <w:r>
        <w:t xml:space="preserve"> above or</w:t>
      </w:r>
      <w:r w:rsidRPr="00B40726">
        <w:t xml:space="preserve"> below the</w:t>
      </w:r>
      <w:r>
        <w:t xml:space="preserve"> normal</w:t>
      </w:r>
      <w:r w:rsidRPr="00B40726">
        <w:t xml:space="preserve"> </w:t>
      </w:r>
      <w:r>
        <w:t>young adult mean BMD</w:t>
      </w:r>
      <w:r w:rsidRPr="00B40726">
        <w:t xml:space="preserve"> (WHO 2007). </w:t>
      </w:r>
    </w:p>
    <w:p w:rsidR="00D8067A" w:rsidRDefault="00D8067A" w:rsidP="00376A18">
      <w:r w:rsidRPr="00B40726">
        <w:lastRenderedPageBreak/>
        <w:t xml:space="preserve">DXA is currently </w:t>
      </w:r>
      <w:r>
        <w:t>reimbursed through the</w:t>
      </w:r>
      <w:r w:rsidRPr="00B40726">
        <w:t xml:space="preserve"> MBS to men and women aged 70+, for people who have previously experienced a minimal trauma fracture and for those with one of several risk factors including</w:t>
      </w:r>
      <w:r>
        <w:t>:</w:t>
      </w:r>
      <w:r w:rsidRPr="00B40726">
        <w:t xml:space="preserve"> prolonged corticosteroid use, </w:t>
      </w:r>
      <w:proofErr w:type="spellStart"/>
      <w:r w:rsidRPr="00B40726">
        <w:t>hypo</w:t>
      </w:r>
      <w:r>
        <w:t>go</w:t>
      </w:r>
      <w:r w:rsidRPr="00B40726">
        <w:t>nadism</w:t>
      </w:r>
      <w:proofErr w:type="spellEnd"/>
      <w:r w:rsidRPr="00B40726">
        <w:t xml:space="preserve">, primary hyperparathyroidism, chronic liver disease, chronic renal disease, proven </w:t>
      </w:r>
      <w:proofErr w:type="spellStart"/>
      <w:r w:rsidRPr="00B40726">
        <w:t>malabsorptive</w:t>
      </w:r>
      <w:proofErr w:type="spellEnd"/>
      <w:r w:rsidRPr="00B40726">
        <w:t xml:space="preserve"> disorders, rheumatoid arthritis, or </w:t>
      </w:r>
      <w:r>
        <w:t>c</w:t>
      </w:r>
      <w:r w:rsidRPr="00B40726">
        <w:t xml:space="preserve">onditions associated with </w:t>
      </w:r>
      <w:proofErr w:type="spellStart"/>
      <w:r w:rsidRPr="00B40726">
        <w:t>thyroxi</w:t>
      </w:r>
      <w:r>
        <w:t>ne</w:t>
      </w:r>
      <w:proofErr w:type="spellEnd"/>
      <w:r>
        <w:t xml:space="preserve"> excess (</w:t>
      </w:r>
      <w:r>
        <w:fldChar w:fldCharType="begin"/>
      </w:r>
      <w:r>
        <w:instrText xml:space="preserve"> REF _Ref358017366 \h </w:instrText>
      </w:r>
      <w:r>
        <w:fldChar w:fldCharType="separate"/>
      </w:r>
      <w:r w:rsidR="00CD3C9F">
        <w:t xml:space="preserve">Table </w:t>
      </w:r>
      <w:r w:rsidR="00CD3C9F">
        <w:rPr>
          <w:noProof/>
        </w:rPr>
        <w:t>3</w:t>
      </w:r>
      <w:r>
        <w:fldChar w:fldCharType="end"/>
      </w:r>
      <w:r>
        <w:t xml:space="preserve">). </w:t>
      </w:r>
    </w:p>
    <w:p w:rsidR="00D8067A" w:rsidRPr="00B40726" w:rsidRDefault="00D8067A" w:rsidP="00376A18">
      <w:r w:rsidRPr="00B40726">
        <w:t>Bone mineral density in OP</w:t>
      </w:r>
      <w:r>
        <w:t xml:space="preserve"> is defined</w:t>
      </w:r>
      <w:r w:rsidRPr="00B40726">
        <w:t xml:space="preserve"> by</w:t>
      </w:r>
      <w:r>
        <w:t xml:space="preserve"> the WHO as a</w:t>
      </w:r>
      <w:r w:rsidRPr="00B40726">
        <w:t xml:space="preserve"> T-score that is less than or equal to 2.5 standard deviations below the</w:t>
      </w:r>
      <w:r>
        <w:t xml:space="preserve"> </w:t>
      </w:r>
      <w:r w:rsidRPr="002B6023">
        <w:t xml:space="preserve">young normal </w:t>
      </w:r>
      <w:r w:rsidRPr="00B40726">
        <w:t>mean (a T-score of -2.5 or less) (WHO 2007).</w:t>
      </w:r>
      <w:r>
        <w:t xml:space="preserve"> Bone mineral density</w:t>
      </w:r>
      <w:r w:rsidRPr="00B40726">
        <w:t xml:space="preserve"> reflects the bone strength, the amount of bone (i</w:t>
      </w:r>
      <w:r>
        <w:t>.</w:t>
      </w:r>
      <w:r w:rsidRPr="00B40726">
        <w:t>e. mass), its spatial distribution (i</w:t>
      </w:r>
      <w:r>
        <w:t>.</w:t>
      </w:r>
      <w:r w:rsidRPr="00B40726">
        <w:t xml:space="preserve">e. shape and microarchitecture) and the intrinsic properties of the materials that comprise it, such as density, matrix mineralization, collagen traits and micro-damage (Marcus et al 2008). </w:t>
      </w:r>
      <w:r>
        <w:t>“</w:t>
      </w:r>
      <w:r w:rsidRPr="00B40726">
        <w:t>Osteopenia</w:t>
      </w:r>
      <w:r>
        <w:t>”</w:t>
      </w:r>
      <w:r w:rsidRPr="00B40726">
        <w:t xml:space="preserve"> </w:t>
      </w:r>
      <w:r>
        <w:t xml:space="preserve">(low bone density) </w:t>
      </w:r>
      <w:r w:rsidRPr="00B40726">
        <w:t>is a precursor</w:t>
      </w:r>
      <w:r>
        <w:t xml:space="preserve"> to OP</w:t>
      </w:r>
      <w:r w:rsidRPr="00B40726">
        <w:t xml:space="preserve"> and </w:t>
      </w:r>
      <w:r>
        <w:t>according to WHO is defined as a</w:t>
      </w:r>
      <w:r w:rsidRPr="00B40726">
        <w:t xml:space="preserve"> T-score is between -1</w:t>
      </w:r>
      <w:r>
        <w:t>.0</w:t>
      </w:r>
      <w:r w:rsidRPr="00B40726">
        <w:t xml:space="preserve"> </w:t>
      </w:r>
      <w:r>
        <w:t>and</w:t>
      </w:r>
      <w:r w:rsidRPr="00B40726">
        <w:t xml:space="preserve"> -2.5 (</w:t>
      </w:r>
      <w:r w:rsidR="00876F0F">
        <w:fldChar w:fldCharType="begin"/>
      </w:r>
      <w:r w:rsidR="00876F0F">
        <w:instrText xml:space="preserve"> REF _Ref320862974 \h  \* MERGEFORMAT </w:instrText>
      </w:r>
      <w:r w:rsidR="00876F0F">
        <w:fldChar w:fldCharType="separate"/>
      </w:r>
      <w:r w:rsidR="00CD3C9F">
        <w:rPr>
          <w:b/>
          <w:bCs/>
          <w:lang w:val="en-US"/>
        </w:rPr>
        <w:t>Error! Reference source not found.</w:t>
      </w:r>
      <w:r w:rsidR="00876F0F">
        <w:fldChar w:fldCharType="end"/>
      </w:r>
      <w:r w:rsidRPr="00B40726">
        <w:t>).</w:t>
      </w:r>
      <w:r w:rsidRPr="00463880">
        <w:t xml:space="preserve"> The Z-score is a comparison of a person's bone density with that of an average</w:t>
      </w:r>
      <w:r>
        <w:t xml:space="preserve"> person of the same age and sex. A</w:t>
      </w:r>
      <w:r w:rsidRPr="000E7170">
        <w:t xml:space="preserve">lthough </w:t>
      </w:r>
      <w:r>
        <w:t xml:space="preserve">the Z-score does not form a part of the </w:t>
      </w:r>
      <w:r w:rsidRPr="000E7170">
        <w:t xml:space="preserve">diagnosis of osteoporosis according to WHO guidelines which quote </w:t>
      </w:r>
      <w:r>
        <w:t>T-score</w:t>
      </w:r>
      <w:r w:rsidRPr="000E7170">
        <w:t>s, it</w:t>
      </w:r>
      <w:r>
        <w:t xml:space="preserve"> may be used in premenopausal women and men &lt;50 years to give the </w:t>
      </w:r>
      <w:r w:rsidRPr="000E7170">
        <w:t>physician some idea of a patient's risk in relation to other patients of the same age</w:t>
      </w:r>
      <w:r>
        <w:t xml:space="preserve"> (National Institutes of Health 2012)</w:t>
      </w:r>
      <w:r w:rsidRPr="000E7170">
        <w:t xml:space="preserve">. </w:t>
      </w:r>
    </w:p>
    <w:p w:rsidR="00D8067A" w:rsidRDefault="00D8067A" w:rsidP="00C6264F">
      <w:pPr>
        <w:pStyle w:val="Caption"/>
      </w:pPr>
      <w:r>
        <w:t xml:space="preserve">Table </w:t>
      </w:r>
      <w:r w:rsidR="00876F0F">
        <w:fldChar w:fldCharType="begin"/>
      </w:r>
      <w:r w:rsidR="00876F0F">
        <w:instrText xml:space="preserve"> SEQ Table \* ARABIC </w:instrText>
      </w:r>
      <w:r w:rsidR="00876F0F">
        <w:fldChar w:fldCharType="separate"/>
      </w:r>
      <w:r w:rsidR="00CD3C9F">
        <w:rPr>
          <w:noProof/>
        </w:rPr>
        <w:t>2</w:t>
      </w:r>
      <w:r w:rsidR="00876F0F">
        <w:rPr>
          <w:noProof/>
        </w:rPr>
        <w:fldChar w:fldCharType="end"/>
      </w:r>
      <w:r>
        <w:tab/>
        <w:t>Diagnosis according to T-score and WHO classification of osteoporosis</w:t>
      </w:r>
    </w:p>
    <w:tbl>
      <w:tblPr>
        <w:tblStyle w:val="1"/>
        <w:tblW w:w="0" w:type="auto"/>
        <w:tblLook w:val="0000" w:firstRow="0" w:lastRow="0" w:firstColumn="0" w:lastColumn="0" w:noHBand="0" w:noVBand="0"/>
        <w:tblCaption w:val="Table 2 Diagnosis according to T-score and WHO classification of osteoporosis"/>
        <w:tblDescription w:val="Table 2 Diagnosis according to T-score and WHO classification of osteoporosis"/>
      </w:tblPr>
      <w:tblGrid>
        <w:gridCol w:w="2802"/>
        <w:gridCol w:w="5386"/>
      </w:tblGrid>
      <w:tr w:rsidR="00D8067A" w:rsidRPr="00A51EF9" w:rsidTr="005E09EC">
        <w:trPr>
          <w:trHeight w:val="343"/>
          <w:tblHeader/>
        </w:trPr>
        <w:tc>
          <w:tcPr>
            <w:tcW w:w="2802" w:type="dxa"/>
            <w:tcBorders>
              <w:top w:val="single" w:sz="12" w:space="0" w:color="auto"/>
              <w:bottom w:val="single" w:sz="4" w:space="0" w:color="auto"/>
            </w:tcBorders>
          </w:tcPr>
          <w:p w:rsidR="00D8067A" w:rsidRPr="00C6264F" w:rsidRDefault="00D8067A" w:rsidP="00376A18">
            <w:pPr>
              <w:spacing w:after="0" w:line="240" w:lineRule="auto"/>
              <w:rPr>
                <w:rFonts w:ascii="Arial Narrow" w:hAnsi="Arial Narrow"/>
                <w:b/>
                <w:sz w:val="18"/>
              </w:rPr>
            </w:pPr>
            <w:r w:rsidRPr="00C6264F">
              <w:rPr>
                <w:rFonts w:ascii="Arial Narrow" w:hAnsi="Arial Narrow"/>
                <w:b/>
                <w:sz w:val="18"/>
              </w:rPr>
              <w:t>T-score</w:t>
            </w:r>
          </w:p>
        </w:tc>
        <w:tc>
          <w:tcPr>
            <w:tcW w:w="5386" w:type="dxa"/>
            <w:tcBorders>
              <w:top w:val="single" w:sz="12" w:space="0" w:color="auto"/>
              <w:bottom w:val="single" w:sz="4" w:space="0" w:color="auto"/>
            </w:tcBorders>
          </w:tcPr>
          <w:p w:rsidR="00D8067A" w:rsidRPr="00C6264F" w:rsidRDefault="00D8067A" w:rsidP="00376A18">
            <w:pPr>
              <w:spacing w:after="0" w:line="240" w:lineRule="auto"/>
              <w:rPr>
                <w:rFonts w:ascii="Arial Narrow" w:hAnsi="Arial Narrow"/>
                <w:b/>
                <w:sz w:val="18"/>
              </w:rPr>
            </w:pPr>
            <w:r w:rsidRPr="00C6264F">
              <w:rPr>
                <w:rFonts w:ascii="Arial Narrow" w:hAnsi="Arial Narrow"/>
                <w:b/>
                <w:sz w:val="18"/>
              </w:rPr>
              <w:t>Diagnosis</w:t>
            </w:r>
          </w:p>
        </w:tc>
      </w:tr>
      <w:tr w:rsidR="00D8067A" w:rsidRPr="00A51EF9" w:rsidTr="003E0E84">
        <w:trPr>
          <w:trHeight w:val="377"/>
        </w:trPr>
        <w:tc>
          <w:tcPr>
            <w:tcW w:w="2802" w:type="dxa"/>
            <w:tcBorders>
              <w:top w:val="single" w:sz="4" w:space="0" w:color="auto"/>
            </w:tcBorders>
          </w:tcPr>
          <w:p w:rsidR="00D8067A" w:rsidRPr="00C6264F" w:rsidRDefault="00D8067A" w:rsidP="00376A18">
            <w:pPr>
              <w:spacing w:after="0" w:line="240" w:lineRule="auto"/>
              <w:rPr>
                <w:rFonts w:ascii="Arial Narrow" w:hAnsi="Arial Narrow"/>
                <w:b/>
                <w:sz w:val="18"/>
              </w:rPr>
            </w:pPr>
            <w:r w:rsidRPr="00C6264F">
              <w:rPr>
                <w:rFonts w:ascii="Arial Narrow" w:hAnsi="Arial Narrow"/>
                <w:sz w:val="18"/>
              </w:rPr>
              <w:t>Equal or greater than -1</w:t>
            </w:r>
            <w:r>
              <w:rPr>
                <w:rFonts w:ascii="Arial Narrow" w:hAnsi="Arial Narrow"/>
                <w:sz w:val="18"/>
              </w:rPr>
              <w:t>.0</w:t>
            </w:r>
          </w:p>
        </w:tc>
        <w:tc>
          <w:tcPr>
            <w:tcW w:w="5386" w:type="dxa"/>
            <w:tcBorders>
              <w:top w:val="single" w:sz="4" w:space="0" w:color="auto"/>
            </w:tcBorders>
          </w:tcPr>
          <w:p w:rsidR="00D8067A" w:rsidRPr="00C6264F" w:rsidRDefault="00D8067A" w:rsidP="00376A18">
            <w:pPr>
              <w:spacing w:after="0" w:line="240" w:lineRule="auto"/>
              <w:ind w:left="720"/>
              <w:contextualSpacing/>
              <w:rPr>
                <w:rFonts w:ascii="Arial Narrow" w:hAnsi="Arial Narrow"/>
                <w:sz w:val="18"/>
              </w:rPr>
            </w:pPr>
            <w:r w:rsidRPr="00C6264F">
              <w:rPr>
                <w:rFonts w:ascii="Arial Narrow" w:hAnsi="Arial Narrow"/>
                <w:sz w:val="18"/>
              </w:rPr>
              <w:t>Normal bone density</w:t>
            </w:r>
          </w:p>
        </w:tc>
      </w:tr>
      <w:tr w:rsidR="00D8067A" w:rsidRPr="00A51EF9" w:rsidTr="003E0E84">
        <w:trPr>
          <w:trHeight w:val="309"/>
        </w:trPr>
        <w:tc>
          <w:tcPr>
            <w:tcW w:w="2802" w:type="dxa"/>
          </w:tcPr>
          <w:p w:rsidR="00D8067A" w:rsidRPr="00C6264F" w:rsidRDefault="00892B69" w:rsidP="00D55001">
            <w:pPr>
              <w:spacing w:after="0" w:line="240" w:lineRule="auto"/>
              <w:contextualSpacing/>
              <w:rPr>
                <w:rFonts w:ascii="Arial Narrow" w:hAnsi="Arial Narrow"/>
                <w:b/>
                <w:sz w:val="18"/>
                <w:lang w:val="en-AU"/>
              </w:rPr>
            </w:pPr>
            <w:r>
              <w:rPr>
                <w:rFonts w:ascii="Arial Narrow" w:hAnsi="Arial Narrow"/>
                <w:sz w:val="18"/>
              </w:rPr>
              <w:t>Between -1.0 to -2.5</w:t>
            </w:r>
          </w:p>
        </w:tc>
        <w:tc>
          <w:tcPr>
            <w:tcW w:w="5386" w:type="dxa"/>
          </w:tcPr>
          <w:p w:rsidR="00D8067A" w:rsidRPr="00C6264F" w:rsidRDefault="00D8067A" w:rsidP="00376A18">
            <w:pPr>
              <w:spacing w:after="0" w:line="240" w:lineRule="auto"/>
              <w:ind w:left="720"/>
              <w:contextualSpacing/>
              <w:rPr>
                <w:rFonts w:ascii="Arial Narrow" w:hAnsi="Arial Narrow"/>
                <w:b/>
                <w:sz w:val="18"/>
              </w:rPr>
            </w:pPr>
            <w:r w:rsidRPr="00C6264F">
              <w:rPr>
                <w:rFonts w:ascii="Arial Narrow" w:hAnsi="Arial Narrow"/>
                <w:sz w:val="18"/>
              </w:rPr>
              <w:t>Low bone mass (“osteopenia”: at risk for developing osteoporosis and increasing fracture risk)</w:t>
            </w:r>
          </w:p>
        </w:tc>
      </w:tr>
      <w:tr w:rsidR="00D8067A" w:rsidRPr="00A51EF9" w:rsidTr="003E0E84">
        <w:trPr>
          <w:trHeight w:val="343"/>
        </w:trPr>
        <w:tc>
          <w:tcPr>
            <w:tcW w:w="2802" w:type="dxa"/>
          </w:tcPr>
          <w:p w:rsidR="00D8067A" w:rsidRPr="00C6264F" w:rsidRDefault="00D8067A" w:rsidP="00D55001">
            <w:pPr>
              <w:spacing w:after="0" w:line="240" w:lineRule="auto"/>
              <w:contextualSpacing/>
              <w:rPr>
                <w:rFonts w:ascii="Arial Narrow" w:hAnsi="Arial Narrow"/>
                <w:b/>
                <w:sz w:val="18"/>
                <w:lang w:val="en-AU"/>
              </w:rPr>
            </w:pPr>
            <w:r w:rsidRPr="00C6264F">
              <w:rPr>
                <w:rFonts w:ascii="Arial Narrow" w:hAnsi="Arial Narrow"/>
                <w:sz w:val="18"/>
              </w:rPr>
              <w:t>Equal to or less than  -2.5</w:t>
            </w:r>
          </w:p>
        </w:tc>
        <w:tc>
          <w:tcPr>
            <w:tcW w:w="5386" w:type="dxa"/>
          </w:tcPr>
          <w:p w:rsidR="00D8067A" w:rsidRPr="00C6264F" w:rsidRDefault="00D8067A" w:rsidP="00376A18">
            <w:pPr>
              <w:spacing w:after="0" w:line="240" w:lineRule="auto"/>
              <w:ind w:left="720"/>
              <w:contextualSpacing/>
              <w:rPr>
                <w:rFonts w:ascii="Arial Narrow" w:hAnsi="Arial Narrow"/>
                <w:b/>
                <w:sz w:val="18"/>
              </w:rPr>
            </w:pPr>
            <w:r w:rsidRPr="00C6264F">
              <w:rPr>
                <w:rFonts w:ascii="Arial Narrow" w:hAnsi="Arial Narrow"/>
                <w:sz w:val="18"/>
              </w:rPr>
              <w:t>Osteoporosis</w:t>
            </w:r>
          </w:p>
        </w:tc>
      </w:tr>
    </w:tbl>
    <w:p w:rsidR="00D8067A" w:rsidRPr="00C6264F" w:rsidRDefault="00D8067A" w:rsidP="00DF1CCD">
      <w:pPr>
        <w:rPr>
          <w:rFonts w:ascii="Arial Narrow" w:hAnsi="Arial Narrow"/>
          <w:sz w:val="18"/>
        </w:rPr>
      </w:pPr>
      <w:r w:rsidRPr="00C6264F">
        <w:rPr>
          <w:rFonts w:ascii="Arial Narrow" w:hAnsi="Arial Narrow"/>
          <w:sz w:val="18"/>
        </w:rPr>
        <w:t>Source: WHO 2007, RACGP 2010</w:t>
      </w:r>
      <w:r w:rsidR="005D06DC">
        <w:rPr>
          <w:rFonts w:ascii="Arial Narrow" w:hAnsi="Arial Narrow"/>
          <w:sz w:val="18"/>
        </w:rPr>
        <w:t>b</w:t>
      </w:r>
    </w:p>
    <w:p w:rsidR="00D8067A" w:rsidRPr="00FD5309" w:rsidRDefault="00D8067A" w:rsidP="00FD5309">
      <w:pPr>
        <w:keepNext/>
        <w:spacing w:before="240" w:after="160"/>
        <w:outlineLvl w:val="1"/>
        <w:rPr>
          <w:b/>
          <w:color w:val="215868"/>
          <w:szCs w:val="28"/>
          <w:lang w:val="en-GB" w:eastAsia="ja-JP"/>
        </w:rPr>
      </w:pPr>
      <w:bookmarkStart w:id="14" w:name="_Toc335902663"/>
      <w:bookmarkStart w:id="15" w:name="_Toc362968485"/>
      <w:r w:rsidRPr="00FD5309">
        <w:rPr>
          <w:b/>
          <w:color w:val="215868"/>
          <w:szCs w:val="28"/>
          <w:lang w:val="en-GB" w:eastAsia="ja-JP"/>
        </w:rPr>
        <w:t>Fracture risk</w:t>
      </w:r>
      <w:bookmarkEnd w:id="14"/>
      <w:bookmarkEnd w:id="15"/>
    </w:p>
    <w:p w:rsidR="00032C4F" w:rsidRPr="00032C4F" w:rsidRDefault="00032C4F" w:rsidP="003E0E84">
      <w:r w:rsidRPr="00032C4F">
        <w:t xml:space="preserve">Ten-year fracture risk can be estimated through the use of on-line tools such as the FRAX tool developed by the University of Sheffield on behalf of the WHO (WHO 2007; WHO 2012). The assessment is likely to be less accurate for premenopausal women, young men (&lt;50 years) and is not validated for children (Dasher et al 2010). A variation of FRAX supported with Australian data is available at: </w:t>
      </w:r>
      <w:hyperlink r:id="rId9" w:tooltip="This is a link to the WHO data page" w:history="1">
        <w:r w:rsidRPr="003E0E84">
          <w:t>http://www.shef.ac.uk/FRAX/tool.jsp?country=31</w:t>
        </w:r>
      </w:hyperlink>
      <w:r w:rsidRPr="00032C4F">
        <w:t>.</w:t>
      </w:r>
    </w:p>
    <w:p w:rsidR="00032C4F" w:rsidRPr="00032C4F" w:rsidRDefault="008E2CA4" w:rsidP="003E0E84">
      <w:r>
        <w:t xml:space="preserve">In terms of normative data, </w:t>
      </w:r>
      <w:r w:rsidR="00032C4F" w:rsidRPr="00032C4F">
        <w:t>RACGP guidelines state: ‘In Australia as a reference for fracture risk calculation in women, the T-scores calculated from the Geelong Osteoporosis Study database are used for the lumbar spine and the proximal femur. Normative data in Australian men are not currently available. Most BMD assessments currently report T-scores for men based on the US National Health and Nutrition Examination Survey (NHANES) normative data or reference ranges provided by densitometer manufacturers’</w:t>
      </w:r>
      <w:r>
        <w:t xml:space="preserve"> </w:t>
      </w:r>
      <w:r w:rsidR="00032C4F" w:rsidRPr="00032C4F">
        <w:t>(RACGP 2010b).</w:t>
      </w:r>
    </w:p>
    <w:p w:rsidR="00D8067A" w:rsidRDefault="00D8067A" w:rsidP="000A72BE">
      <w:pPr>
        <w:spacing w:after="0" w:line="360" w:lineRule="auto"/>
        <w:jc w:val="left"/>
        <w:rPr>
          <w:b/>
          <w:color w:val="215868"/>
          <w:szCs w:val="28"/>
          <w:lang w:val="en-GB" w:eastAsia="ja-JP"/>
        </w:rPr>
      </w:pPr>
      <w:r>
        <w:br w:type="page"/>
      </w:r>
    </w:p>
    <w:p w:rsidR="00D8067A" w:rsidRDefault="00D8067A" w:rsidP="00D34BAD">
      <w:pPr>
        <w:pStyle w:val="Heading2"/>
        <w:spacing w:after="240"/>
      </w:pPr>
      <w:bookmarkStart w:id="16" w:name="_Toc335905411"/>
      <w:bookmarkStart w:id="17" w:name="_Toc362968486"/>
      <w:r>
        <w:lastRenderedPageBreak/>
        <w:t>Administration, d</w:t>
      </w:r>
      <w:r w:rsidRPr="00A34E9C">
        <w:t xml:space="preserve">ose, frequency </w:t>
      </w:r>
      <w:r>
        <w:t xml:space="preserve">of administration, </w:t>
      </w:r>
      <w:r w:rsidRPr="00A34E9C">
        <w:t xml:space="preserve">duration of </w:t>
      </w:r>
      <w:r>
        <w:t>the intervention</w:t>
      </w:r>
      <w:bookmarkEnd w:id="16"/>
      <w:bookmarkEnd w:id="17"/>
    </w:p>
    <w:p w:rsidR="00D8067A" w:rsidRDefault="00D8067A" w:rsidP="00F85E37">
      <w:r>
        <w:t xml:space="preserve">Bone density scanning can be performed at any location which has both a DXA machine and qualified technician. A radiologist, nuclear medicine physician or other accredited specialist is required to perform the test and analyse the results. Communication of the results to the patient is facilitated through the patient’s referring practitioner. </w:t>
      </w:r>
    </w:p>
    <w:p w:rsidR="00D8067A" w:rsidRDefault="00D8067A" w:rsidP="00F85E37">
      <w:r>
        <w:t xml:space="preserve">Diagnosis of low bone mineral density is dependent on the measurement site and number of sites measured. </w:t>
      </w:r>
      <w:r w:rsidR="008E2CA4">
        <w:rPr>
          <w:lang w:eastAsia="en-AU"/>
        </w:rPr>
        <w:t>According to local guidelines, b</w:t>
      </w:r>
      <w:r w:rsidR="008E2CA4" w:rsidRPr="00EC5F2A">
        <w:rPr>
          <w:lang w:eastAsia="en-AU"/>
        </w:rPr>
        <w:t xml:space="preserve">one mineral density should be measured by DXA scanning performed on two sites, preferably </w:t>
      </w:r>
      <w:proofErr w:type="spellStart"/>
      <w:r w:rsidR="008E2CA4" w:rsidRPr="00EC5F2A">
        <w:rPr>
          <w:lang w:eastAsia="en-AU"/>
        </w:rPr>
        <w:t>anteroposterior</w:t>
      </w:r>
      <w:proofErr w:type="spellEnd"/>
      <w:r w:rsidR="008E2CA4" w:rsidRPr="00EC5F2A">
        <w:rPr>
          <w:lang w:eastAsia="en-AU"/>
        </w:rPr>
        <w:t xml:space="preserve"> spine and hip</w:t>
      </w:r>
      <w:r w:rsidR="008E2CA4">
        <w:rPr>
          <w:lang w:eastAsia="en-AU"/>
        </w:rPr>
        <w:t xml:space="preserve"> (RACGP 2010b)</w:t>
      </w:r>
      <w:r w:rsidR="008E2CA4" w:rsidRPr="00EC5F2A">
        <w:rPr>
          <w:lang w:eastAsia="en-AU"/>
        </w:rPr>
        <w:t>.</w:t>
      </w:r>
    </w:p>
    <w:p w:rsidR="00D8067A" w:rsidRDefault="00D8067A" w:rsidP="004836F6">
      <w:r>
        <w:t xml:space="preserve">Absorbed radiation doses from using DXA are negligible for first-generation pencil beam scanners (well below the estimated dose from natural background radiation of 7 </w:t>
      </w:r>
      <w:proofErr w:type="spellStart"/>
      <w:r>
        <w:t>uSv</w:t>
      </w:r>
      <w:proofErr w:type="spellEnd"/>
      <w:r>
        <w:t xml:space="preserve"> per day). Newer fan beam scanners produce slightly more radiation, with absorbed dose ranging from approximately 10 to 20 </w:t>
      </w:r>
      <w:proofErr w:type="spellStart"/>
      <w:r>
        <w:t>uSv</w:t>
      </w:r>
      <w:proofErr w:type="spellEnd"/>
      <w:r>
        <w:t xml:space="preserve"> per examination (</w:t>
      </w:r>
      <w:proofErr w:type="spellStart"/>
      <w:r>
        <w:t>Damilakis</w:t>
      </w:r>
      <w:proofErr w:type="spellEnd"/>
      <w:r>
        <w:t xml:space="preserve"> and </w:t>
      </w:r>
      <w:proofErr w:type="spellStart"/>
      <w:r>
        <w:t>Guglielmi</w:t>
      </w:r>
      <w:proofErr w:type="spellEnd"/>
      <w:r>
        <w:t xml:space="preserve"> 2010), and generating a combined dose from anterior-posterior spine, lateral spine, and hip scans of &lt;30 </w:t>
      </w:r>
      <w:proofErr w:type="spellStart"/>
      <w:r>
        <w:t>uSv</w:t>
      </w:r>
      <w:proofErr w:type="spellEnd"/>
      <w:r>
        <w:t xml:space="preserve"> (SIGN 2003). The estimated dose of radiation is lower for DXA measurements than most diagnostic X-ray examinations including mammography; as such radiation is well tolerated and would not severely limit the safe use of DXA for BMD measurements. Bearing that in mind however, radiation dose can vary considerably between sites and DXA systems from different manufacturers based on scanning technique, x-ray tube filtration, efficiency of detection systems, exposure parameters, scan speed, scan size and patient body size (</w:t>
      </w:r>
      <w:proofErr w:type="spellStart"/>
      <w:r w:rsidRPr="00F85E37">
        <w:t>Damilakis</w:t>
      </w:r>
      <w:proofErr w:type="spellEnd"/>
      <w:r w:rsidRPr="00F85E37">
        <w:t xml:space="preserve"> and </w:t>
      </w:r>
      <w:proofErr w:type="spellStart"/>
      <w:r w:rsidRPr="00F85E37">
        <w:t>Guglielmi</w:t>
      </w:r>
      <w:proofErr w:type="spellEnd"/>
      <w:r w:rsidRPr="00F85E37">
        <w:t xml:space="preserve"> 2010).</w:t>
      </w:r>
    </w:p>
    <w:p w:rsidR="00D8067A" w:rsidRDefault="00D8067A" w:rsidP="004836F6">
      <w:r w:rsidRPr="00E17E61">
        <w:t xml:space="preserve">Although the DXA device measures total density, the use of both high- and low-energy X-rays facilitates the separation of soft tissue and bone contributions to overall density (Dasher et al 2010). Scanning of the hip and spine usually takes up to a maximum of approximately 15-20 minutes (Dasher et al 2010). Several different MBS items provide services on a variety of indications with repeat scans dependent on the </w:t>
      </w:r>
      <w:r w:rsidRPr="007F054C">
        <w:t>indication (Table 3).</w:t>
      </w:r>
      <w:r w:rsidRPr="00E17E61">
        <w:t xml:space="preserve"> </w:t>
      </w:r>
    </w:p>
    <w:p w:rsidR="008E2CA4" w:rsidRDefault="008E2CA4" w:rsidP="008E2CA4">
      <w:r>
        <w:rPr>
          <w:lang w:eastAsia="en-AU"/>
        </w:rPr>
        <w:t>Current guidelines suggest ge</w:t>
      </w:r>
      <w:r w:rsidRPr="00943E3F">
        <w:rPr>
          <w:lang w:eastAsia="en-AU"/>
        </w:rPr>
        <w:t xml:space="preserve">neral practitioners </w:t>
      </w:r>
      <w:r>
        <w:rPr>
          <w:lang w:eastAsia="en-AU"/>
        </w:rPr>
        <w:t>to</w:t>
      </w:r>
      <w:r w:rsidRPr="00943E3F">
        <w:rPr>
          <w:lang w:eastAsia="en-AU"/>
        </w:rPr>
        <w:t xml:space="preserve"> evaluate patients at increased risk for osteoporotic fractures who are </w:t>
      </w:r>
      <w:r w:rsidRPr="00940E37">
        <w:rPr>
          <w:lang w:eastAsia="en-AU"/>
        </w:rPr>
        <w:t>not</w:t>
      </w:r>
      <w:r w:rsidRPr="00943E3F">
        <w:rPr>
          <w:lang w:eastAsia="en-AU"/>
        </w:rPr>
        <w:t xml:space="preserve"> receiving specific preventive anti-osteoporotic therapy in regard to future fracture risk at intervals adequate to the risk in question. BMD measurement can identify </w:t>
      </w:r>
      <w:r>
        <w:rPr>
          <w:lang w:eastAsia="en-AU"/>
        </w:rPr>
        <w:t>some non-fragility causes of fracture</w:t>
      </w:r>
      <w:r w:rsidRPr="00943E3F">
        <w:rPr>
          <w:lang w:eastAsia="en-AU"/>
        </w:rPr>
        <w:t xml:space="preserve">, </w:t>
      </w:r>
      <w:r>
        <w:rPr>
          <w:lang w:eastAsia="en-AU"/>
        </w:rPr>
        <w:t>for example</w:t>
      </w:r>
      <w:r w:rsidRPr="00943E3F">
        <w:rPr>
          <w:lang w:eastAsia="en-AU"/>
        </w:rPr>
        <w:t xml:space="preserve"> T-score above -1.5. If a decision is made to not recommend specific preventive anti-osteoporotic therapy</w:t>
      </w:r>
      <w:r>
        <w:rPr>
          <w:lang w:eastAsia="en-AU"/>
        </w:rPr>
        <w:t xml:space="preserve"> following evaluation of BMD</w:t>
      </w:r>
      <w:r w:rsidRPr="00943E3F">
        <w:rPr>
          <w:lang w:eastAsia="en-AU"/>
        </w:rPr>
        <w:t xml:space="preserve">, this must be formally reviewed in relation to future fracture risk at intervals relevant to the risk in question. In most cases BMD testing is </w:t>
      </w:r>
      <w:r>
        <w:rPr>
          <w:lang w:eastAsia="en-AU"/>
        </w:rPr>
        <w:t>recommended for</w:t>
      </w:r>
      <w:r w:rsidRPr="00943E3F">
        <w:rPr>
          <w:lang w:eastAsia="en-AU"/>
        </w:rPr>
        <w:t xml:space="preserve"> intervals </w:t>
      </w:r>
      <w:r>
        <w:rPr>
          <w:lang w:eastAsia="en-AU"/>
        </w:rPr>
        <w:t xml:space="preserve">of </w:t>
      </w:r>
      <w:r w:rsidRPr="00943E3F">
        <w:rPr>
          <w:lang w:eastAsia="en-AU"/>
        </w:rPr>
        <w:t>2 year</w:t>
      </w:r>
      <w:r>
        <w:rPr>
          <w:lang w:eastAsia="en-AU"/>
        </w:rPr>
        <w:t>s or longer</w:t>
      </w:r>
      <w:r w:rsidRPr="00943E3F">
        <w:rPr>
          <w:lang w:eastAsia="en-AU"/>
        </w:rPr>
        <w:t xml:space="preserve"> </w:t>
      </w:r>
      <w:r>
        <w:rPr>
          <w:lang w:eastAsia="en-AU"/>
        </w:rPr>
        <w:t>(RACGP 2010b).</w:t>
      </w:r>
    </w:p>
    <w:p w:rsidR="00D8067A" w:rsidRDefault="008E2CA4" w:rsidP="003E0E84">
      <w:r w:rsidRPr="002B6023">
        <w:t xml:space="preserve">In </w:t>
      </w:r>
      <w:r>
        <w:t xml:space="preserve">patients with confirmed OP and </w:t>
      </w:r>
      <w:r w:rsidRPr="00940E37">
        <w:t>receiving anti-osteoporotic treatment</w:t>
      </w:r>
      <w:r>
        <w:t xml:space="preserve">, repeat DXA scans are recommended </w:t>
      </w:r>
      <w:r w:rsidRPr="00647D07">
        <w:t xml:space="preserve">to be considered </w:t>
      </w:r>
      <w:r w:rsidRPr="00763508">
        <w:t xml:space="preserve">at 1 year if there is a change to anti-osteoporotic therapy, and </w:t>
      </w:r>
      <w:r>
        <w:t>recommended at 2 year intervals</w:t>
      </w:r>
      <w:r w:rsidRPr="00763508">
        <w:t xml:space="preserve"> when BMD is likely to be approaching -2.5 (average decrease in T-score is 0.1/ year) (RACGP 2010</w:t>
      </w:r>
      <w:r>
        <w:t xml:space="preserve">b). The BMD at the time of screening is the most important factor in determining treatment and the time to repeat scan. The rates of change between scans are not as important in overall management decisions. </w:t>
      </w:r>
    </w:p>
    <w:p w:rsidR="00D8067A" w:rsidRDefault="00D8067A" w:rsidP="00F85E37">
      <w:r>
        <w:lastRenderedPageBreak/>
        <w:t>Several MBS items cover a variety of indications for bone loss and reimburse</w:t>
      </w:r>
      <w:r w:rsidR="000A25EF">
        <w:t>ment</w:t>
      </w:r>
      <w:r>
        <w:t xml:space="preserve"> for scans every 12 or 24 months depending on the indication (see c</w:t>
      </w:r>
      <w:r w:rsidRPr="00B472E7">
        <w:t>urrent arrangements for public reimbursement</w:t>
      </w:r>
      <w:r>
        <w:t xml:space="preserve">). Current guidance from a UK expert group (Reid et al 2008) for women taking AIs indicate that women with T-scores greater than -1.0 at baseline would not require repeat scans whilst women with T-scores falling within the </w:t>
      </w:r>
      <w:proofErr w:type="spellStart"/>
      <w:r>
        <w:t>osteopenic</w:t>
      </w:r>
      <w:proofErr w:type="spellEnd"/>
      <w:r>
        <w:t xml:space="preserve"> or osteoporotic range would require repeat scans at 24 months. Currently, the patient population of interest are not eligible for a DXA scan, baseline or otherwise unless they are over the age of 70, have risk factors specified in current MBS items or experience a minimal trauma fracture. </w:t>
      </w:r>
    </w:p>
    <w:p w:rsidR="00D8067A" w:rsidRDefault="00D8067A" w:rsidP="00D34BAD">
      <w:pPr>
        <w:rPr>
          <w:lang w:eastAsia="ja-JP"/>
        </w:rPr>
      </w:pPr>
      <w:r>
        <w:rPr>
          <w:lang w:eastAsia="ja-JP"/>
        </w:rPr>
        <w:t>Treatment options are available for the prevention and treatment of OP; however, a number of pharmacological interventions exist and the treatment regime indicated varies according to the principal mechanism of bone loss and the comorbidities of each patient</w:t>
      </w:r>
      <w:r w:rsidRPr="007F054C">
        <w:rPr>
          <w:lang w:eastAsia="ja-JP"/>
        </w:rPr>
        <w:t>. A brief description of the different treatment modalities applicable to women with hormone receptor positive breast cancer taking AIs is presented in co-administered interventions and comes</w:t>
      </w:r>
      <w:r>
        <w:rPr>
          <w:lang w:eastAsia="ja-JP"/>
        </w:rPr>
        <w:t xml:space="preserve"> from the RACGP (The Royal Australian College of General Practitioners, 2010</w:t>
      </w:r>
      <w:r w:rsidR="005D06DC">
        <w:rPr>
          <w:lang w:eastAsia="ja-JP"/>
        </w:rPr>
        <w:t>b</w:t>
      </w:r>
      <w:r>
        <w:rPr>
          <w:lang w:eastAsia="ja-JP"/>
        </w:rPr>
        <w:t xml:space="preserve">) guidance on the management of osteoporosis as well as guidance from a UK expert group on the </w:t>
      </w:r>
      <w:r w:rsidRPr="00C95E14">
        <w:rPr>
          <w:lang w:eastAsia="ja-JP"/>
        </w:rPr>
        <w:t>management of breast cancer treatment-induced bone loss</w:t>
      </w:r>
      <w:r>
        <w:rPr>
          <w:lang w:eastAsia="ja-JP"/>
        </w:rPr>
        <w:t xml:space="preserve"> (Reid et al 2008).</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D8067A" w:rsidTr="00BE56F3">
        <w:tc>
          <w:tcPr>
            <w:tcW w:w="9242" w:type="dxa"/>
          </w:tcPr>
          <w:p w:rsidR="00D8067A" w:rsidRPr="00BE56F3" w:rsidRDefault="00D8067A" w:rsidP="00077A82">
            <w:pPr>
              <w:rPr>
                <w:b/>
              </w:rPr>
            </w:pPr>
            <w:r w:rsidRPr="00BE56F3">
              <w:rPr>
                <w:b/>
              </w:rPr>
              <w:t>Summary of the approach to assessment for the test</w:t>
            </w:r>
          </w:p>
          <w:p w:rsidR="00D8067A" w:rsidRDefault="00D8067A" w:rsidP="00BE56F3">
            <w:pPr>
              <w:tabs>
                <w:tab w:val="left" w:pos="2835"/>
              </w:tabs>
              <w:spacing w:before="40"/>
            </w:pPr>
            <w:r>
              <w:t xml:space="preserve">The </w:t>
            </w:r>
            <w:r w:rsidRPr="00BE56F3">
              <w:rPr>
                <w:b/>
              </w:rPr>
              <w:t>proposed test</w:t>
            </w:r>
            <w:r>
              <w:t xml:space="preserve"> is DXA.</w:t>
            </w:r>
          </w:p>
          <w:p w:rsidR="00D8067A" w:rsidRDefault="00D8067A" w:rsidP="00BE56F3">
            <w:pPr>
              <w:tabs>
                <w:tab w:val="left" w:pos="2835"/>
              </w:tabs>
              <w:spacing w:before="40"/>
            </w:pPr>
            <w:r>
              <w:t>Bone density testing with QCT is excluded for the following reasons:</w:t>
            </w:r>
          </w:p>
          <w:p w:rsidR="00D8067A" w:rsidRDefault="00D8067A" w:rsidP="00BE56F3">
            <w:pPr>
              <w:pStyle w:val="ListParagraph"/>
              <w:numPr>
                <w:ilvl w:val="0"/>
                <w:numId w:val="21"/>
              </w:numPr>
              <w:tabs>
                <w:tab w:val="left" w:pos="2835"/>
              </w:tabs>
              <w:spacing w:before="40"/>
            </w:pPr>
            <w:r>
              <w:t>QCT results are less reproducible than DXA</w:t>
            </w:r>
          </w:p>
          <w:p w:rsidR="00D8067A" w:rsidRDefault="00D8067A" w:rsidP="00BE56F3">
            <w:pPr>
              <w:pStyle w:val="ListParagraph"/>
              <w:numPr>
                <w:ilvl w:val="0"/>
                <w:numId w:val="21"/>
              </w:numPr>
              <w:tabs>
                <w:tab w:val="left" w:pos="2835"/>
              </w:tabs>
              <w:spacing w:before="40"/>
            </w:pPr>
            <w:r>
              <w:t>There is less robust evidence currently available to support the use of QCT</w:t>
            </w:r>
          </w:p>
          <w:p w:rsidR="00D8067A" w:rsidRDefault="00D8067A" w:rsidP="00BE56F3">
            <w:pPr>
              <w:pStyle w:val="ListParagraph"/>
              <w:numPr>
                <w:ilvl w:val="0"/>
                <w:numId w:val="21"/>
              </w:numPr>
              <w:tabs>
                <w:tab w:val="left" w:pos="2835"/>
              </w:tabs>
              <w:spacing w:before="40"/>
            </w:pPr>
            <w:r>
              <w:t>Although QCT radiation doses are reducing over time, currently the use of QCT involves a higher dose of radiation than DXA so exposes patients to a greater degree of harm.</w:t>
            </w:r>
          </w:p>
          <w:p w:rsidR="00D8067A" w:rsidRDefault="00D8067A" w:rsidP="00BE56F3">
            <w:pPr>
              <w:pStyle w:val="ListParagraph"/>
              <w:numPr>
                <w:ilvl w:val="0"/>
                <w:numId w:val="21"/>
              </w:numPr>
              <w:tabs>
                <w:tab w:val="left" w:pos="2835"/>
              </w:tabs>
              <w:spacing w:before="40"/>
            </w:pPr>
            <w:r>
              <w:t>There are no standardised Australian normative data for QCT.</w:t>
            </w:r>
          </w:p>
          <w:p w:rsidR="00D8067A" w:rsidRDefault="00D8067A" w:rsidP="00BE56F3">
            <w:pPr>
              <w:pStyle w:val="ListParagraph"/>
              <w:numPr>
                <w:ilvl w:val="0"/>
                <w:numId w:val="21"/>
              </w:numPr>
              <w:tabs>
                <w:tab w:val="left" w:pos="2835"/>
              </w:tabs>
              <w:spacing w:before="40"/>
            </w:pPr>
            <w:r>
              <w:t>QCT assessment of the spine may overestimate osteoporosis compared to DXA using the WHO standard definitions.</w:t>
            </w:r>
          </w:p>
          <w:p w:rsidR="00D8067A" w:rsidRDefault="00D8067A" w:rsidP="00BE56F3">
            <w:pPr>
              <w:pStyle w:val="ListParagraph"/>
              <w:numPr>
                <w:ilvl w:val="0"/>
                <w:numId w:val="21"/>
              </w:numPr>
              <w:tabs>
                <w:tab w:val="left" w:pos="2835"/>
              </w:tabs>
              <w:spacing w:before="40"/>
            </w:pPr>
            <w:r>
              <w:t>PASC recognise that QCT may be considered an alternative to DXA in the future.</w:t>
            </w:r>
          </w:p>
        </w:tc>
      </w:tr>
    </w:tbl>
    <w:p w:rsidR="00D8067A" w:rsidRPr="00A34E9C" w:rsidRDefault="00D8067A" w:rsidP="00D34BAD">
      <w:pPr>
        <w:pStyle w:val="Heading2"/>
        <w:spacing w:after="240"/>
      </w:pPr>
      <w:bookmarkStart w:id="18" w:name="_Toc335905412"/>
      <w:bookmarkStart w:id="19" w:name="_Toc362968487"/>
      <w:r w:rsidRPr="00A34E9C">
        <w:t>Co-administered interventions</w:t>
      </w:r>
      <w:bookmarkEnd w:id="18"/>
      <w:bookmarkEnd w:id="19"/>
    </w:p>
    <w:p w:rsidR="00D8067A" w:rsidRPr="00CF6D1F" w:rsidRDefault="00032C4F" w:rsidP="00072AA7">
      <w:pPr>
        <w:rPr>
          <w:lang w:eastAsia="ja-JP"/>
        </w:rPr>
      </w:pPr>
      <w:r w:rsidRPr="00243A4E">
        <w:t>For people with OP, a variety of treatment options exist through which to reduce the rate of bone loss</w:t>
      </w:r>
      <w:r>
        <w:t>.</w:t>
      </w:r>
      <w:r w:rsidRPr="00243A4E">
        <w:t xml:space="preserve"> </w:t>
      </w:r>
      <w:r>
        <w:t xml:space="preserve">In addition to </w:t>
      </w:r>
      <w:r w:rsidRPr="00243A4E">
        <w:t xml:space="preserve">maintenance of bone formation through supplementation (calcium and vitamin D), and reduction of bone </w:t>
      </w:r>
      <w:proofErr w:type="spellStart"/>
      <w:r w:rsidRPr="00243A4E">
        <w:t>resorption</w:t>
      </w:r>
      <w:proofErr w:type="spellEnd"/>
      <w:r w:rsidRPr="00243A4E">
        <w:t xml:space="preserve"> through lifestyle modification (exercise)</w:t>
      </w:r>
      <w:r>
        <w:t xml:space="preserve">, </w:t>
      </w:r>
      <w:r w:rsidR="005617A7">
        <w:t>p</w:t>
      </w:r>
      <w:r w:rsidRPr="00243A4E">
        <w:t>harmaceutical</w:t>
      </w:r>
      <w:r>
        <w:t xml:space="preserve"> medications are available for the treatment of osteoporosis in certain patient groups (RACGP 2010b). </w:t>
      </w:r>
      <w:r w:rsidR="00D8067A" w:rsidRPr="00CF6D1F">
        <w:rPr>
          <w:lang w:eastAsia="ja-JP"/>
        </w:rPr>
        <w:t xml:space="preserve">Different preventive and treatment modalities include: </w:t>
      </w:r>
    </w:p>
    <w:p w:rsidR="00D8067A" w:rsidRPr="00CF6D1F" w:rsidRDefault="00D8067A" w:rsidP="00615E23">
      <w:pPr>
        <w:pStyle w:val="ListParagraph"/>
        <w:numPr>
          <w:ilvl w:val="0"/>
          <w:numId w:val="18"/>
        </w:numPr>
        <w:rPr>
          <w:lang w:eastAsia="ja-JP"/>
        </w:rPr>
      </w:pPr>
      <w:r w:rsidRPr="00CF6D1F">
        <w:rPr>
          <w:lang w:eastAsia="ja-JP"/>
        </w:rPr>
        <w:t>Exercise - regular, progressive weight-bearing and resist</w:t>
      </w:r>
      <w:r>
        <w:rPr>
          <w:lang w:eastAsia="ja-JP"/>
        </w:rPr>
        <w:t>a</w:t>
      </w:r>
      <w:r w:rsidRPr="00CF6D1F">
        <w:rPr>
          <w:lang w:eastAsia="ja-JP"/>
        </w:rPr>
        <w:t>nce exercise aids in the preservation and increase of bone density</w:t>
      </w:r>
    </w:p>
    <w:p w:rsidR="00D8067A" w:rsidRDefault="00D8067A" w:rsidP="00615E23">
      <w:pPr>
        <w:pStyle w:val="ListParagraph"/>
        <w:numPr>
          <w:ilvl w:val="0"/>
          <w:numId w:val="18"/>
        </w:numPr>
        <w:rPr>
          <w:lang w:eastAsia="ja-JP"/>
        </w:rPr>
      </w:pPr>
      <w:r w:rsidRPr="00CF6D1F">
        <w:rPr>
          <w:lang w:eastAsia="ja-JP"/>
        </w:rPr>
        <w:t xml:space="preserve">Calcium and vitamin D – it is recommended that to optimise clinical efficacy, adequate calcium and vitamin D are required. If sufficient calcium cannot be obtained from diet, and adequate </w:t>
      </w:r>
      <w:r w:rsidRPr="00CF6D1F">
        <w:rPr>
          <w:lang w:eastAsia="ja-JP"/>
        </w:rPr>
        <w:lastRenderedPageBreak/>
        <w:t>Vitamin D levels are not achieved by sun exposure, supplements may be required. Total calcium intake of 1000-1300 mg/day (combination of food and supplement) is recommended</w:t>
      </w:r>
      <w:r w:rsidR="00F46A88">
        <w:rPr>
          <w:lang w:eastAsia="ja-JP"/>
        </w:rPr>
        <w:t xml:space="preserve"> </w:t>
      </w:r>
      <w:r w:rsidRPr="00CF6D1F">
        <w:rPr>
          <w:lang w:eastAsia="ja-JP"/>
        </w:rPr>
        <w:t>(</w:t>
      </w:r>
      <w:r w:rsidR="00331FD5">
        <w:rPr>
          <w:lang w:eastAsia="ja-JP"/>
        </w:rPr>
        <w:t>RACGP 2010b</w:t>
      </w:r>
      <w:r w:rsidRPr="00CF6D1F">
        <w:rPr>
          <w:lang w:eastAsia="ja-JP"/>
        </w:rPr>
        <w:t>)</w:t>
      </w:r>
      <w:r w:rsidR="00F46A88">
        <w:rPr>
          <w:lang w:eastAsia="ja-JP"/>
        </w:rPr>
        <w:t>.</w:t>
      </w:r>
      <w:r w:rsidRPr="00CF6D1F">
        <w:rPr>
          <w:lang w:eastAsia="ja-JP"/>
        </w:rPr>
        <w:t xml:space="preserve"> Where sun exposure is not adequate to generate sufficient Vitamin D levels, supplementation </w:t>
      </w:r>
      <w:r w:rsidR="000A25EF" w:rsidRPr="00CF6D1F">
        <w:rPr>
          <w:lang w:eastAsia="ja-JP"/>
        </w:rPr>
        <w:t>of vitamin</w:t>
      </w:r>
      <w:r w:rsidRPr="00CF6D1F">
        <w:rPr>
          <w:lang w:eastAsia="ja-JP"/>
        </w:rPr>
        <w:t xml:space="preserve"> D 700-800 IU/day is rec</w:t>
      </w:r>
      <w:r>
        <w:rPr>
          <w:lang w:eastAsia="ja-JP"/>
        </w:rPr>
        <w:t>ommende</w:t>
      </w:r>
      <w:r w:rsidR="000A25EF">
        <w:rPr>
          <w:lang w:eastAsia="ja-JP"/>
        </w:rPr>
        <w:t>d</w:t>
      </w:r>
      <w:r w:rsidR="00F46A88">
        <w:rPr>
          <w:lang w:eastAsia="ja-JP"/>
        </w:rPr>
        <w:t xml:space="preserve"> </w:t>
      </w:r>
      <w:r w:rsidR="000A25EF">
        <w:rPr>
          <w:lang w:eastAsia="ja-JP"/>
        </w:rPr>
        <w:t>(</w:t>
      </w:r>
      <w:proofErr w:type="spellStart"/>
      <w:r w:rsidR="000A25EF">
        <w:rPr>
          <w:lang w:eastAsia="ja-JP"/>
        </w:rPr>
        <w:t>Nowson</w:t>
      </w:r>
      <w:proofErr w:type="spellEnd"/>
      <w:r w:rsidR="000A25EF">
        <w:rPr>
          <w:lang w:eastAsia="ja-JP"/>
        </w:rPr>
        <w:t xml:space="preserve"> et al </w:t>
      </w:r>
      <w:r>
        <w:rPr>
          <w:lang w:eastAsia="ja-JP"/>
        </w:rPr>
        <w:t>2012).</w:t>
      </w:r>
    </w:p>
    <w:p w:rsidR="00D8067A" w:rsidRPr="00CF6D1F" w:rsidRDefault="00D8067A" w:rsidP="00615E23">
      <w:pPr>
        <w:pStyle w:val="ListParagraph"/>
        <w:numPr>
          <w:ilvl w:val="0"/>
          <w:numId w:val="18"/>
        </w:numPr>
        <w:rPr>
          <w:lang w:eastAsia="ja-JP"/>
        </w:rPr>
      </w:pPr>
      <w:r w:rsidRPr="00CF6D1F">
        <w:rPr>
          <w:lang w:eastAsia="ja-JP"/>
        </w:rPr>
        <w:t xml:space="preserve">Bisphosphonates–The bisphosphonates currently used in Australia include alendronate, disodium </w:t>
      </w:r>
      <w:proofErr w:type="spellStart"/>
      <w:r w:rsidRPr="00CF6D1F">
        <w:rPr>
          <w:lang w:eastAsia="ja-JP"/>
        </w:rPr>
        <w:t>etidronate</w:t>
      </w:r>
      <w:proofErr w:type="spellEnd"/>
      <w:r w:rsidRPr="00CF6D1F">
        <w:rPr>
          <w:lang w:eastAsia="ja-JP"/>
        </w:rPr>
        <w:t xml:space="preserve">, </w:t>
      </w:r>
      <w:proofErr w:type="spellStart"/>
      <w:r w:rsidRPr="00CF6D1F">
        <w:rPr>
          <w:lang w:eastAsia="ja-JP"/>
        </w:rPr>
        <w:t>risedronate</w:t>
      </w:r>
      <w:proofErr w:type="spellEnd"/>
      <w:r w:rsidRPr="00CF6D1F">
        <w:rPr>
          <w:lang w:eastAsia="ja-JP"/>
        </w:rPr>
        <w:t xml:space="preserve">, and </w:t>
      </w:r>
      <w:proofErr w:type="spellStart"/>
      <w:r w:rsidRPr="00CF6D1F">
        <w:rPr>
          <w:lang w:eastAsia="ja-JP"/>
        </w:rPr>
        <w:t>zoledronic</w:t>
      </w:r>
      <w:proofErr w:type="spellEnd"/>
      <w:r w:rsidRPr="00CF6D1F">
        <w:rPr>
          <w:lang w:eastAsia="ja-JP"/>
        </w:rPr>
        <w:t xml:space="preserve"> acid. These drugs reduce the risk of fractures by increasing bone density through the reduction of osteoclast activity. On average, these drugs lead to an increase in bone density by approximately 4-8</w:t>
      </w:r>
      <w:r w:rsidR="00F46A88">
        <w:rPr>
          <w:lang w:eastAsia="ja-JP"/>
        </w:rPr>
        <w:t xml:space="preserve"> per cent</w:t>
      </w:r>
      <w:r w:rsidRPr="00CF6D1F">
        <w:rPr>
          <w:lang w:eastAsia="ja-JP"/>
        </w:rPr>
        <w:t xml:space="preserve"> at the spine and 1-3</w:t>
      </w:r>
      <w:r w:rsidR="00F46A88">
        <w:rPr>
          <w:lang w:eastAsia="ja-JP"/>
        </w:rPr>
        <w:t xml:space="preserve"> per cent</w:t>
      </w:r>
      <w:r w:rsidRPr="00CF6D1F">
        <w:rPr>
          <w:lang w:eastAsia="ja-JP"/>
        </w:rPr>
        <w:t xml:space="preserve"> at the hip over the first 3-4 years of treatment.</w:t>
      </w:r>
    </w:p>
    <w:p w:rsidR="00D8067A" w:rsidRDefault="00D8067A" w:rsidP="00615E23">
      <w:pPr>
        <w:pStyle w:val="ListParagraph"/>
        <w:numPr>
          <w:ilvl w:val="0"/>
          <w:numId w:val="18"/>
        </w:numPr>
        <w:rPr>
          <w:lang w:eastAsia="ja-JP"/>
        </w:rPr>
      </w:pPr>
      <w:r w:rsidRPr="00CF6D1F">
        <w:rPr>
          <w:lang w:eastAsia="ja-JP"/>
        </w:rPr>
        <w:t>Monoclonal antibodies (</w:t>
      </w:r>
      <w:proofErr w:type="spellStart"/>
      <w:r w:rsidRPr="00CF6D1F">
        <w:rPr>
          <w:lang w:eastAsia="ja-JP"/>
        </w:rPr>
        <w:t>Denosumab</w:t>
      </w:r>
      <w:proofErr w:type="spellEnd"/>
      <w:r w:rsidRPr="00CF6D1F">
        <w:rPr>
          <w:lang w:eastAsia="ja-JP"/>
        </w:rPr>
        <w:t xml:space="preserve">) – the RANK Ligand inhibitor, monoclonal antibody </w:t>
      </w:r>
      <w:proofErr w:type="spellStart"/>
      <w:r w:rsidRPr="00CF6D1F">
        <w:rPr>
          <w:lang w:eastAsia="ja-JP"/>
        </w:rPr>
        <w:t>Denosumab</w:t>
      </w:r>
      <w:proofErr w:type="spellEnd"/>
      <w:r w:rsidRPr="00CF6D1F">
        <w:rPr>
          <w:lang w:eastAsia="ja-JP"/>
        </w:rPr>
        <w:t xml:space="preserve"> binds to a specific ligand which is required for osteoclast formation. This inhibition of osteoclast formation</w:t>
      </w:r>
      <w:r>
        <w:rPr>
          <w:lang w:eastAsia="ja-JP"/>
        </w:rPr>
        <w:t>, activity and viability</w:t>
      </w:r>
      <w:r w:rsidRPr="00CF6D1F">
        <w:rPr>
          <w:lang w:eastAsia="ja-JP"/>
        </w:rPr>
        <w:t xml:space="preserve"> results in decreased bone </w:t>
      </w:r>
      <w:proofErr w:type="spellStart"/>
      <w:r w:rsidRPr="00CF6D1F">
        <w:rPr>
          <w:lang w:eastAsia="ja-JP"/>
        </w:rPr>
        <w:t>resorption</w:t>
      </w:r>
      <w:proofErr w:type="spellEnd"/>
      <w:r w:rsidRPr="00CF6D1F">
        <w:rPr>
          <w:lang w:eastAsia="ja-JP"/>
        </w:rPr>
        <w:t xml:space="preserve"> and increased bone mass and strength in both cortical and trabecular bone. </w:t>
      </w:r>
    </w:p>
    <w:p w:rsidR="00D8067A" w:rsidRDefault="00D8067A" w:rsidP="00072AA7">
      <w:pPr>
        <w:rPr>
          <w:lang w:eastAsia="ja-JP"/>
        </w:rPr>
      </w:pPr>
      <w:r>
        <w:rPr>
          <w:lang w:eastAsia="ja-JP"/>
        </w:rPr>
        <w:t>Examples of anti-osteoporotic medication listed on the</w:t>
      </w:r>
      <w:r w:rsidRPr="00CF6D1F">
        <w:rPr>
          <w:lang w:eastAsia="ja-JP"/>
        </w:rPr>
        <w:t xml:space="preserve"> ARTG </w:t>
      </w:r>
      <w:r>
        <w:rPr>
          <w:lang w:eastAsia="ja-JP"/>
        </w:rPr>
        <w:t>are shown in Appendix 1</w:t>
      </w:r>
      <w:r w:rsidRPr="00CF6D1F">
        <w:rPr>
          <w:lang w:eastAsia="ja-JP"/>
        </w:rPr>
        <w:t xml:space="preserve">. Indications, contraindications and potential complications of </w:t>
      </w:r>
      <w:r>
        <w:rPr>
          <w:lang w:eastAsia="ja-JP"/>
        </w:rPr>
        <w:t>anti-osteoporotic medication are presented in Appendix 2</w:t>
      </w:r>
      <w:r w:rsidRPr="00CF6D1F">
        <w:rPr>
          <w:lang w:eastAsia="ja-JP"/>
        </w:rPr>
        <w:t>.</w:t>
      </w:r>
      <w:r w:rsidRPr="00B83696">
        <w:t xml:space="preserve"> </w:t>
      </w:r>
      <w:r w:rsidRPr="00B83696">
        <w:rPr>
          <w:lang w:eastAsia="ja-JP"/>
        </w:rPr>
        <w:t>PBS-listed anti-</w:t>
      </w:r>
      <w:proofErr w:type="spellStart"/>
      <w:r w:rsidRPr="00B83696">
        <w:rPr>
          <w:lang w:eastAsia="ja-JP"/>
        </w:rPr>
        <w:t>resorptive</w:t>
      </w:r>
      <w:proofErr w:type="spellEnd"/>
      <w:r w:rsidRPr="00B83696">
        <w:rPr>
          <w:lang w:eastAsia="ja-JP"/>
        </w:rPr>
        <w:t xml:space="preserve"> pharmaceuticals are listed by drug in Appendix 3 and by indication in Appendix 4.</w:t>
      </w:r>
    </w:p>
    <w:p w:rsidR="00D8067A" w:rsidRDefault="00D8067A" w:rsidP="00072AA7">
      <w:pPr>
        <w:rPr>
          <w:lang w:eastAsia="ja-JP"/>
        </w:rPr>
      </w:pPr>
      <w:r>
        <w:rPr>
          <w:lang w:eastAsia="ja-JP"/>
        </w:rPr>
        <w:t xml:space="preserve">Anti-osteoporotic medications on the ARTG are listed according to relatively broad indications. For example, alendronate is available to post-menopausal women and to men for the treatment of osteoporosis to help prevent fractures. Other medications are available </w:t>
      </w:r>
      <w:r w:rsidR="0072030D">
        <w:rPr>
          <w:lang w:eastAsia="ja-JP"/>
        </w:rPr>
        <w:t xml:space="preserve">if </w:t>
      </w:r>
      <w:r w:rsidRPr="00DE040B">
        <w:rPr>
          <w:lang w:eastAsia="ja-JP"/>
        </w:rPr>
        <w:t>the finding of low bone mass</w:t>
      </w:r>
      <w:r w:rsidR="0072030D">
        <w:rPr>
          <w:lang w:eastAsia="ja-JP"/>
        </w:rPr>
        <w:t xml:space="preserve"> is confirmed</w:t>
      </w:r>
      <w:r>
        <w:rPr>
          <w:lang w:eastAsia="ja-JP"/>
        </w:rPr>
        <w:t xml:space="preserve">, for patients </w:t>
      </w:r>
      <w:r w:rsidRPr="00DE040B">
        <w:rPr>
          <w:lang w:eastAsia="ja-JP"/>
        </w:rPr>
        <w:t>on long-term corticosteroid therapy</w:t>
      </w:r>
      <w:r>
        <w:rPr>
          <w:lang w:eastAsia="ja-JP"/>
        </w:rPr>
        <w:t xml:space="preserve">, or in the </w:t>
      </w:r>
      <w:r w:rsidRPr="00DE040B">
        <w:rPr>
          <w:lang w:eastAsia="ja-JP"/>
        </w:rPr>
        <w:t>presence or history of osteoporotic fracture</w:t>
      </w:r>
      <w:r>
        <w:rPr>
          <w:lang w:eastAsia="ja-JP"/>
        </w:rPr>
        <w:t xml:space="preserve">. </w:t>
      </w:r>
    </w:p>
    <w:p w:rsidR="00D8067A" w:rsidRPr="00D55001" w:rsidRDefault="00D8067A" w:rsidP="009D0C37">
      <w:pPr>
        <w:rPr>
          <w:b/>
        </w:rPr>
      </w:pPr>
      <w:r w:rsidRPr="00D55001">
        <w:rPr>
          <w:b/>
        </w:rPr>
        <w:t>Clinical research questions for the assessment relating to the intervention:</w:t>
      </w:r>
    </w:p>
    <w:p w:rsidR="00D8067A" w:rsidRDefault="00D8067A" w:rsidP="00615E23">
      <w:pPr>
        <w:pStyle w:val="ListParagraph"/>
        <w:numPr>
          <w:ilvl w:val="0"/>
          <w:numId w:val="27"/>
        </w:numPr>
      </w:pPr>
      <w:r>
        <w:t>What is the effect of anti-</w:t>
      </w:r>
      <w:proofErr w:type="spellStart"/>
      <w:r>
        <w:t>resorptive</w:t>
      </w:r>
      <w:proofErr w:type="spellEnd"/>
      <w:r>
        <w:t xml:space="preserve"> medication on the rate of bone mineral density loss and minimal trauma fracture in the defined population?</w:t>
      </w:r>
    </w:p>
    <w:p w:rsidR="00D8067A" w:rsidRDefault="00D8067A" w:rsidP="0052497B">
      <w:pPr>
        <w:pStyle w:val="ListParagraph"/>
        <w:numPr>
          <w:ilvl w:val="0"/>
          <w:numId w:val="27"/>
        </w:numPr>
      </w:pPr>
      <w:r>
        <w:t>What is the rate of bone loss over time in the population who are not provided test and therapy? What is the rate of bone loss over time in the population who are provided test and therapy? Evidence provided in response to these questions will inform the number and frequency of DXA re-testing and monitoring (respectively). The frequency of re-testing and monitoring should be justified by the submission of available evidence.</w:t>
      </w:r>
      <w:r w:rsidRPr="0052497B">
        <w:t xml:space="preserve"> </w:t>
      </w:r>
    </w:p>
    <w:p w:rsidR="000F2479" w:rsidRDefault="00D8067A">
      <w:pPr>
        <w:pStyle w:val="ListParagraph"/>
        <w:numPr>
          <w:ilvl w:val="0"/>
          <w:numId w:val="27"/>
        </w:numPr>
      </w:pPr>
      <w:r>
        <w:t>What is the appropriate threshold for therapy in this population?</w:t>
      </w:r>
    </w:p>
    <w:p w:rsidR="00D8067A" w:rsidRDefault="00D8067A" w:rsidP="00615E23">
      <w:pPr>
        <w:pStyle w:val="ListParagraph"/>
        <w:numPr>
          <w:ilvl w:val="0"/>
          <w:numId w:val="27"/>
        </w:numPr>
      </w:pPr>
      <w:r>
        <w:t>What proportion of the population will reach the threshold T-score for therapy?</w:t>
      </w:r>
    </w:p>
    <w:p w:rsidR="00032C4F" w:rsidRDefault="00032C4F" w:rsidP="00032C4F">
      <w:pPr>
        <w:pStyle w:val="ListParagraph"/>
        <w:numPr>
          <w:ilvl w:val="0"/>
          <w:numId w:val="27"/>
        </w:numPr>
      </w:pPr>
      <w:r w:rsidRPr="00032C4F">
        <w:t>The assess</w:t>
      </w:r>
      <w:r>
        <w:t xml:space="preserve">ment phase should also consider patient who </w:t>
      </w:r>
      <w:r w:rsidRPr="00032C4F">
        <w:t xml:space="preserve">are </w:t>
      </w:r>
      <w:r>
        <w:t>already on aromatase inhibitors and who may have been taken them for some time</w:t>
      </w:r>
      <w:r w:rsidRPr="00032C4F">
        <w:t xml:space="preserve"> at the time of introduction (i.e. effectiveness in people who enter the test-and-treat regime when they are already in </w:t>
      </w:r>
      <w:r>
        <w:t>treatment).</w:t>
      </w:r>
    </w:p>
    <w:p w:rsidR="00D8067A" w:rsidRDefault="00D8067A" w:rsidP="009D0C37"/>
    <w:p w:rsidR="00D55001" w:rsidRDefault="00D55001" w:rsidP="009D0C37"/>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D8067A" w:rsidTr="00BE56F3">
        <w:tc>
          <w:tcPr>
            <w:tcW w:w="9242" w:type="dxa"/>
          </w:tcPr>
          <w:p w:rsidR="00D8067A" w:rsidRPr="00BE56F3" w:rsidRDefault="00D8067A" w:rsidP="00077A82">
            <w:pPr>
              <w:rPr>
                <w:b/>
              </w:rPr>
            </w:pPr>
            <w:r w:rsidRPr="00BE56F3">
              <w:rPr>
                <w:b/>
              </w:rPr>
              <w:lastRenderedPageBreak/>
              <w:t>Summary of the approach to assessment for the intervention</w:t>
            </w:r>
          </w:p>
          <w:p w:rsidR="00D8067A" w:rsidRPr="00BE56F3" w:rsidRDefault="00D8067A" w:rsidP="00077A82">
            <w:pPr>
              <w:rPr>
                <w:u w:val="single"/>
              </w:rPr>
            </w:pPr>
            <w:r w:rsidRPr="00BE56F3">
              <w:rPr>
                <w:u w:val="single"/>
              </w:rPr>
              <w:t>Test</w:t>
            </w:r>
          </w:p>
          <w:p w:rsidR="00D8067A" w:rsidRDefault="00D8067A" w:rsidP="00BE56F3">
            <w:pPr>
              <w:tabs>
                <w:tab w:val="left" w:pos="2835"/>
              </w:tabs>
              <w:spacing w:before="40"/>
            </w:pPr>
            <w:r w:rsidRPr="00BE56F3">
              <w:rPr>
                <w:b/>
              </w:rPr>
              <w:t xml:space="preserve">The proposed test </w:t>
            </w:r>
            <w:r w:rsidRPr="007518AC">
              <w:t>is DXA</w:t>
            </w:r>
            <w:r>
              <w:t xml:space="preserve">. </w:t>
            </w:r>
            <w:r w:rsidRPr="00AD0B0D">
              <w:t xml:space="preserve">PASC consider that testing for serum vitamin D </w:t>
            </w:r>
            <w:r>
              <w:t>sufficiency</w:t>
            </w:r>
            <w:r w:rsidRPr="00AD0B0D">
              <w:t xml:space="preserve"> would occur during standard clinical evaluation of a patient for low bone mineral density. Therefore the use of this resource would be the same in both the current and proposed scenario.</w:t>
            </w:r>
          </w:p>
          <w:p w:rsidR="00D8067A" w:rsidRPr="00BE56F3" w:rsidRDefault="00D8067A" w:rsidP="00077A82">
            <w:pPr>
              <w:rPr>
                <w:u w:val="single"/>
              </w:rPr>
            </w:pPr>
            <w:r w:rsidRPr="00BE56F3">
              <w:rPr>
                <w:u w:val="single"/>
              </w:rPr>
              <w:t xml:space="preserve">Therapy </w:t>
            </w:r>
          </w:p>
          <w:p w:rsidR="00D8067A" w:rsidRDefault="00D8067A" w:rsidP="00BE56F3">
            <w:pPr>
              <w:tabs>
                <w:tab w:val="left" w:pos="2835"/>
              </w:tabs>
              <w:spacing w:before="40"/>
            </w:pPr>
            <w:r w:rsidRPr="00BE56F3">
              <w:rPr>
                <w:b/>
              </w:rPr>
              <w:t xml:space="preserve">The proposed therapy </w:t>
            </w:r>
            <w:r>
              <w:t>is treatment with anti-</w:t>
            </w:r>
            <w:proofErr w:type="spellStart"/>
            <w:r>
              <w:t>resorptive</w:t>
            </w:r>
            <w:proofErr w:type="spellEnd"/>
            <w:r>
              <w:t xml:space="preserve"> agents. Women taking aromatase inhibitors would receive dietary and lifestyle advice as part of their ongoing management. </w:t>
            </w:r>
          </w:p>
          <w:p w:rsidR="00D8067A" w:rsidRPr="002D2623" w:rsidRDefault="00D8067A" w:rsidP="00BE56F3">
            <w:pPr>
              <w:tabs>
                <w:tab w:val="left" w:pos="2835"/>
              </w:tabs>
              <w:spacing w:before="40"/>
            </w:pPr>
            <w:r>
              <w:t>The proposed thres</w:t>
            </w:r>
            <w:r w:rsidR="000A25EF">
              <w:t>hold is a T-score of less than/</w:t>
            </w:r>
            <w:r>
              <w:t xml:space="preserve">equal to -2.5. PASC considered that different BMD </w:t>
            </w:r>
            <w:r w:rsidRPr="00BE56F3">
              <w:rPr>
                <w:b/>
              </w:rPr>
              <w:t>thresholds</w:t>
            </w:r>
            <w:r>
              <w:t xml:space="preserve"> should be examined as the trigger for anti-</w:t>
            </w:r>
            <w:proofErr w:type="spellStart"/>
            <w:r>
              <w:t>resorptive</w:t>
            </w:r>
            <w:proofErr w:type="spellEnd"/>
            <w:r>
              <w:t xml:space="preserve"> treatment. The assessment phase should examine a T- score of -1.5 and -1.0 (the current triggers for PBS eligibility in patients taking glucocorticoid therapy) and sensitivity analyses around T-scores of -1, -2.0 and -2.5 </w:t>
            </w:r>
            <w:r w:rsidR="0072030D">
              <w:t xml:space="preserve">should </w:t>
            </w:r>
            <w:r>
              <w:t xml:space="preserve">also be conducted. </w:t>
            </w:r>
            <w:r w:rsidRPr="00E350B7">
              <w:t xml:space="preserve">Any evidence identified to establish thresholds for therapy based on Z-scores in younger women should be presented. </w:t>
            </w:r>
          </w:p>
          <w:p w:rsidR="00D8067A" w:rsidRDefault="00D8067A" w:rsidP="00BE56F3">
            <w:pPr>
              <w:tabs>
                <w:tab w:val="left" w:pos="2835"/>
              </w:tabs>
              <w:spacing w:before="40"/>
            </w:pPr>
            <w:r>
              <w:t>T</w:t>
            </w:r>
            <w:r w:rsidRPr="00A172DA">
              <w:t xml:space="preserve">he </w:t>
            </w:r>
            <w:r w:rsidRPr="00BE56F3">
              <w:rPr>
                <w:b/>
              </w:rPr>
              <w:t>timing and frequency of monitoring and re-testing</w:t>
            </w:r>
            <w:r w:rsidRPr="00A172DA">
              <w:t xml:space="preserve"> should be informed </w:t>
            </w:r>
            <w:r>
              <w:t>by evidence of change in BMD as a surrogate for the risk of minimal trauma fracture over time. The assessment phase will need to address the rate of bone loss in women taking aromatase inhibitors and anti-</w:t>
            </w:r>
            <w:proofErr w:type="spellStart"/>
            <w:r>
              <w:t>resorptives</w:t>
            </w:r>
            <w:proofErr w:type="spellEnd"/>
            <w:r>
              <w:t xml:space="preserve"> (who reach the threshold for treatment) as well as the rate of bone loss in women taking aromatase inhibitors and not anti-</w:t>
            </w:r>
            <w:proofErr w:type="spellStart"/>
            <w:r>
              <w:t>resoprtives</w:t>
            </w:r>
            <w:proofErr w:type="spellEnd"/>
            <w:r>
              <w:t>. This will inform questions around monitoring and re-testing. For sensitivity analyses the following options should be evaluated regarding re testing and monitoring of the proposed population:</w:t>
            </w:r>
          </w:p>
          <w:p w:rsidR="00D8067A" w:rsidRDefault="00D8067A" w:rsidP="00BE56F3">
            <w:pPr>
              <w:pStyle w:val="ListParagraph"/>
              <w:numPr>
                <w:ilvl w:val="0"/>
                <w:numId w:val="37"/>
              </w:numPr>
              <w:tabs>
                <w:tab w:val="left" w:pos="2835"/>
              </w:tabs>
              <w:spacing w:before="40"/>
            </w:pPr>
            <w:r>
              <w:t>Re testing and monitoring of patients every 24 months</w:t>
            </w:r>
          </w:p>
          <w:p w:rsidR="00D8067A" w:rsidRDefault="00D8067A" w:rsidP="00BE56F3">
            <w:pPr>
              <w:pStyle w:val="ListParagraph"/>
              <w:numPr>
                <w:ilvl w:val="0"/>
                <w:numId w:val="37"/>
              </w:numPr>
              <w:tabs>
                <w:tab w:val="left" w:pos="2835"/>
              </w:tabs>
              <w:spacing w:before="40"/>
            </w:pPr>
            <w:r>
              <w:t>Re testing and monitoring of patients every 12 months</w:t>
            </w:r>
          </w:p>
          <w:p w:rsidR="00D8067A" w:rsidRDefault="00D8067A" w:rsidP="00BE56F3">
            <w:pPr>
              <w:pStyle w:val="ListParagraph"/>
              <w:numPr>
                <w:ilvl w:val="0"/>
                <w:numId w:val="37"/>
              </w:numPr>
              <w:tabs>
                <w:tab w:val="left" w:pos="2835"/>
              </w:tabs>
              <w:spacing w:before="40"/>
            </w:pPr>
            <w:r>
              <w:t xml:space="preserve">Re testing and monitoring of patients at frequencies advised by the evidence. </w:t>
            </w:r>
          </w:p>
          <w:p w:rsidR="00D8067A" w:rsidRPr="00BE56F3" w:rsidRDefault="00D8067A" w:rsidP="00077A82">
            <w:pPr>
              <w:rPr>
                <w:u w:val="single"/>
              </w:rPr>
            </w:pPr>
            <w:r w:rsidRPr="00BE56F3">
              <w:rPr>
                <w:u w:val="single"/>
              </w:rPr>
              <w:t>Co-dependency</w:t>
            </w:r>
          </w:p>
          <w:p w:rsidR="00D8067A" w:rsidRDefault="00D8067A" w:rsidP="00BE56F3">
            <w:pPr>
              <w:tabs>
                <w:tab w:val="left" w:pos="2835"/>
              </w:tabs>
              <w:spacing w:before="40"/>
            </w:pPr>
            <w:r>
              <w:t xml:space="preserve">PASC noted that this application will be a </w:t>
            </w:r>
            <w:r w:rsidRPr="00BE56F3">
              <w:rPr>
                <w:b/>
              </w:rPr>
              <w:t>co-dependent application</w:t>
            </w:r>
            <w:r>
              <w:t xml:space="preserve"> involving prescription medicines not currently PBS subsidised for the patient population in question. However, at this stage there is </w:t>
            </w:r>
            <w:r w:rsidRPr="00BE56F3">
              <w:rPr>
                <w:b/>
              </w:rPr>
              <w:t>no concurrent co-dependent application</w:t>
            </w:r>
            <w:r>
              <w:t>.</w:t>
            </w:r>
          </w:p>
          <w:p w:rsidR="00D8067A" w:rsidRDefault="00D8067A" w:rsidP="00BE56F3">
            <w:pPr>
              <w:tabs>
                <w:tab w:val="left" w:pos="2835"/>
              </w:tabs>
              <w:spacing w:before="40"/>
            </w:pPr>
            <w:r>
              <w:t xml:space="preserve">As the use of prescription medicines is essential to the overall cost-effectiveness of this proposal, the necessary co-dependencies will need to be addressed for PBS listing as well as MBS listing purposes. </w:t>
            </w:r>
          </w:p>
          <w:p w:rsidR="00D8067A" w:rsidRDefault="00D8067A" w:rsidP="00BE56F3">
            <w:pPr>
              <w:tabs>
                <w:tab w:val="left" w:pos="2835"/>
              </w:tabs>
              <w:spacing w:before="40"/>
            </w:pPr>
            <w:r>
              <w:t>Note that the final eligibility criteria</w:t>
            </w:r>
            <w:r w:rsidR="0072030D">
              <w:t>,</w:t>
            </w:r>
            <w:r>
              <w:t xml:space="preserve"> including </w:t>
            </w:r>
            <w:r w:rsidR="0072030D">
              <w:t xml:space="preserve">the </w:t>
            </w:r>
            <w:r>
              <w:t xml:space="preserve">threshold T-score of the proposed population to </w:t>
            </w:r>
            <w:r w:rsidR="0072030D">
              <w:t xml:space="preserve">access </w:t>
            </w:r>
            <w:r>
              <w:t>any co-dependent anti-</w:t>
            </w:r>
            <w:proofErr w:type="spellStart"/>
            <w:r>
              <w:t>resorptive</w:t>
            </w:r>
            <w:proofErr w:type="spellEnd"/>
            <w:r>
              <w:t xml:space="preserve"> drug would be defined by the Pharmaceutical Benefits Advisory Committee (PASC).</w:t>
            </w:r>
          </w:p>
          <w:p w:rsidR="00D8067A" w:rsidRDefault="00D8067A" w:rsidP="00BE56F3">
            <w:pPr>
              <w:tabs>
                <w:tab w:val="left" w:pos="2835"/>
              </w:tabs>
              <w:spacing w:before="40"/>
            </w:pPr>
            <w:r>
              <w:t xml:space="preserve">The assessment phase should address the efficacy of co-dependent medicines with respect to the </w:t>
            </w:r>
            <w:r>
              <w:lastRenderedPageBreak/>
              <w:t xml:space="preserve">following populations in the proportion of women reaching the threshold for therapy: </w:t>
            </w:r>
          </w:p>
          <w:p w:rsidR="00D8067A" w:rsidRDefault="00D8067A" w:rsidP="00BE56F3">
            <w:pPr>
              <w:pStyle w:val="ListParagraph"/>
              <w:numPr>
                <w:ilvl w:val="0"/>
                <w:numId w:val="18"/>
              </w:numPr>
              <w:tabs>
                <w:tab w:val="left" w:pos="2835"/>
              </w:tabs>
              <w:spacing w:before="40"/>
              <w:rPr>
                <w:lang w:eastAsia="ja-JP"/>
              </w:rPr>
            </w:pPr>
            <w:r>
              <w:rPr>
                <w:lang w:eastAsia="ja-JP"/>
              </w:rPr>
              <w:t>Post-menopausal women with breast cancer taking aromatase inhibitors.</w:t>
            </w:r>
          </w:p>
          <w:p w:rsidR="00D8067A" w:rsidRDefault="00D8067A" w:rsidP="00BE56F3">
            <w:pPr>
              <w:pStyle w:val="ListParagraph"/>
              <w:numPr>
                <w:ilvl w:val="0"/>
                <w:numId w:val="18"/>
              </w:numPr>
              <w:tabs>
                <w:tab w:val="left" w:pos="2835"/>
              </w:tabs>
              <w:spacing w:before="40"/>
              <w:rPr>
                <w:lang w:eastAsia="ja-JP"/>
              </w:rPr>
            </w:pPr>
            <w:r>
              <w:rPr>
                <w:lang w:eastAsia="ja-JP"/>
              </w:rPr>
              <w:t xml:space="preserve">Women taking aromatase inhibitors who have previously been treated with </w:t>
            </w:r>
            <w:proofErr w:type="spellStart"/>
            <w:r>
              <w:rPr>
                <w:lang w:eastAsia="ja-JP"/>
              </w:rPr>
              <w:t>tamoxifen</w:t>
            </w:r>
            <w:proofErr w:type="spellEnd"/>
            <w:r>
              <w:rPr>
                <w:lang w:eastAsia="ja-JP"/>
              </w:rPr>
              <w:t xml:space="preserve">. </w:t>
            </w:r>
          </w:p>
        </w:tc>
      </w:tr>
    </w:tbl>
    <w:p w:rsidR="00D8067A" w:rsidRPr="004A4622" w:rsidRDefault="00D8067A" w:rsidP="009D0C37"/>
    <w:p w:rsidR="00D8067A" w:rsidRDefault="00D8067A" w:rsidP="00D34BAD">
      <w:pPr>
        <w:pStyle w:val="Heading1"/>
        <w:spacing w:after="240"/>
      </w:pPr>
      <w:bookmarkStart w:id="20" w:name="_Toc335905413"/>
      <w:bookmarkStart w:id="21" w:name="_Toc362968488"/>
      <w:r>
        <w:t>Background</w:t>
      </w:r>
      <w:bookmarkEnd w:id="20"/>
      <w:bookmarkEnd w:id="21"/>
    </w:p>
    <w:p w:rsidR="00D8067A" w:rsidRPr="00D5182D" w:rsidRDefault="00D8067A" w:rsidP="00D34BAD">
      <w:pPr>
        <w:pStyle w:val="Heading2"/>
        <w:spacing w:after="240"/>
      </w:pPr>
      <w:bookmarkStart w:id="22" w:name="_Toc335905414"/>
      <w:bookmarkStart w:id="23" w:name="_Toc362968489"/>
      <w:r w:rsidRPr="00D5182D">
        <w:t>Current arrangements for public reimbursement</w:t>
      </w:r>
      <w:bookmarkEnd w:id="22"/>
      <w:bookmarkEnd w:id="23"/>
    </w:p>
    <w:p w:rsidR="00D8067A" w:rsidRPr="007B15AC" w:rsidRDefault="00D8067A" w:rsidP="007B15AC">
      <w:r w:rsidRPr="007B15AC">
        <w:t>DXA scanning is not currently funded for men and women below the age of 70 unless they suffer from certain pre-defined conditions. Unconditional access to DXA scanning under the schedule is currently available to persons aged 70 years and over (MBS item number 12323). A variety of other patient populations are covered for DXA or QCT under the MBS (Table 3), including:</w:t>
      </w:r>
    </w:p>
    <w:p w:rsidR="00D8067A" w:rsidRPr="007B15AC" w:rsidRDefault="00D8067A" w:rsidP="007B15AC">
      <w:pPr>
        <w:numPr>
          <w:ilvl w:val="0"/>
          <w:numId w:val="6"/>
        </w:numPr>
        <w:spacing w:after="0"/>
        <w:ind w:left="714" w:hanging="357"/>
      </w:pPr>
      <w:r w:rsidRPr="007B15AC">
        <w:t>Presumed low BMD following one or more fractures occurring after minimal trauma;</w:t>
      </w:r>
    </w:p>
    <w:p w:rsidR="00D8067A" w:rsidRPr="007B15AC" w:rsidRDefault="00D8067A" w:rsidP="007B15AC">
      <w:pPr>
        <w:numPr>
          <w:ilvl w:val="0"/>
          <w:numId w:val="6"/>
        </w:numPr>
        <w:spacing w:after="0"/>
        <w:ind w:left="714" w:hanging="357"/>
      </w:pPr>
      <w:r w:rsidRPr="007B15AC">
        <w:t>Who have undergone prolonged glucocorticoid therapy and conditions associated with excess glucocorticoid secretion;</w:t>
      </w:r>
    </w:p>
    <w:p w:rsidR="00D8067A" w:rsidRPr="007B15AC" w:rsidRDefault="00D8067A" w:rsidP="007B15AC">
      <w:pPr>
        <w:numPr>
          <w:ilvl w:val="0"/>
          <w:numId w:val="6"/>
        </w:numPr>
        <w:spacing w:after="0"/>
        <w:ind w:left="714" w:hanging="357"/>
      </w:pPr>
      <w:r w:rsidRPr="007B15AC">
        <w:t xml:space="preserve">Male (all) and female (lasting &gt; 6 months before the age of 45) </w:t>
      </w:r>
      <w:proofErr w:type="spellStart"/>
      <w:r w:rsidRPr="007B15AC">
        <w:t>hypogonadism</w:t>
      </w:r>
      <w:proofErr w:type="spellEnd"/>
    </w:p>
    <w:p w:rsidR="00D8067A" w:rsidRPr="007B15AC" w:rsidRDefault="00D8067A" w:rsidP="007B15AC">
      <w:pPr>
        <w:numPr>
          <w:ilvl w:val="0"/>
          <w:numId w:val="6"/>
        </w:numPr>
        <w:spacing w:after="0"/>
        <w:ind w:left="714" w:hanging="357"/>
      </w:pPr>
      <w:r w:rsidRPr="007B15AC">
        <w:t>Primary hyperparathyroidism</w:t>
      </w:r>
    </w:p>
    <w:p w:rsidR="00D8067A" w:rsidRPr="007B15AC" w:rsidRDefault="00D8067A" w:rsidP="007B15AC">
      <w:pPr>
        <w:numPr>
          <w:ilvl w:val="0"/>
          <w:numId w:val="6"/>
        </w:numPr>
        <w:spacing w:after="0"/>
        <w:ind w:left="714" w:hanging="357"/>
      </w:pPr>
      <w:r w:rsidRPr="007B15AC">
        <w:t>Chronic liver and/or renal disease</w:t>
      </w:r>
    </w:p>
    <w:p w:rsidR="00D8067A" w:rsidRPr="007B15AC" w:rsidRDefault="00D8067A" w:rsidP="007B15AC">
      <w:pPr>
        <w:numPr>
          <w:ilvl w:val="0"/>
          <w:numId w:val="6"/>
        </w:numPr>
        <w:spacing w:after="0"/>
        <w:ind w:left="714" w:hanging="357"/>
      </w:pPr>
      <w:r w:rsidRPr="007B15AC">
        <w:t xml:space="preserve">Proven </w:t>
      </w:r>
      <w:proofErr w:type="spellStart"/>
      <w:r w:rsidRPr="007B15AC">
        <w:t>malabsorptive</w:t>
      </w:r>
      <w:proofErr w:type="spellEnd"/>
      <w:r w:rsidRPr="007B15AC">
        <w:t xml:space="preserve"> disorders;</w:t>
      </w:r>
    </w:p>
    <w:p w:rsidR="00D8067A" w:rsidRPr="007B15AC" w:rsidRDefault="00D8067A" w:rsidP="007B15AC">
      <w:pPr>
        <w:numPr>
          <w:ilvl w:val="0"/>
          <w:numId w:val="6"/>
        </w:numPr>
        <w:spacing w:after="0"/>
        <w:ind w:left="714" w:hanging="357"/>
      </w:pPr>
      <w:r w:rsidRPr="007B15AC">
        <w:t>Rheumatoid arthritis; or</w:t>
      </w:r>
    </w:p>
    <w:p w:rsidR="00D8067A" w:rsidRPr="007B15AC" w:rsidRDefault="00D8067A" w:rsidP="007B15AC">
      <w:pPr>
        <w:numPr>
          <w:ilvl w:val="0"/>
          <w:numId w:val="6"/>
        </w:numPr>
        <w:spacing w:after="0"/>
        <w:ind w:left="714" w:hanging="357"/>
      </w:pPr>
      <w:r w:rsidRPr="007B15AC">
        <w:t xml:space="preserve">Conditions associated with </w:t>
      </w:r>
      <w:proofErr w:type="spellStart"/>
      <w:r w:rsidRPr="007B15AC">
        <w:t>thyroxine</w:t>
      </w:r>
      <w:proofErr w:type="spellEnd"/>
      <w:r w:rsidRPr="007B15AC">
        <w:t xml:space="preserve"> excess</w:t>
      </w:r>
    </w:p>
    <w:p w:rsidR="00D8067A" w:rsidRPr="007B15AC" w:rsidRDefault="00D8067A" w:rsidP="007B15AC"/>
    <w:p w:rsidR="00D8067A" w:rsidRDefault="00D8067A" w:rsidP="007B15AC">
      <w:r w:rsidRPr="007B15AC">
        <w:t xml:space="preserve">Table 3 lists the currently available MBS item numbers for DXA. Relevant explanatory notes are in </w:t>
      </w:r>
      <w:r w:rsidRPr="00FD4052">
        <w:t>Appendix 5.</w:t>
      </w:r>
      <w:r w:rsidRPr="007B15AC">
        <w:t xml:space="preserve"> </w:t>
      </w:r>
    </w:p>
    <w:p w:rsidR="00D8067A" w:rsidRPr="007B15AC" w:rsidRDefault="00D8067A" w:rsidP="007B15AC">
      <w:r w:rsidRPr="007B15AC">
        <w:t>Several different MBS items cover a variety of indications for repeat scans every 12 or 24 months depending on the indication (See Table 3). According to current Australian guidelines</w:t>
      </w:r>
      <w:r>
        <w:t xml:space="preserve"> (RACGP 2010)</w:t>
      </w:r>
      <w:r w:rsidRPr="007B15AC">
        <w:t xml:space="preserve">, for patients with low risk factors and T-scores above </w:t>
      </w:r>
      <w:proofErr w:type="spellStart"/>
      <w:r w:rsidRPr="007B15AC">
        <w:t>osteopenic</w:t>
      </w:r>
      <w:proofErr w:type="spellEnd"/>
      <w:r w:rsidRPr="007B15AC">
        <w:t xml:space="preserve"> values (</w:t>
      </w:r>
      <w:r w:rsidR="001D78B9">
        <w:t>≥</w:t>
      </w:r>
      <w:r w:rsidRPr="007B15AC">
        <w:t>-1.0</w:t>
      </w:r>
      <w:r>
        <w:t xml:space="preserve"> SD), repeat scans are not required</w:t>
      </w:r>
      <w:r w:rsidRPr="007B15AC">
        <w:t xml:space="preserve"> unless substantial changes in circumstance (minimal trauma fracture or increased risk conditions). People diagnosed with osteoporosis (≤-2.5) would be eligible for repeat testing as required under MBS item 12306; however, patients with confirmed OP and receiving anti-osteoporotic treatment, repeat DXA scans are not generally required unless there is a change in, or cessation of, anti-osteoporotic therapy (</w:t>
      </w:r>
      <w:r w:rsidR="005E3245">
        <w:t>RACGP</w:t>
      </w:r>
      <w:r w:rsidR="005E3245" w:rsidRPr="007B15AC">
        <w:t xml:space="preserve"> </w:t>
      </w:r>
      <w:r w:rsidRPr="007B15AC">
        <w:t>2010</w:t>
      </w:r>
      <w:r w:rsidR="005E3245">
        <w:t>b</w:t>
      </w:r>
      <w:r w:rsidRPr="007B15AC">
        <w:t>).</w:t>
      </w:r>
    </w:p>
    <w:p w:rsidR="00D8067A" w:rsidRPr="00A67624" w:rsidRDefault="00D8067A" w:rsidP="00092BCC">
      <w:pPr>
        <w:ind w:left="720"/>
        <w:jc w:val="left"/>
        <w:rPr>
          <w:rFonts w:eastAsia="Times New Roman"/>
          <w:lang w:eastAsia="en-US"/>
        </w:rPr>
      </w:pPr>
    </w:p>
    <w:p w:rsidR="00D8067A" w:rsidRDefault="00D8067A">
      <w:pPr>
        <w:spacing w:after="0" w:line="240" w:lineRule="auto"/>
        <w:jc w:val="left"/>
        <w:rPr>
          <w:rFonts w:ascii="Arial Narrow" w:hAnsi="Arial Narrow"/>
          <w:b/>
          <w:lang w:val="en-GB" w:eastAsia="ja-JP"/>
        </w:rPr>
      </w:pPr>
      <w:r>
        <w:br w:type="page"/>
      </w:r>
    </w:p>
    <w:p w:rsidR="00D8067A" w:rsidRDefault="00D8067A" w:rsidP="00075E36">
      <w:pPr>
        <w:pStyle w:val="Caption"/>
      </w:pPr>
      <w:bookmarkStart w:id="24" w:name="_Ref358017366"/>
      <w:r>
        <w:lastRenderedPageBreak/>
        <w:t xml:space="preserve">Table </w:t>
      </w:r>
      <w:r w:rsidR="00876F0F">
        <w:fldChar w:fldCharType="begin"/>
      </w:r>
      <w:r w:rsidR="00876F0F">
        <w:instrText xml:space="preserve"> SEQ Table \* ARABIC </w:instrText>
      </w:r>
      <w:r w:rsidR="00876F0F">
        <w:fldChar w:fldCharType="separate"/>
      </w:r>
      <w:r w:rsidR="00CD3C9F">
        <w:rPr>
          <w:noProof/>
        </w:rPr>
        <w:t>3</w:t>
      </w:r>
      <w:r w:rsidR="00876F0F">
        <w:rPr>
          <w:noProof/>
        </w:rPr>
        <w:fldChar w:fldCharType="end"/>
      </w:r>
      <w:bookmarkEnd w:id="24"/>
      <w:r>
        <w:t xml:space="preserve"> </w:t>
      </w:r>
      <w:r w:rsidRPr="00FC5FDF">
        <w:t>Current MBS item descriptor</w:t>
      </w:r>
      <w:r>
        <w:t>s</w:t>
      </w:r>
      <w:r w:rsidRPr="00FC5FDF">
        <w:t xml:space="preserve"> for Dual-energy X-ray absorptiometry</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134"/>
      </w:tblGrid>
      <w:tr w:rsidR="00D8067A" w:rsidRPr="00075E36" w:rsidTr="00A67624">
        <w:tc>
          <w:tcPr>
            <w:tcW w:w="9134" w:type="dxa"/>
            <w:tcBorders>
              <w:top w:val="single" w:sz="4" w:space="0" w:color="000000"/>
            </w:tcBorders>
          </w:tcPr>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Category 2 – DIAGNOSTIC PROCEDURES AND INVESTIGATIONS</w:t>
            </w:r>
          </w:p>
        </w:tc>
      </w:tr>
      <w:tr w:rsidR="00D8067A" w:rsidRPr="00075E36" w:rsidTr="00A67624">
        <w:tc>
          <w:tcPr>
            <w:tcW w:w="9134" w:type="dxa"/>
            <w:tcBorders>
              <w:bottom w:val="single" w:sz="4" w:space="0" w:color="000000"/>
            </w:tcBorders>
          </w:tcPr>
          <w:p w:rsidR="00D8067A" w:rsidRDefault="00D8067A" w:rsidP="001B2CF7">
            <w:pPr>
              <w:spacing w:after="0" w:line="240" w:lineRule="auto"/>
              <w:jc w:val="left"/>
              <w:rPr>
                <w:rFonts w:ascii="Arial Narrow" w:eastAsia="Times New Roman" w:hAnsi="Arial Narrow"/>
                <w:b/>
                <w:lang w:eastAsia="en-US"/>
              </w:rPr>
            </w:pPr>
          </w:p>
          <w:p w:rsidR="00D8067A" w:rsidRPr="00075E36" w:rsidRDefault="00D8067A" w:rsidP="001B2CF7">
            <w:pPr>
              <w:spacing w:after="0" w:line="240" w:lineRule="auto"/>
              <w:jc w:val="left"/>
              <w:rPr>
                <w:rFonts w:ascii="Arial Narrow" w:eastAsia="Times New Roman" w:hAnsi="Arial Narrow"/>
                <w:b/>
                <w:lang w:eastAsia="en-US"/>
              </w:rPr>
            </w:pPr>
            <w:r w:rsidRPr="00075E36">
              <w:rPr>
                <w:rFonts w:ascii="Arial Narrow" w:eastAsia="Times New Roman" w:hAnsi="Arial Narrow"/>
                <w:b/>
                <w:lang w:eastAsia="en-US"/>
              </w:rPr>
              <w:t>MBS 12306</w:t>
            </w: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Bone densitometry (performed by a specialist or consultant physician where the patient is referred by another medical practitioner), </w:t>
            </w:r>
            <w:r w:rsidRPr="00075E36">
              <w:rPr>
                <w:rFonts w:ascii="Arial Narrow" w:eastAsia="Times New Roman" w:hAnsi="Arial Narrow"/>
                <w:b/>
                <w:lang w:eastAsia="en-US"/>
              </w:rPr>
              <w:t>using dual energy X-ray absorptiometry</w:t>
            </w:r>
            <w:r w:rsidRPr="00075E36">
              <w:rPr>
                <w:rFonts w:ascii="Arial Narrow" w:eastAsia="Times New Roman" w:hAnsi="Arial Narrow"/>
                <w:lang w:eastAsia="en-US"/>
              </w:rPr>
              <w:t>, for:</w:t>
            </w:r>
          </w:p>
          <w:p w:rsidR="00D8067A" w:rsidRPr="00075E36" w:rsidRDefault="00D8067A" w:rsidP="00436EDB">
            <w:pPr>
              <w:numPr>
                <w:ilvl w:val="0"/>
                <w:numId w:val="7"/>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The confirmation of a presumptive diagnosis of low bone mineral density made on the basis of 1 or more fractures occurring after minimal trauma; or</w:t>
            </w:r>
          </w:p>
          <w:p w:rsidR="00D8067A" w:rsidRPr="00075E36" w:rsidRDefault="00D8067A" w:rsidP="00436EDB">
            <w:pPr>
              <w:numPr>
                <w:ilvl w:val="0"/>
                <w:numId w:val="7"/>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For the monitoring of low bone mineral density proven by bone densitometry at least 12 months previously.</w:t>
            </w:r>
          </w:p>
          <w:p w:rsidR="00D8067A" w:rsidRDefault="00D8067A" w:rsidP="001B2CF7">
            <w:pPr>
              <w:spacing w:after="0" w:line="240" w:lineRule="auto"/>
              <w:jc w:val="left"/>
              <w:rPr>
                <w:rFonts w:ascii="Arial Narrow" w:eastAsia="Times New Roman" w:hAnsi="Arial Narrow"/>
                <w:lang w:eastAsia="en-US"/>
              </w:rPr>
            </w:pP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Measurement of 2 or more sites – </w:t>
            </w:r>
            <w:r w:rsidRPr="00075E36">
              <w:rPr>
                <w:rFonts w:ascii="Arial Narrow" w:eastAsia="Times New Roman" w:hAnsi="Arial Narrow"/>
                <w:b/>
                <w:lang w:eastAsia="en-US"/>
              </w:rPr>
              <w:t>1 service only in a period of 24 months</w:t>
            </w:r>
            <w:r w:rsidRPr="00075E36">
              <w:rPr>
                <w:rFonts w:ascii="Arial Narrow" w:eastAsia="Times New Roman" w:hAnsi="Arial Narrow"/>
                <w:lang w:eastAsia="en-US"/>
              </w:rPr>
              <w:t xml:space="preserve"> – including interpretation and report; not being a service associated with a service to which item 12309, 12312, 12315, 12318 or 12321 applies (Ministerial Determination).</w:t>
            </w:r>
          </w:p>
          <w:p w:rsidR="00D8067A"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b/>
                <w:lang w:eastAsia="en-US"/>
              </w:rPr>
              <w:t>Fee:</w:t>
            </w:r>
            <w:r w:rsidRPr="00075E36">
              <w:rPr>
                <w:rFonts w:ascii="Arial Narrow" w:eastAsia="Times New Roman" w:hAnsi="Arial Narrow"/>
                <w:lang w:eastAsia="en-US"/>
              </w:rPr>
              <w:t xml:space="preserve"> $10</w:t>
            </w:r>
            <w:r w:rsidR="00E40E17">
              <w:rPr>
                <w:rFonts w:ascii="Arial Narrow" w:eastAsia="Times New Roman" w:hAnsi="Arial Narrow"/>
                <w:lang w:eastAsia="en-US"/>
              </w:rPr>
              <w:t>2</w:t>
            </w:r>
            <w:r w:rsidRPr="00075E36">
              <w:rPr>
                <w:rFonts w:ascii="Arial Narrow" w:eastAsia="Times New Roman" w:hAnsi="Arial Narrow"/>
                <w:lang w:eastAsia="en-US"/>
              </w:rPr>
              <w:t>.</w:t>
            </w:r>
            <w:r w:rsidR="00E40E17">
              <w:rPr>
                <w:rFonts w:ascii="Arial Narrow" w:eastAsia="Times New Roman" w:hAnsi="Arial Narrow"/>
                <w:lang w:eastAsia="en-US"/>
              </w:rPr>
              <w:t>4</w:t>
            </w:r>
            <w:r w:rsidRPr="00075E36">
              <w:rPr>
                <w:rFonts w:ascii="Arial Narrow" w:eastAsia="Times New Roman" w:hAnsi="Arial Narrow"/>
                <w:lang w:eastAsia="en-US"/>
              </w:rPr>
              <w:t>0</w:t>
            </w:r>
            <w:r w:rsidR="005E09EC">
              <w:rPr>
                <w:rFonts w:ascii="Arial Narrow" w:eastAsia="Times New Roman" w:hAnsi="Arial Narrow"/>
                <w:lang w:eastAsia="en-US"/>
              </w:rPr>
              <w:t xml:space="preserve"> </w:t>
            </w:r>
            <w:r w:rsidRPr="00075E36">
              <w:rPr>
                <w:rFonts w:ascii="Arial Narrow" w:eastAsia="Times New Roman" w:hAnsi="Arial Narrow"/>
                <w:b/>
                <w:lang w:eastAsia="en-US"/>
              </w:rPr>
              <w:t>Benefit:</w:t>
            </w:r>
            <w:r w:rsidR="00E40E17">
              <w:rPr>
                <w:rFonts w:ascii="Arial Narrow" w:eastAsia="Times New Roman" w:hAnsi="Arial Narrow"/>
                <w:lang w:eastAsia="en-US"/>
              </w:rPr>
              <w:t xml:space="preserve"> 75% = $76.80   85% = $87.0</w:t>
            </w:r>
            <w:r w:rsidRPr="00075E36">
              <w:rPr>
                <w:rFonts w:ascii="Arial Narrow" w:eastAsia="Times New Roman" w:hAnsi="Arial Narrow"/>
                <w:lang w:eastAsia="en-US"/>
              </w:rPr>
              <w:t>5</w:t>
            </w:r>
          </w:p>
          <w:p w:rsidR="00D8067A" w:rsidRDefault="00D8067A" w:rsidP="001B2CF7">
            <w:pPr>
              <w:spacing w:after="0" w:line="240" w:lineRule="auto"/>
              <w:jc w:val="left"/>
              <w:rPr>
                <w:rFonts w:ascii="Arial Narrow" w:eastAsia="Times New Roman" w:hAnsi="Arial Narrow"/>
                <w:lang w:eastAsia="en-US"/>
              </w:rPr>
            </w:pPr>
          </w:p>
          <w:p w:rsidR="00D8067A" w:rsidRPr="000A082F" w:rsidRDefault="00D8067A" w:rsidP="001B2CF7">
            <w:pPr>
              <w:spacing w:after="0" w:line="240" w:lineRule="auto"/>
              <w:jc w:val="left"/>
              <w:rPr>
                <w:rFonts w:ascii="Arial Narrow" w:eastAsia="Times New Roman" w:hAnsi="Arial Narrow"/>
                <w:u w:val="single"/>
                <w:lang w:eastAsia="en-US"/>
              </w:rPr>
            </w:pPr>
            <w:r w:rsidRPr="000A082F">
              <w:rPr>
                <w:rFonts w:ascii="Arial Narrow" w:eastAsia="Times New Roman" w:hAnsi="Arial Narrow"/>
                <w:u w:val="single"/>
                <w:lang w:eastAsia="en-US"/>
              </w:rPr>
              <w:t>Relevant explanatory notes: See Note D1.27</w:t>
            </w:r>
          </w:p>
          <w:p w:rsidR="00D8067A" w:rsidRPr="00075E36" w:rsidRDefault="00D8067A" w:rsidP="001B2CF7">
            <w:pPr>
              <w:spacing w:after="0" w:line="240" w:lineRule="auto"/>
              <w:jc w:val="left"/>
              <w:rPr>
                <w:rFonts w:ascii="Arial Narrow" w:eastAsia="Times New Roman" w:hAnsi="Arial Narrow"/>
                <w:lang w:eastAsia="en-US"/>
              </w:rPr>
            </w:pPr>
          </w:p>
        </w:tc>
      </w:tr>
      <w:tr w:rsidR="00D8067A" w:rsidRPr="00075E36" w:rsidTr="00A67624">
        <w:tblPrEx>
          <w:tblBorders>
            <w:insideH w:val="single" w:sz="4" w:space="0" w:color="000000"/>
          </w:tblBorders>
        </w:tblPrEx>
        <w:tc>
          <w:tcPr>
            <w:tcW w:w="9134" w:type="dxa"/>
            <w:tcBorders>
              <w:bottom w:val="nil"/>
            </w:tcBorders>
          </w:tcPr>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Category 2 – DIAGNOSTIC PROCEDURES AND INVESTIGATIONS</w:t>
            </w:r>
          </w:p>
        </w:tc>
      </w:tr>
      <w:tr w:rsidR="00D8067A" w:rsidRPr="00075E36" w:rsidTr="00A67624">
        <w:tblPrEx>
          <w:tblBorders>
            <w:insideH w:val="single" w:sz="4" w:space="0" w:color="000000"/>
          </w:tblBorders>
        </w:tblPrEx>
        <w:tc>
          <w:tcPr>
            <w:tcW w:w="9134" w:type="dxa"/>
            <w:tcBorders>
              <w:top w:val="nil"/>
            </w:tcBorders>
          </w:tcPr>
          <w:p w:rsidR="00D8067A" w:rsidRDefault="00D8067A" w:rsidP="001B2CF7">
            <w:pPr>
              <w:spacing w:after="0" w:line="240" w:lineRule="auto"/>
              <w:jc w:val="left"/>
              <w:rPr>
                <w:rFonts w:ascii="Arial Narrow" w:eastAsia="Times New Roman" w:hAnsi="Arial Narrow"/>
                <w:b/>
                <w:lang w:eastAsia="en-US"/>
              </w:rPr>
            </w:pPr>
          </w:p>
          <w:p w:rsidR="00D8067A" w:rsidRPr="00075E36" w:rsidRDefault="00D8067A" w:rsidP="001B2CF7">
            <w:pPr>
              <w:spacing w:after="0" w:line="240" w:lineRule="auto"/>
              <w:jc w:val="left"/>
              <w:rPr>
                <w:rFonts w:ascii="Arial Narrow" w:eastAsia="Times New Roman" w:hAnsi="Arial Narrow"/>
                <w:b/>
                <w:lang w:eastAsia="en-US"/>
              </w:rPr>
            </w:pPr>
            <w:r w:rsidRPr="00075E36">
              <w:rPr>
                <w:rFonts w:ascii="Arial Narrow" w:eastAsia="Times New Roman" w:hAnsi="Arial Narrow"/>
                <w:b/>
                <w:lang w:eastAsia="en-US"/>
              </w:rPr>
              <w:t>MBS 12312</w:t>
            </w: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Bone densitometry (performed by a specialist or consultant physician where the patient is referred by another medical practitioner), </w:t>
            </w:r>
            <w:r w:rsidRPr="00075E36">
              <w:rPr>
                <w:rFonts w:ascii="Arial Narrow" w:eastAsia="Times New Roman" w:hAnsi="Arial Narrow"/>
                <w:b/>
                <w:lang w:eastAsia="en-US"/>
              </w:rPr>
              <w:t>using</w:t>
            </w:r>
            <w:r w:rsidRPr="00075E36">
              <w:rPr>
                <w:rFonts w:ascii="Arial Narrow" w:eastAsia="Times New Roman" w:hAnsi="Arial Narrow"/>
                <w:lang w:eastAsia="en-US"/>
              </w:rPr>
              <w:t xml:space="preserve"> </w:t>
            </w:r>
            <w:r w:rsidRPr="00075E36">
              <w:rPr>
                <w:rFonts w:ascii="Arial Narrow" w:eastAsia="Times New Roman" w:hAnsi="Arial Narrow"/>
                <w:b/>
                <w:lang w:eastAsia="en-US"/>
              </w:rPr>
              <w:t>dual energy X-ray absorptiometry</w:t>
            </w:r>
            <w:r w:rsidRPr="00075E36">
              <w:rPr>
                <w:rFonts w:ascii="Arial Narrow" w:eastAsia="Times New Roman" w:hAnsi="Arial Narrow"/>
                <w:lang w:eastAsia="en-US"/>
              </w:rPr>
              <w:t>, for the diagnosis and monitoring of bone loss associated with 1 or more of the following conditions:</w:t>
            </w:r>
          </w:p>
          <w:p w:rsidR="00D8067A" w:rsidRPr="00075E36" w:rsidRDefault="00D8067A" w:rsidP="00436EDB">
            <w:pPr>
              <w:numPr>
                <w:ilvl w:val="0"/>
                <w:numId w:val="8"/>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Prolonged glucocorticoid therapy;</w:t>
            </w:r>
          </w:p>
          <w:p w:rsidR="00D8067A" w:rsidRPr="00075E36" w:rsidRDefault="00D8067A" w:rsidP="00436EDB">
            <w:pPr>
              <w:numPr>
                <w:ilvl w:val="0"/>
                <w:numId w:val="8"/>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Conditions associated with excess glucocorticoid secretion;</w:t>
            </w:r>
          </w:p>
          <w:p w:rsidR="00D8067A" w:rsidRPr="00075E36" w:rsidRDefault="00D8067A" w:rsidP="00436EDB">
            <w:pPr>
              <w:numPr>
                <w:ilvl w:val="0"/>
                <w:numId w:val="8"/>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Male </w:t>
            </w:r>
            <w:proofErr w:type="spellStart"/>
            <w:r w:rsidRPr="00075E36">
              <w:rPr>
                <w:rFonts w:ascii="Arial Narrow" w:eastAsia="Times New Roman" w:hAnsi="Arial Narrow"/>
                <w:lang w:eastAsia="en-US"/>
              </w:rPr>
              <w:t>hypogonadism</w:t>
            </w:r>
            <w:proofErr w:type="spellEnd"/>
            <w:r w:rsidRPr="00075E36">
              <w:rPr>
                <w:rFonts w:ascii="Arial Narrow" w:eastAsia="Times New Roman" w:hAnsi="Arial Narrow"/>
                <w:lang w:eastAsia="en-US"/>
              </w:rPr>
              <w:t>; or</w:t>
            </w:r>
          </w:p>
          <w:p w:rsidR="00D8067A" w:rsidRPr="00075E36" w:rsidRDefault="00D8067A" w:rsidP="00436EDB">
            <w:pPr>
              <w:numPr>
                <w:ilvl w:val="0"/>
                <w:numId w:val="8"/>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Female </w:t>
            </w:r>
            <w:proofErr w:type="spellStart"/>
            <w:r w:rsidRPr="00075E36">
              <w:rPr>
                <w:rFonts w:ascii="Arial Narrow" w:eastAsia="Times New Roman" w:hAnsi="Arial Narrow"/>
                <w:lang w:eastAsia="en-US"/>
              </w:rPr>
              <w:t>hypogonadism</w:t>
            </w:r>
            <w:proofErr w:type="spellEnd"/>
            <w:r w:rsidRPr="00075E36">
              <w:rPr>
                <w:rFonts w:ascii="Arial Narrow" w:eastAsia="Times New Roman" w:hAnsi="Arial Narrow"/>
                <w:lang w:eastAsia="en-US"/>
              </w:rPr>
              <w:t xml:space="preserve"> lasting more than 6 months before the age of 45</w:t>
            </w:r>
          </w:p>
          <w:p w:rsidR="00D8067A" w:rsidRDefault="00D8067A" w:rsidP="001B2CF7">
            <w:pPr>
              <w:spacing w:after="0" w:line="240" w:lineRule="auto"/>
              <w:jc w:val="left"/>
              <w:rPr>
                <w:rFonts w:ascii="Arial Narrow" w:eastAsia="Times New Roman" w:hAnsi="Arial Narrow"/>
                <w:lang w:eastAsia="en-US"/>
              </w:rPr>
            </w:pP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Where the bone density measurement will contribute to the management of a patient with any of the above conditions – measurement of 2 or more sites – </w:t>
            </w:r>
            <w:r w:rsidRPr="00075E36">
              <w:rPr>
                <w:rFonts w:ascii="Arial Narrow" w:eastAsia="Times New Roman" w:hAnsi="Arial Narrow"/>
                <w:b/>
                <w:lang w:eastAsia="en-US"/>
              </w:rPr>
              <w:t>1 service only in a period of 12 consecutive months</w:t>
            </w:r>
            <w:r w:rsidRPr="00075E36">
              <w:rPr>
                <w:rFonts w:ascii="Arial Narrow" w:eastAsia="Times New Roman" w:hAnsi="Arial Narrow"/>
                <w:lang w:eastAsia="en-US"/>
              </w:rPr>
              <w:t xml:space="preserve"> – including interpretation and report; not being a service associated with a service to which item 12306, 12309, 12315, 12318 or 12321 applies (Ministerial Determination)</w:t>
            </w:r>
          </w:p>
          <w:p w:rsidR="00D8067A" w:rsidRDefault="00D8067A" w:rsidP="001B2CF7">
            <w:pPr>
              <w:spacing w:after="0" w:line="240" w:lineRule="auto"/>
              <w:jc w:val="left"/>
              <w:rPr>
                <w:rFonts w:ascii="Arial Narrow" w:eastAsia="Times New Roman" w:hAnsi="Arial Narrow"/>
                <w:b/>
                <w:lang w:eastAsia="en-US"/>
              </w:rPr>
            </w:pPr>
          </w:p>
          <w:p w:rsidR="00E40E17" w:rsidRDefault="00E40E17" w:rsidP="00E40E17">
            <w:pPr>
              <w:spacing w:after="0" w:line="240" w:lineRule="auto"/>
              <w:jc w:val="left"/>
              <w:rPr>
                <w:rFonts w:ascii="Arial Narrow" w:eastAsia="Times New Roman" w:hAnsi="Arial Narrow"/>
                <w:lang w:eastAsia="en-US"/>
              </w:rPr>
            </w:pPr>
            <w:r w:rsidRPr="00075E36">
              <w:rPr>
                <w:rFonts w:ascii="Arial Narrow" w:eastAsia="Times New Roman" w:hAnsi="Arial Narrow"/>
                <w:b/>
                <w:lang w:eastAsia="en-US"/>
              </w:rPr>
              <w:t>Fee:</w:t>
            </w:r>
            <w:r w:rsidRPr="00075E36">
              <w:rPr>
                <w:rFonts w:ascii="Arial Narrow" w:eastAsia="Times New Roman" w:hAnsi="Arial Narrow"/>
                <w:lang w:eastAsia="en-US"/>
              </w:rPr>
              <w:t xml:space="preserve"> $10</w:t>
            </w:r>
            <w:r>
              <w:rPr>
                <w:rFonts w:ascii="Arial Narrow" w:eastAsia="Times New Roman" w:hAnsi="Arial Narrow"/>
                <w:lang w:eastAsia="en-US"/>
              </w:rPr>
              <w:t>2</w:t>
            </w:r>
            <w:r w:rsidRPr="00075E36">
              <w:rPr>
                <w:rFonts w:ascii="Arial Narrow" w:eastAsia="Times New Roman" w:hAnsi="Arial Narrow"/>
                <w:lang w:eastAsia="en-US"/>
              </w:rPr>
              <w:t>.</w:t>
            </w:r>
            <w:r>
              <w:rPr>
                <w:rFonts w:ascii="Arial Narrow" w:eastAsia="Times New Roman" w:hAnsi="Arial Narrow"/>
                <w:lang w:eastAsia="en-US"/>
              </w:rPr>
              <w:t>4</w:t>
            </w:r>
            <w:r w:rsidRPr="00075E36">
              <w:rPr>
                <w:rFonts w:ascii="Arial Narrow" w:eastAsia="Times New Roman" w:hAnsi="Arial Narrow"/>
                <w:lang w:eastAsia="en-US"/>
              </w:rPr>
              <w:t>0</w:t>
            </w:r>
            <w:r w:rsidR="005E09EC">
              <w:rPr>
                <w:rFonts w:ascii="Arial Narrow" w:eastAsia="Times New Roman" w:hAnsi="Arial Narrow"/>
                <w:lang w:eastAsia="en-US"/>
              </w:rPr>
              <w:t xml:space="preserve"> </w:t>
            </w:r>
            <w:r w:rsidRPr="00075E36">
              <w:rPr>
                <w:rFonts w:ascii="Arial Narrow" w:eastAsia="Times New Roman" w:hAnsi="Arial Narrow"/>
                <w:b/>
                <w:lang w:eastAsia="en-US"/>
              </w:rPr>
              <w:t>Benefit:</w:t>
            </w:r>
            <w:r>
              <w:rPr>
                <w:rFonts w:ascii="Arial Narrow" w:eastAsia="Times New Roman" w:hAnsi="Arial Narrow"/>
                <w:lang w:eastAsia="en-US"/>
              </w:rPr>
              <w:t xml:space="preserve"> 75% = $76.80   85% = $87.0</w:t>
            </w:r>
            <w:r w:rsidRPr="00075E36">
              <w:rPr>
                <w:rFonts w:ascii="Arial Narrow" w:eastAsia="Times New Roman" w:hAnsi="Arial Narrow"/>
                <w:lang w:eastAsia="en-US"/>
              </w:rPr>
              <w:t>5</w:t>
            </w:r>
          </w:p>
          <w:p w:rsidR="00D8067A" w:rsidRDefault="00D8067A" w:rsidP="001B2CF7">
            <w:pPr>
              <w:spacing w:after="0" w:line="240" w:lineRule="auto"/>
              <w:jc w:val="left"/>
              <w:rPr>
                <w:rFonts w:ascii="Arial Narrow" w:eastAsia="Times New Roman" w:hAnsi="Arial Narrow"/>
                <w:i/>
                <w:u w:val="single"/>
                <w:lang w:eastAsia="en-US"/>
              </w:rPr>
            </w:pP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i/>
                <w:u w:val="single"/>
                <w:lang w:eastAsia="en-US"/>
              </w:rPr>
              <w:t>Relevant explanatory notes: See Note D1.27</w:t>
            </w:r>
          </w:p>
        </w:tc>
      </w:tr>
      <w:tr w:rsidR="00D8067A" w:rsidRPr="00075E36" w:rsidTr="00A67624">
        <w:tblPrEx>
          <w:tblBorders>
            <w:insideH w:val="single" w:sz="4" w:space="0" w:color="000000"/>
          </w:tblBorders>
        </w:tblPrEx>
        <w:tc>
          <w:tcPr>
            <w:tcW w:w="9134" w:type="dxa"/>
            <w:tcBorders>
              <w:bottom w:val="nil"/>
            </w:tcBorders>
          </w:tcPr>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Category 2 – DIAGNOSTIC PROCEDURES AND INVESTIGATIONS</w:t>
            </w:r>
          </w:p>
        </w:tc>
      </w:tr>
      <w:tr w:rsidR="00D8067A" w:rsidRPr="00075E36" w:rsidTr="00A67624">
        <w:tblPrEx>
          <w:tblBorders>
            <w:insideH w:val="single" w:sz="4" w:space="0" w:color="000000"/>
          </w:tblBorders>
        </w:tblPrEx>
        <w:tc>
          <w:tcPr>
            <w:tcW w:w="9134" w:type="dxa"/>
            <w:tcBorders>
              <w:top w:val="nil"/>
            </w:tcBorders>
          </w:tcPr>
          <w:p w:rsidR="00D8067A" w:rsidRDefault="00D8067A" w:rsidP="001B2CF7">
            <w:pPr>
              <w:spacing w:after="0" w:line="240" w:lineRule="auto"/>
              <w:jc w:val="left"/>
              <w:rPr>
                <w:rFonts w:ascii="Arial Narrow" w:eastAsia="Times New Roman" w:hAnsi="Arial Narrow"/>
                <w:b/>
                <w:lang w:eastAsia="en-US"/>
              </w:rPr>
            </w:pPr>
          </w:p>
          <w:p w:rsidR="00D8067A" w:rsidRPr="00075E36" w:rsidRDefault="00D8067A" w:rsidP="001B2CF7">
            <w:pPr>
              <w:spacing w:after="0" w:line="240" w:lineRule="auto"/>
              <w:jc w:val="left"/>
              <w:rPr>
                <w:rFonts w:ascii="Arial Narrow" w:eastAsia="Times New Roman" w:hAnsi="Arial Narrow"/>
                <w:b/>
                <w:lang w:eastAsia="en-US"/>
              </w:rPr>
            </w:pPr>
            <w:r w:rsidRPr="00075E36">
              <w:rPr>
                <w:rFonts w:ascii="Arial Narrow" w:eastAsia="Times New Roman" w:hAnsi="Arial Narrow"/>
                <w:b/>
                <w:lang w:eastAsia="en-US"/>
              </w:rPr>
              <w:t>MBS 12315</w:t>
            </w: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Bone densitometry (performed by a specialist or consultant physician where the patient is referred by another medical practitioner), </w:t>
            </w:r>
            <w:r w:rsidRPr="00075E36">
              <w:rPr>
                <w:rFonts w:ascii="Arial Narrow" w:eastAsia="Times New Roman" w:hAnsi="Arial Narrow"/>
                <w:b/>
                <w:lang w:eastAsia="en-US"/>
              </w:rPr>
              <w:t>using dual energy X-ray absorptiometry</w:t>
            </w:r>
            <w:r w:rsidRPr="00075E36">
              <w:rPr>
                <w:rFonts w:ascii="Arial Narrow" w:eastAsia="Times New Roman" w:hAnsi="Arial Narrow"/>
                <w:lang w:eastAsia="en-US"/>
              </w:rPr>
              <w:t>, for the diagnosis and monitoring of bone loss associated with 1 or more of the following conditions:</w:t>
            </w:r>
          </w:p>
          <w:p w:rsidR="00D8067A" w:rsidRPr="00075E36" w:rsidRDefault="00D8067A" w:rsidP="00436EDB">
            <w:pPr>
              <w:numPr>
                <w:ilvl w:val="0"/>
                <w:numId w:val="9"/>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Primary hyperparathyroidism;</w:t>
            </w:r>
          </w:p>
          <w:p w:rsidR="00D8067A" w:rsidRPr="00075E36" w:rsidRDefault="00D8067A" w:rsidP="00436EDB">
            <w:pPr>
              <w:numPr>
                <w:ilvl w:val="0"/>
                <w:numId w:val="9"/>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Chronic liver disease;</w:t>
            </w:r>
          </w:p>
          <w:p w:rsidR="00D8067A" w:rsidRPr="00075E36" w:rsidRDefault="00D8067A" w:rsidP="00436EDB">
            <w:pPr>
              <w:numPr>
                <w:ilvl w:val="0"/>
                <w:numId w:val="9"/>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Chronic renal disease;</w:t>
            </w:r>
          </w:p>
          <w:p w:rsidR="00D8067A" w:rsidRPr="00075E36" w:rsidRDefault="00D8067A" w:rsidP="00436EDB">
            <w:pPr>
              <w:numPr>
                <w:ilvl w:val="0"/>
                <w:numId w:val="9"/>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Proven </w:t>
            </w:r>
            <w:proofErr w:type="spellStart"/>
            <w:r w:rsidRPr="00075E36">
              <w:rPr>
                <w:rFonts w:ascii="Arial Narrow" w:eastAsia="Times New Roman" w:hAnsi="Arial Narrow"/>
                <w:lang w:eastAsia="en-US"/>
              </w:rPr>
              <w:t>malabsorptive</w:t>
            </w:r>
            <w:proofErr w:type="spellEnd"/>
            <w:r w:rsidRPr="00075E36">
              <w:rPr>
                <w:rFonts w:ascii="Arial Narrow" w:eastAsia="Times New Roman" w:hAnsi="Arial Narrow"/>
                <w:lang w:eastAsia="en-US"/>
              </w:rPr>
              <w:t xml:space="preserve"> disorders;</w:t>
            </w:r>
          </w:p>
          <w:p w:rsidR="00D8067A" w:rsidRPr="00075E36" w:rsidRDefault="00D8067A" w:rsidP="00436EDB">
            <w:pPr>
              <w:numPr>
                <w:ilvl w:val="0"/>
                <w:numId w:val="9"/>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Rheumatoid arthritis; or</w:t>
            </w:r>
          </w:p>
          <w:p w:rsidR="00D8067A" w:rsidRPr="00075E36" w:rsidRDefault="00D8067A" w:rsidP="00436EDB">
            <w:pPr>
              <w:numPr>
                <w:ilvl w:val="0"/>
                <w:numId w:val="9"/>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Conditions associated with </w:t>
            </w:r>
            <w:proofErr w:type="spellStart"/>
            <w:r w:rsidRPr="00075E36">
              <w:rPr>
                <w:rFonts w:ascii="Arial Narrow" w:eastAsia="Times New Roman" w:hAnsi="Arial Narrow"/>
                <w:lang w:eastAsia="en-US"/>
              </w:rPr>
              <w:t>thyroxine</w:t>
            </w:r>
            <w:proofErr w:type="spellEnd"/>
            <w:r w:rsidRPr="00075E36">
              <w:rPr>
                <w:rFonts w:ascii="Arial Narrow" w:eastAsia="Times New Roman" w:hAnsi="Arial Narrow"/>
                <w:lang w:eastAsia="en-US"/>
              </w:rPr>
              <w:t xml:space="preserve"> excess</w:t>
            </w:r>
          </w:p>
          <w:p w:rsidR="00D8067A" w:rsidRDefault="00D8067A" w:rsidP="001B2CF7">
            <w:pPr>
              <w:spacing w:after="0" w:line="240" w:lineRule="auto"/>
              <w:jc w:val="left"/>
              <w:rPr>
                <w:rFonts w:ascii="Arial Narrow" w:eastAsia="Times New Roman" w:hAnsi="Arial Narrow"/>
                <w:lang w:eastAsia="en-US"/>
              </w:rPr>
            </w:pP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Where the bone density measurement will contribute to the management of a patient with any of the above conditions – measurement of 2 or more sites – </w:t>
            </w:r>
            <w:r w:rsidRPr="00075E36">
              <w:rPr>
                <w:rFonts w:ascii="Arial Narrow" w:eastAsia="Times New Roman" w:hAnsi="Arial Narrow"/>
                <w:b/>
                <w:lang w:eastAsia="en-US"/>
              </w:rPr>
              <w:t>1 service only in a period of 24 consecutive months</w:t>
            </w:r>
            <w:r w:rsidRPr="00075E36">
              <w:rPr>
                <w:rFonts w:ascii="Arial Narrow" w:eastAsia="Times New Roman" w:hAnsi="Arial Narrow"/>
                <w:lang w:eastAsia="en-US"/>
              </w:rPr>
              <w:t xml:space="preserve"> – including interpretation and report; not being a service associated with a service to which items 12306, 12309, 12312, 12318 or 12321 applies (Ministerial Determination)</w:t>
            </w:r>
          </w:p>
          <w:p w:rsidR="00D8067A" w:rsidRDefault="00D8067A" w:rsidP="001B2CF7">
            <w:pPr>
              <w:spacing w:after="0" w:line="240" w:lineRule="auto"/>
              <w:jc w:val="left"/>
              <w:rPr>
                <w:rFonts w:ascii="Arial Narrow" w:eastAsia="Times New Roman" w:hAnsi="Arial Narrow"/>
                <w:b/>
                <w:lang w:eastAsia="en-US"/>
              </w:rPr>
            </w:pPr>
          </w:p>
          <w:p w:rsidR="00E40E17" w:rsidRDefault="00E40E17" w:rsidP="00E40E17">
            <w:pPr>
              <w:spacing w:after="0" w:line="240" w:lineRule="auto"/>
              <w:jc w:val="left"/>
              <w:rPr>
                <w:rFonts w:ascii="Arial Narrow" w:eastAsia="Times New Roman" w:hAnsi="Arial Narrow"/>
                <w:lang w:eastAsia="en-US"/>
              </w:rPr>
            </w:pPr>
            <w:r w:rsidRPr="00075E36">
              <w:rPr>
                <w:rFonts w:ascii="Arial Narrow" w:eastAsia="Times New Roman" w:hAnsi="Arial Narrow"/>
                <w:b/>
                <w:lang w:eastAsia="en-US"/>
              </w:rPr>
              <w:t>Fee:</w:t>
            </w:r>
            <w:r w:rsidRPr="00075E36">
              <w:rPr>
                <w:rFonts w:ascii="Arial Narrow" w:eastAsia="Times New Roman" w:hAnsi="Arial Narrow"/>
                <w:lang w:eastAsia="en-US"/>
              </w:rPr>
              <w:t xml:space="preserve"> $10</w:t>
            </w:r>
            <w:r>
              <w:rPr>
                <w:rFonts w:ascii="Arial Narrow" w:eastAsia="Times New Roman" w:hAnsi="Arial Narrow"/>
                <w:lang w:eastAsia="en-US"/>
              </w:rPr>
              <w:t>2</w:t>
            </w:r>
            <w:r w:rsidRPr="00075E36">
              <w:rPr>
                <w:rFonts w:ascii="Arial Narrow" w:eastAsia="Times New Roman" w:hAnsi="Arial Narrow"/>
                <w:lang w:eastAsia="en-US"/>
              </w:rPr>
              <w:t>.</w:t>
            </w:r>
            <w:r>
              <w:rPr>
                <w:rFonts w:ascii="Arial Narrow" w:eastAsia="Times New Roman" w:hAnsi="Arial Narrow"/>
                <w:lang w:eastAsia="en-US"/>
              </w:rPr>
              <w:t>4</w:t>
            </w:r>
            <w:r w:rsidRPr="00075E36">
              <w:rPr>
                <w:rFonts w:ascii="Arial Narrow" w:eastAsia="Times New Roman" w:hAnsi="Arial Narrow"/>
                <w:lang w:eastAsia="en-US"/>
              </w:rPr>
              <w:t>0</w:t>
            </w:r>
            <w:r w:rsidR="005E09EC">
              <w:rPr>
                <w:rFonts w:ascii="Arial Narrow" w:eastAsia="Times New Roman" w:hAnsi="Arial Narrow"/>
                <w:lang w:eastAsia="en-US"/>
              </w:rPr>
              <w:t xml:space="preserve"> </w:t>
            </w:r>
            <w:r w:rsidRPr="00075E36">
              <w:rPr>
                <w:rFonts w:ascii="Arial Narrow" w:eastAsia="Times New Roman" w:hAnsi="Arial Narrow"/>
                <w:b/>
                <w:lang w:eastAsia="en-US"/>
              </w:rPr>
              <w:t>Benefit:</w:t>
            </w:r>
            <w:r>
              <w:rPr>
                <w:rFonts w:ascii="Arial Narrow" w:eastAsia="Times New Roman" w:hAnsi="Arial Narrow"/>
                <w:lang w:eastAsia="en-US"/>
              </w:rPr>
              <w:t xml:space="preserve"> 75% = $76.80   85% = $87.0</w:t>
            </w:r>
            <w:r w:rsidRPr="00075E36">
              <w:rPr>
                <w:rFonts w:ascii="Arial Narrow" w:eastAsia="Times New Roman" w:hAnsi="Arial Narrow"/>
                <w:lang w:eastAsia="en-US"/>
              </w:rPr>
              <w:t>5</w:t>
            </w:r>
          </w:p>
          <w:p w:rsidR="00D8067A" w:rsidRDefault="00D8067A" w:rsidP="001B2CF7">
            <w:pPr>
              <w:spacing w:after="0" w:line="240" w:lineRule="auto"/>
              <w:jc w:val="left"/>
              <w:rPr>
                <w:rFonts w:ascii="Arial Narrow" w:eastAsia="Times New Roman" w:hAnsi="Arial Narrow"/>
                <w:i/>
                <w:u w:val="single"/>
                <w:lang w:eastAsia="en-US"/>
              </w:rPr>
            </w:pPr>
          </w:p>
          <w:p w:rsidR="00D8067A" w:rsidRPr="00075E36" w:rsidRDefault="00D8067A" w:rsidP="001B2CF7">
            <w:pPr>
              <w:spacing w:after="0" w:line="240" w:lineRule="auto"/>
              <w:jc w:val="left"/>
              <w:rPr>
                <w:rFonts w:ascii="Arial Narrow" w:eastAsia="Times New Roman" w:hAnsi="Arial Narrow"/>
                <w:i/>
                <w:u w:val="single"/>
                <w:lang w:eastAsia="en-US"/>
              </w:rPr>
            </w:pPr>
            <w:r w:rsidRPr="00075E36">
              <w:rPr>
                <w:rFonts w:ascii="Arial Narrow" w:eastAsia="Times New Roman" w:hAnsi="Arial Narrow"/>
                <w:i/>
                <w:u w:val="single"/>
                <w:lang w:eastAsia="en-US"/>
              </w:rPr>
              <w:t>Relevant explanatory notes: See Note D1.27</w:t>
            </w:r>
          </w:p>
          <w:p w:rsidR="00D8067A" w:rsidRDefault="00D8067A" w:rsidP="001B2CF7">
            <w:pPr>
              <w:spacing w:after="0" w:line="240" w:lineRule="auto"/>
              <w:jc w:val="left"/>
              <w:rPr>
                <w:rFonts w:ascii="Arial Narrow" w:eastAsia="Times New Roman" w:hAnsi="Arial Narrow"/>
                <w:lang w:eastAsia="en-US"/>
              </w:rPr>
            </w:pPr>
          </w:p>
          <w:p w:rsidR="00D8067A" w:rsidRPr="00075E36" w:rsidRDefault="00D8067A" w:rsidP="001B2CF7">
            <w:pPr>
              <w:spacing w:after="0" w:line="240" w:lineRule="auto"/>
              <w:jc w:val="left"/>
              <w:rPr>
                <w:rFonts w:ascii="Arial Narrow" w:eastAsia="Times New Roman" w:hAnsi="Arial Narrow"/>
                <w:lang w:eastAsia="en-US"/>
              </w:rPr>
            </w:pPr>
          </w:p>
        </w:tc>
      </w:tr>
      <w:tr w:rsidR="00D8067A" w:rsidRPr="00075E36" w:rsidTr="00A67624">
        <w:tblPrEx>
          <w:tblBorders>
            <w:insideH w:val="single" w:sz="4" w:space="0" w:color="000000"/>
          </w:tblBorders>
        </w:tblPrEx>
        <w:tc>
          <w:tcPr>
            <w:tcW w:w="9134" w:type="dxa"/>
            <w:tcBorders>
              <w:bottom w:val="nil"/>
            </w:tcBorders>
          </w:tcPr>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lastRenderedPageBreak/>
              <w:t>Category 2 – DIAGNOSTIC PROCEDURES AND INVESTIGATIONS</w:t>
            </w:r>
          </w:p>
        </w:tc>
      </w:tr>
      <w:tr w:rsidR="00D8067A" w:rsidRPr="00075E36" w:rsidTr="00A67624">
        <w:tblPrEx>
          <w:tblBorders>
            <w:insideH w:val="single" w:sz="4" w:space="0" w:color="000000"/>
          </w:tblBorders>
        </w:tblPrEx>
        <w:tc>
          <w:tcPr>
            <w:tcW w:w="9134" w:type="dxa"/>
            <w:tcBorders>
              <w:top w:val="nil"/>
            </w:tcBorders>
          </w:tcPr>
          <w:p w:rsidR="00D8067A" w:rsidRDefault="00D8067A" w:rsidP="001B2CF7">
            <w:pPr>
              <w:spacing w:after="0" w:line="240" w:lineRule="auto"/>
              <w:jc w:val="left"/>
              <w:rPr>
                <w:rFonts w:ascii="Arial Narrow" w:eastAsia="Times New Roman" w:hAnsi="Arial Narrow"/>
                <w:b/>
                <w:lang w:eastAsia="en-US"/>
              </w:rPr>
            </w:pPr>
          </w:p>
          <w:p w:rsidR="00D8067A" w:rsidRPr="00075E36" w:rsidRDefault="00D8067A" w:rsidP="001B2CF7">
            <w:pPr>
              <w:spacing w:after="0" w:line="240" w:lineRule="auto"/>
              <w:jc w:val="left"/>
              <w:rPr>
                <w:rFonts w:ascii="Arial Narrow" w:eastAsia="Times New Roman" w:hAnsi="Arial Narrow"/>
                <w:b/>
                <w:lang w:eastAsia="en-US"/>
              </w:rPr>
            </w:pPr>
            <w:r w:rsidRPr="00075E36">
              <w:rPr>
                <w:rFonts w:ascii="Arial Narrow" w:eastAsia="Times New Roman" w:hAnsi="Arial Narrow"/>
                <w:b/>
                <w:lang w:eastAsia="en-US"/>
              </w:rPr>
              <w:t>MBS 12321</w:t>
            </w: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Bone densitometry (performed by a specialist or consultant physician where the patient is referred by another medical practitioner), </w:t>
            </w:r>
            <w:r w:rsidRPr="00075E36">
              <w:rPr>
                <w:rFonts w:ascii="Arial Narrow" w:eastAsia="Times New Roman" w:hAnsi="Arial Narrow"/>
                <w:b/>
                <w:lang w:eastAsia="en-US"/>
              </w:rPr>
              <w:t>using dual energy X-ray absorptiometry</w:t>
            </w:r>
            <w:r w:rsidRPr="00075E36">
              <w:rPr>
                <w:rFonts w:ascii="Arial Narrow" w:eastAsia="Times New Roman" w:hAnsi="Arial Narrow"/>
                <w:lang w:eastAsia="en-US"/>
              </w:rPr>
              <w:t>, for the measurement of bone density 12 months following a significant change in therapy for:</w:t>
            </w:r>
          </w:p>
          <w:p w:rsidR="00D8067A" w:rsidRPr="00075E36" w:rsidRDefault="00D8067A" w:rsidP="00436EDB">
            <w:pPr>
              <w:numPr>
                <w:ilvl w:val="0"/>
                <w:numId w:val="10"/>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Established low bone mineral density; or</w:t>
            </w:r>
          </w:p>
          <w:p w:rsidR="00D8067A" w:rsidRPr="00075E36" w:rsidRDefault="00D8067A" w:rsidP="00436EDB">
            <w:pPr>
              <w:numPr>
                <w:ilvl w:val="0"/>
                <w:numId w:val="10"/>
              </w:num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The confirmation of a presumptive diagnosis of low bone mineral density made on the basis of 1 or more fractures occurring after minimal trauma.</w:t>
            </w:r>
          </w:p>
          <w:p w:rsidR="00D8067A" w:rsidRDefault="00D8067A" w:rsidP="001B2CF7">
            <w:pPr>
              <w:spacing w:after="0" w:line="240" w:lineRule="auto"/>
              <w:jc w:val="left"/>
              <w:rPr>
                <w:rFonts w:ascii="Arial Narrow" w:eastAsia="Times New Roman" w:hAnsi="Arial Narrow"/>
                <w:lang w:eastAsia="en-US"/>
              </w:rPr>
            </w:pP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Measurement of 2 or more sites – </w:t>
            </w:r>
            <w:r w:rsidRPr="00075E36">
              <w:rPr>
                <w:rFonts w:ascii="Arial Narrow" w:eastAsia="Times New Roman" w:hAnsi="Arial Narrow"/>
                <w:b/>
                <w:lang w:eastAsia="en-US"/>
              </w:rPr>
              <w:t>1 service only in a period of 12 consecutive months</w:t>
            </w:r>
            <w:r w:rsidRPr="00075E36">
              <w:rPr>
                <w:rFonts w:ascii="Arial Narrow" w:eastAsia="Times New Roman" w:hAnsi="Arial Narrow"/>
                <w:lang w:eastAsia="en-US"/>
              </w:rPr>
              <w:t xml:space="preserve"> – including interpretation and report; not being a service associated with a service to which item 12306, 12309, 12312, 12315 or 12318 applies (Ministerial Determination)</w:t>
            </w:r>
          </w:p>
          <w:p w:rsidR="00D8067A" w:rsidRDefault="00D8067A" w:rsidP="001B2CF7">
            <w:pPr>
              <w:spacing w:after="0" w:line="240" w:lineRule="auto"/>
              <w:jc w:val="left"/>
              <w:rPr>
                <w:rFonts w:ascii="Arial Narrow" w:eastAsia="Times New Roman" w:hAnsi="Arial Narrow"/>
                <w:b/>
                <w:lang w:eastAsia="en-US"/>
              </w:rPr>
            </w:pPr>
          </w:p>
          <w:p w:rsidR="00E40E17" w:rsidRDefault="00E40E17" w:rsidP="00E40E17">
            <w:pPr>
              <w:spacing w:after="0" w:line="240" w:lineRule="auto"/>
              <w:jc w:val="left"/>
              <w:rPr>
                <w:rFonts w:ascii="Arial Narrow" w:eastAsia="Times New Roman" w:hAnsi="Arial Narrow"/>
                <w:lang w:eastAsia="en-US"/>
              </w:rPr>
            </w:pPr>
            <w:r w:rsidRPr="00075E36">
              <w:rPr>
                <w:rFonts w:ascii="Arial Narrow" w:eastAsia="Times New Roman" w:hAnsi="Arial Narrow"/>
                <w:b/>
                <w:lang w:eastAsia="en-US"/>
              </w:rPr>
              <w:t>Fee:</w:t>
            </w:r>
            <w:r w:rsidRPr="00075E36">
              <w:rPr>
                <w:rFonts w:ascii="Arial Narrow" w:eastAsia="Times New Roman" w:hAnsi="Arial Narrow"/>
                <w:lang w:eastAsia="en-US"/>
              </w:rPr>
              <w:t xml:space="preserve"> $10</w:t>
            </w:r>
            <w:r>
              <w:rPr>
                <w:rFonts w:ascii="Arial Narrow" w:eastAsia="Times New Roman" w:hAnsi="Arial Narrow"/>
                <w:lang w:eastAsia="en-US"/>
              </w:rPr>
              <w:t>2</w:t>
            </w:r>
            <w:r w:rsidRPr="00075E36">
              <w:rPr>
                <w:rFonts w:ascii="Arial Narrow" w:eastAsia="Times New Roman" w:hAnsi="Arial Narrow"/>
                <w:lang w:eastAsia="en-US"/>
              </w:rPr>
              <w:t>.</w:t>
            </w:r>
            <w:r>
              <w:rPr>
                <w:rFonts w:ascii="Arial Narrow" w:eastAsia="Times New Roman" w:hAnsi="Arial Narrow"/>
                <w:lang w:eastAsia="en-US"/>
              </w:rPr>
              <w:t>4</w:t>
            </w:r>
            <w:r w:rsidRPr="00075E36">
              <w:rPr>
                <w:rFonts w:ascii="Arial Narrow" w:eastAsia="Times New Roman" w:hAnsi="Arial Narrow"/>
                <w:lang w:eastAsia="en-US"/>
              </w:rPr>
              <w:t>0</w:t>
            </w:r>
            <w:r w:rsidR="005E09EC">
              <w:rPr>
                <w:rFonts w:ascii="Arial Narrow" w:eastAsia="Times New Roman" w:hAnsi="Arial Narrow"/>
                <w:lang w:eastAsia="en-US"/>
              </w:rPr>
              <w:t xml:space="preserve"> </w:t>
            </w:r>
            <w:r w:rsidRPr="00075E36">
              <w:rPr>
                <w:rFonts w:ascii="Arial Narrow" w:eastAsia="Times New Roman" w:hAnsi="Arial Narrow"/>
                <w:b/>
                <w:lang w:eastAsia="en-US"/>
              </w:rPr>
              <w:t>Benefit:</w:t>
            </w:r>
            <w:r>
              <w:rPr>
                <w:rFonts w:ascii="Arial Narrow" w:eastAsia="Times New Roman" w:hAnsi="Arial Narrow"/>
                <w:lang w:eastAsia="en-US"/>
              </w:rPr>
              <w:t xml:space="preserve"> 75% = $76.80   85% = $87.0</w:t>
            </w:r>
            <w:r w:rsidRPr="00075E36">
              <w:rPr>
                <w:rFonts w:ascii="Arial Narrow" w:eastAsia="Times New Roman" w:hAnsi="Arial Narrow"/>
                <w:lang w:eastAsia="en-US"/>
              </w:rPr>
              <w:t>5</w:t>
            </w:r>
          </w:p>
          <w:p w:rsidR="00D8067A" w:rsidRDefault="00D8067A" w:rsidP="001B2CF7">
            <w:pPr>
              <w:spacing w:after="0" w:line="240" w:lineRule="auto"/>
              <w:jc w:val="left"/>
              <w:rPr>
                <w:rFonts w:ascii="Arial Narrow" w:eastAsia="Times New Roman" w:hAnsi="Arial Narrow"/>
                <w:i/>
                <w:u w:val="single"/>
                <w:lang w:eastAsia="en-US"/>
              </w:rPr>
            </w:pPr>
          </w:p>
          <w:p w:rsidR="00D8067A" w:rsidRPr="00075E36" w:rsidRDefault="00D8067A" w:rsidP="001B2CF7">
            <w:pPr>
              <w:spacing w:after="0" w:line="240" w:lineRule="auto"/>
              <w:jc w:val="left"/>
              <w:rPr>
                <w:rFonts w:ascii="Arial Narrow" w:eastAsia="Times New Roman" w:hAnsi="Arial Narrow"/>
                <w:i/>
                <w:u w:val="single"/>
                <w:lang w:eastAsia="en-US"/>
              </w:rPr>
            </w:pPr>
            <w:r w:rsidRPr="00075E36">
              <w:rPr>
                <w:rFonts w:ascii="Arial Narrow" w:eastAsia="Times New Roman" w:hAnsi="Arial Narrow"/>
                <w:i/>
                <w:u w:val="single"/>
                <w:lang w:eastAsia="en-US"/>
              </w:rPr>
              <w:t>Relevant explanatory notes: See Note D1.27</w:t>
            </w:r>
          </w:p>
          <w:p w:rsidR="00D8067A" w:rsidRPr="00075E36" w:rsidRDefault="00D8067A" w:rsidP="001B2CF7">
            <w:pPr>
              <w:spacing w:after="0" w:line="240" w:lineRule="auto"/>
              <w:jc w:val="left"/>
              <w:rPr>
                <w:rFonts w:ascii="Arial Narrow" w:eastAsia="Times New Roman" w:hAnsi="Arial Narrow"/>
                <w:lang w:eastAsia="en-US"/>
              </w:rPr>
            </w:pPr>
          </w:p>
        </w:tc>
      </w:tr>
      <w:tr w:rsidR="00D8067A" w:rsidRPr="00075E36" w:rsidTr="00A67624">
        <w:tblPrEx>
          <w:tblBorders>
            <w:insideH w:val="single" w:sz="4" w:space="0" w:color="000000"/>
          </w:tblBorders>
        </w:tblPrEx>
        <w:tc>
          <w:tcPr>
            <w:tcW w:w="9134" w:type="dxa"/>
            <w:tcBorders>
              <w:bottom w:val="nil"/>
            </w:tcBorders>
          </w:tcPr>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Category 2 – DIAGNOSTIC PROCEDURES AND INVESTIGATIONS</w:t>
            </w:r>
          </w:p>
        </w:tc>
      </w:tr>
      <w:tr w:rsidR="00D8067A" w:rsidRPr="00075E36" w:rsidTr="00A67624">
        <w:tblPrEx>
          <w:tblBorders>
            <w:insideH w:val="single" w:sz="4" w:space="0" w:color="000000"/>
          </w:tblBorders>
        </w:tblPrEx>
        <w:tc>
          <w:tcPr>
            <w:tcW w:w="9134" w:type="dxa"/>
            <w:tcBorders>
              <w:top w:val="nil"/>
            </w:tcBorders>
          </w:tcPr>
          <w:p w:rsidR="00D8067A" w:rsidRDefault="00D8067A" w:rsidP="001B2CF7">
            <w:pPr>
              <w:spacing w:after="0" w:line="240" w:lineRule="auto"/>
              <w:jc w:val="left"/>
              <w:rPr>
                <w:rFonts w:ascii="Arial Narrow" w:eastAsia="Times New Roman" w:hAnsi="Arial Narrow"/>
                <w:b/>
                <w:lang w:eastAsia="en-US"/>
              </w:rPr>
            </w:pPr>
          </w:p>
          <w:p w:rsidR="00D8067A" w:rsidRPr="00075E36" w:rsidRDefault="00D8067A" w:rsidP="001B2CF7">
            <w:pPr>
              <w:spacing w:after="0" w:line="240" w:lineRule="auto"/>
              <w:jc w:val="left"/>
              <w:rPr>
                <w:rFonts w:ascii="Arial Narrow" w:eastAsia="Times New Roman" w:hAnsi="Arial Narrow"/>
                <w:b/>
                <w:lang w:eastAsia="en-US"/>
              </w:rPr>
            </w:pPr>
            <w:r w:rsidRPr="00075E36">
              <w:rPr>
                <w:rFonts w:ascii="Arial Narrow" w:eastAsia="Times New Roman" w:hAnsi="Arial Narrow"/>
                <w:b/>
                <w:lang w:eastAsia="en-US"/>
              </w:rPr>
              <w:t>MBS 12323</w:t>
            </w: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 xml:space="preserve">Bone densitometry (performed by a specialist or consultant physician where the patient is referred by another medical practitioner), </w:t>
            </w:r>
            <w:r w:rsidRPr="00075E36">
              <w:rPr>
                <w:rFonts w:ascii="Arial Narrow" w:eastAsia="Times New Roman" w:hAnsi="Arial Narrow"/>
                <w:b/>
                <w:lang w:eastAsia="en-US"/>
              </w:rPr>
              <w:t>using dual energy X-ray absorptiometry</w:t>
            </w:r>
            <w:r w:rsidRPr="00075E36">
              <w:rPr>
                <w:rFonts w:ascii="Arial Narrow" w:eastAsia="Times New Roman" w:hAnsi="Arial Narrow"/>
                <w:lang w:eastAsia="en-US"/>
              </w:rPr>
              <w:t xml:space="preserve"> or </w:t>
            </w:r>
            <w:r w:rsidRPr="00075E36">
              <w:rPr>
                <w:rFonts w:ascii="Arial Narrow" w:eastAsia="Times New Roman" w:hAnsi="Arial Narrow"/>
                <w:b/>
                <w:lang w:eastAsia="en-US"/>
              </w:rPr>
              <w:t>quantitative computerised tomography</w:t>
            </w:r>
            <w:r w:rsidRPr="00075E36">
              <w:rPr>
                <w:rFonts w:ascii="Arial Narrow" w:eastAsia="Times New Roman" w:hAnsi="Arial Narrow"/>
                <w:lang w:eastAsia="en-US"/>
              </w:rPr>
              <w:t>, for the measurement of bone mineral density, for a person aged 70 years or over.</w:t>
            </w:r>
          </w:p>
          <w:p w:rsidR="00D8067A" w:rsidRDefault="00D8067A" w:rsidP="001B2CF7">
            <w:pPr>
              <w:spacing w:after="0" w:line="240" w:lineRule="auto"/>
              <w:jc w:val="left"/>
              <w:rPr>
                <w:rFonts w:ascii="Arial Narrow" w:eastAsia="Times New Roman" w:hAnsi="Arial Narrow"/>
                <w:lang w:eastAsia="en-US"/>
              </w:rPr>
            </w:pPr>
          </w:p>
          <w:p w:rsidR="00D8067A" w:rsidRPr="00075E36" w:rsidRDefault="00D8067A" w:rsidP="001B2CF7">
            <w:pPr>
              <w:spacing w:after="0" w:line="240" w:lineRule="auto"/>
              <w:jc w:val="left"/>
              <w:rPr>
                <w:rFonts w:ascii="Arial Narrow" w:eastAsia="Times New Roman" w:hAnsi="Arial Narrow"/>
                <w:lang w:eastAsia="en-US"/>
              </w:rPr>
            </w:pPr>
            <w:r w:rsidRPr="00075E36">
              <w:rPr>
                <w:rFonts w:ascii="Arial Narrow" w:eastAsia="Times New Roman" w:hAnsi="Arial Narrow"/>
                <w:lang w:eastAsia="en-US"/>
              </w:rPr>
              <w:t>Measurement of 2 or more sites – including interpretation and report; not being a service associated with a service to which item 12306, 12309, 12312, 12315, 12318 or 12321 applies (Ministerial Determination)</w:t>
            </w:r>
          </w:p>
          <w:p w:rsidR="00D8067A" w:rsidRDefault="00D8067A" w:rsidP="001B2CF7">
            <w:pPr>
              <w:spacing w:after="0" w:line="240" w:lineRule="auto"/>
              <w:jc w:val="left"/>
              <w:rPr>
                <w:rFonts w:ascii="Arial Narrow" w:eastAsia="Times New Roman" w:hAnsi="Arial Narrow"/>
                <w:b/>
                <w:lang w:eastAsia="en-US"/>
              </w:rPr>
            </w:pPr>
          </w:p>
          <w:p w:rsidR="00E40E17" w:rsidRDefault="00E40E17" w:rsidP="00E40E17">
            <w:pPr>
              <w:spacing w:after="0" w:line="240" w:lineRule="auto"/>
              <w:jc w:val="left"/>
              <w:rPr>
                <w:rFonts w:ascii="Arial Narrow" w:eastAsia="Times New Roman" w:hAnsi="Arial Narrow"/>
                <w:lang w:eastAsia="en-US"/>
              </w:rPr>
            </w:pPr>
            <w:r w:rsidRPr="00075E36">
              <w:rPr>
                <w:rFonts w:ascii="Arial Narrow" w:eastAsia="Times New Roman" w:hAnsi="Arial Narrow"/>
                <w:b/>
                <w:lang w:eastAsia="en-US"/>
              </w:rPr>
              <w:t>Fee:</w:t>
            </w:r>
            <w:r w:rsidRPr="00075E36">
              <w:rPr>
                <w:rFonts w:ascii="Arial Narrow" w:eastAsia="Times New Roman" w:hAnsi="Arial Narrow"/>
                <w:lang w:eastAsia="en-US"/>
              </w:rPr>
              <w:t xml:space="preserve"> $10</w:t>
            </w:r>
            <w:r>
              <w:rPr>
                <w:rFonts w:ascii="Arial Narrow" w:eastAsia="Times New Roman" w:hAnsi="Arial Narrow"/>
                <w:lang w:eastAsia="en-US"/>
              </w:rPr>
              <w:t>2</w:t>
            </w:r>
            <w:r w:rsidRPr="00075E36">
              <w:rPr>
                <w:rFonts w:ascii="Arial Narrow" w:eastAsia="Times New Roman" w:hAnsi="Arial Narrow"/>
                <w:lang w:eastAsia="en-US"/>
              </w:rPr>
              <w:t>.</w:t>
            </w:r>
            <w:r>
              <w:rPr>
                <w:rFonts w:ascii="Arial Narrow" w:eastAsia="Times New Roman" w:hAnsi="Arial Narrow"/>
                <w:lang w:eastAsia="en-US"/>
              </w:rPr>
              <w:t>4</w:t>
            </w:r>
            <w:r w:rsidRPr="00075E36">
              <w:rPr>
                <w:rFonts w:ascii="Arial Narrow" w:eastAsia="Times New Roman" w:hAnsi="Arial Narrow"/>
                <w:lang w:eastAsia="en-US"/>
              </w:rPr>
              <w:t>0</w:t>
            </w:r>
            <w:r w:rsidR="005E09EC">
              <w:rPr>
                <w:rFonts w:ascii="Arial Narrow" w:eastAsia="Times New Roman" w:hAnsi="Arial Narrow"/>
                <w:lang w:eastAsia="en-US"/>
              </w:rPr>
              <w:t xml:space="preserve"> </w:t>
            </w:r>
            <w:r w:rsidRPr="00075E36">
              <w:rPr>
                <w:rFonts w:ascii="Arial Narrow" w:eastAsia="Times New Roman" w:hAnsi="Arial Narrow"/>
                <w:b/>
                <w:lang w:eastAsia="en-US"/>
              </w:rPr>
              <w:t>Benefit:</w:t>
            </w:r>
            <w:r>
              <w:rPr>
                <w:rFonts w:ascii="Arial Narrow" w:eastAsia="Times New Roman" w:hAnsi="Arial Narrow"/>
                <w:lang w:eastAsia="en-US"/>
              </w:rPr>
              <w:t xml:space="preserve"> 75% = $76.80   85% = $87.0</w:t>
            </w:r>
            <w:r w:rsidRPr="00075E36">
              <w:rPr>
                <w:rFonts w:ascii="Arial Narrow" w:eastAsia="Times New Roman" w:hAnsi="Arial Narrow"/>
                <w:lang w:eastAsia="en-US"/>
              </w:rPr>
              <w:t>5</w:t>
            </w:r>
          </w:p>
          <w:p w:rsidR="00D8067A" w:rsidRDefault="00D8067A" w:rsidP="001B2CF7">
            <w:pPr>
              <w:spacing w:after="0" w:line="240" w:lineRule="auto"/>
              <w:jc w:val="left"/>
              <w:rPr>
                <w:rFonts w:ascii="Arial Narrow" w:eastAsia="Times New Roman" w:hAnsi="Arial Narrow"/>
                <w:i/>
                <w:u w:val="single"/>
                <w:lang w:eastAsia="en-US"/>
              </w:rPr>
            </w:pPr>
          </w:p>
          <w:p w:rsidR="00D8067A" w:rsidRPr="00075E36" w:rsidRDefault="00D8067A" w:rsidP="001B2CF7">
            <w:pPr>
              <w:spacing w:after="0" w:line="240" w:lineRule="auto"/>
              <w:jc w:val="left"/>
              <w:rPr>
                <w:rFonts w:ascii="Arial Narrow" w:eastAsia="Times New Roman" w:hAnsi="Arial Narrow"/>
                <w:i/>
                <w:u w:val="single"/>
                <w:lang w:eastAsia="en-US"/>
              </w:rPr>
            </w:pPr>
            <w:r w:rsidRPr="00075E36">
              <w:rPr>
                <w:rFonts w:ascii="Arial Narrow" w:eastAsia="Times New Roman" w:hAnsi="Arial Narrow"/>
                <w:i/>
                <w:u w:val="single"/>
                <w:lang w:eastAsia="en-US"/>
              </w:rPr>
              <w:t>Relevant explanatory notes: See Note D1.27</w:t>
            </w:r>
          </w:p>
          <w:p w:rsidR="00D8067A" w:rsidRPr="00075E36" w:rsidRDefault="00D8067A" w:rsidP="001B2CF7">
            <w:pPr>
              <w:spacing w:after="0" w:line="240" w:lineRule="auto"/>
              <w:jc w:val="left"/>
              <w:rPr>
                <w:rFonts w:ascii="Arial Narrow" w:eastAsia="Times New Roman" w:hAnsi="Arial Narrow"/>
                <w:lang w:eastAsia="en-US"/>
              </w:rPr>
            </w:pPr>
          </w:p>
        </w:tc>
      </w:tr>
    </w:tbl>
    <w:p w:rsidR="00D8067A" w:rsidRPr="000A082F" w:rsidRDefault="00452D41" w:rsidP="00CD2CCE">
      <w:pPr>
        <w:rPr>
          <w:rFonts w:ascii="Arial Narrow" w:hAnsi="Arial Narrow"/>
          <w:sz w:val="16"/>
          <w:szCs w:val="16"/>
        </w:rPr>
      </w:pPr>
      <w:r w:rsidRPr="00452D41">
        <w:rPr>
          <w:rFonts w:ascii="Arial Narrow" w:hAnsi="Arial Narrow"/>
          <w:sz w:val="16"/>
          <w:szCs w:val="16"/>
        </w:rPr>
        <w:t xml:space="preserve">Taken from </w:t>
      </w:r>
      <w:hyperlink r:id="rId10" w:tooltip="This is a link to the MBS online" w:history="1">
        <w:r w:rsidRPr="00452D41">
          <w:rPr>
            <w:rFonts w:ascii="Arial Narrow" w:hAnsi="Arial Narrow" w:cs="Times New Roman"/>
            <w:color w:val="0000FF"/>
            <w:sz w:val="16"/>
            <w:szCs w:val="16"/>
            <w:u w:val="single"/>
          </w:rPr>
          <w:t>http://www9.health.gov.au/mbs/search.cfm</w:t>
        </w:r>
      </w:hyperlink>
      <w:r w:rsidRPr="00452D41">
        <w:rPr>
          <w:rFonts w:ascii="Arial Narrow" w:hAnsi="Arial Narrow"/>
          <w:sz w:val="16"/>
          <w:szCs w:val="16"/>
        </w:rPr>
        <w:t>, accessed 08 July 2013</w:t>
      </w:r>
    </w:p>
    <w:p w:rsidR="00D8067A" w:rsidRDefault="00D8067A" w:rsidP="00CD2CCE">
      <w:pPr>
        <w:rPr>
          <w:lang w:eastAsia="ja-JP"/>
        </w:rPr>
      </w:pPr>
      <w:r w:rsidRPr="00685248">
        <w:rPr>
          <w:lang w:eastAsia="ja-JP"/>
        </w:rPr>
        <w:t>A test for vitamin D</w:t>
      </w:r>
      <w:r w:rsidR="00F46A88">
        <w:rPr>
          <w:lang w:eastAsia="ja-JP"/>
        </w:rPr>
        <w:t xml:space="preserve"> sufficiency</w:t>
      </w:r>
      <w:r w:rsidRPr="00685248">
        <w:rPr>
          <w:lang w:eastAsia="ja-JP"/>
        </w:rPr>
        <w:t xml:space="preserve"> is available through MBS item 66608 (</w:t>
      </w:r>
      <w:r w:rsidR="009144E6">
        <w:rPr>
          <w:lang w:eastAsia="ja-JP"/>
        </w:rPr>
        <w:t>v</w:t>
      </w:r>
      <w:r w:rsidRPr="00685248">
        <w:rPr>
          <w:lang w:eastAsia="ja-JP"/>
        </w:rPr>
        <w:t>itamin D or D fra</w:t>
      </w:r>
      <w:r>
        <w:rPr>
          <w:lang w:eastAsia="ja-JP"/>
        </w:rPr>
        <w:t>ctions – 1 or more tests, Fee $3</w:t>
      </w:r>
      <w:r w:rsidR="00EA173A">
        <w:rPr>
          <w:lang w:eastAsia="ja-JP"/>
        </w:rPr>
        <w:t>3</w:t>
      </w:r>
      <w:r>
        <w:rPr>
          <w:lang w:eastAsia="ja-JP"/>
        </w:rPr>
        <w:t>.</w:t>
      </w:r>
      <w:r w:rsidR="00EA173A">
        <w:rPr>
          <w:lang w:eastAsia="ja-JP"/>
        </w:rPr>
        <w:t>20</w:t>
      </w:r>
      <w:r w:rsidRPr="00685248">
        <w:rPr>
          <w:lang w:eastAsia="ja-JP"/>
        </w:rPr>
        <w:t xml:space="preserve">). </w:t>
      </w:r>
      <w:r>
        <w:rPr>
          <w:lang w:eastAsia="ja-JP"/>
        </w:rPr>
        <w:t>Anti-osteoporotic medication on the PBS is shown in Appendix 3 (by drug) and Appendix 4 (by indication). PBS eligibility is in general focused to specific indications. A T-score is required for most indications, other than where patients have a fracture due to minimal trauma, where the fracture has been established using radiology.</w:t>
      </w:r>
    </w:p>
    <w:p w:rsidR="00D8067A" w:rsidRDefault="00D8067A" w:rsidP="00CD2CCE"/>
    <w:p w:rsidR="00D8067A" w:rsidRDefault="00D8067A">
      <w:pPr>
        <w:spacing w:after="0" w:line="240" w:lineRule="auto"/>
        <w:jc w:val="left"/>
        <w:rPr>
          <w:b/>
          <w:color w:val="215868"/>
          <w:szCs w:val="28"/>
          <w:lang w:val="en-GB" w:eastAsia="ja-JP"/>
        </w:rPr>
      </w:pPr>
      <w:r>
        <w:br w:type="page"/>
      </w:r>
    </w:p>
    <w:p w:rsidR="00D8067A" w:rsidRDefault="00D8067A" w:rsidP="00D34BAD">
      <w:pPr>
        <w:pStyle w:val="Heading2"/>
        <w:spacing w:after="240"/>
      </w:pPr>
      <w:bookmarkStart w:id="25" w:name="_Toc335905415"/>
      <w:bookmarkStart w:id="26" w:name="_Toc362968490"/>
      <w:r w:rsidRPr="00A34E9C">
        <w:lastRenderedPageBreak/>
        <w:t>Regulatory status</w:t>
      </w:r>
      <w:bookmarkEnd w:id="25"/>
      <w:bookmarkEnd w:id="26"/>
    </w:p>
    <w:p w:rsidR="00D8067A" w:rsidRPr="007F054C" w:rsidRDefault="00D8067A" w:rsidP="00C6264F">
      <w:r>
        <w:rPr>
          <w:lang w:val="en-GB" w:eastAsia="ja-JP"/>
        </w:rPr>
        <w:t xml:space="preserve">Four </w:t>
      </w:r>
      <w:r w:rsidRPr="00685248">
        <w:rPr>
          <w:lang w:val="en-GB" w:eastAsia="ja-JP"/>
        </w:rPr>
        <w:t xml:space="preserve">DXA devices are used in Australia – </w:t>
      </w:r>
      <w:proofErr w:type="spellStart"/>
      <w:r w:rsidRPr="00685248">
        <w:rPr>
          <w:lang w:val="en-GB" w:eastAsia="ja-JP"/>
        </w:rPr>
        <w:t>Hologic</w:t>
      </w:r>
      <w:proofErr w:type="spellEnd"/>
      <w:r w:rsidRPr="00685248">
        <w:rPr>
          <w:lang w:val="en-GB" w:eastAsia="ja-JP"/>
        </w:rPr>
        <w:t xml:space="preserve">, Lunar, </w:t>
      </w:r>
      <w:proofErr w:type="spellStart"/>
      <w:r w:rsidRPr="00685248">
        <w:rPr>
          <w:lang w:val="en-GB" w:eastAsia="ja-JP"/>
        </w:rPr>
        <w:t>Norland</w:t>
      </w:r>
      <w:proofErr w:type="spellEnd"/>
      <w:r w:rsidRPr="00685248">
        <w:rPr>
          <w:lang w:val="en-GB" w:eastAsia="ja-JP"/>
        </w:rPr>
        <w:t xml:space="preserve"> and </w:t>
      </w:r>
      <w:proofErr w:type="spellStart"/>
      <w:r w:rsidRPr="00685248">
        <w:rPr>
          <w:lang w:val="en-GB" w:eastAsia="ja-JP"/>
        </w:rPr>
        <w:t>Medilink</w:t>
      </w:r>
      <w:proofErr w:type="spellEnd"/>
      <w:r w:rsidRPr="00685248">
        <w:rPr>
          <w:lang w:val="en-GB" w:eastAsia="ja-JP"/>
        </w:rPr>
        <w:t xml:space="preserve">. All devices are listed in the ARTG as category </w:t>
      </w:r>
      <w:proofErr w:type="spellStart"/>
      <w:r w:rsidRPr="00685248">
        <w:rPr>
          <w:lang w:val="en-GB" w:eastAsia="ja-JP"/>
        </w:rPr>
        <w:t>IIb</w:t>
      </w:r>
      <w:proofErr w:type="spellEnd"/>
      <w:r w:rsidRPr="00685248">
        <w:rPr>
          <w:lang w:val="en-GB" w:eastAsia="ja-JP"/>
        </w:rPr>
        <w:t xml:space="preserve"> devices (medium-high level of risk; Table 4) (Global Medical Device Nomenclature (GMDN) code 37661).</w:t>
      </w:r>
    </w:p>
    <w:p w:rsidR="00D8067A" w:rsidRDefault="00D8067A" w:rsidP="00075E36">
      <w:pPr>
        <w:pStyle w:val="Caption"/>
      </w:pPr>
      <w:r>
        <w:t xml:space="preserve">Table </w:t>
      </w:r>
      <w:r w:rsidR="00876F0F">
        <w:fldChar w:fldCharType="begin"/>
      </w:r>
      <w:r w:rsidR="00876F0F">
        <w:instrText xml:space="preserve"> SEQ Table \* ARABIC </w:instrText>
      </w:r>
      <w:r w:rsidR="00876F0F">
        <w:fldChar w:fldCharType="separate"/>
      </w:r>
      <w:r w:rsidR="00CD3C9F">
        <w:rPr>
          <w:noProof/>
        </w:rPr>
        <w:t>4</w:t>
      </w:r>
      <w:r w:rsidR="00876F0F">
        <w:rPr>
          <w:noProof/>
        </w:rPr>
        <w:fldChar w:fldCharType="end"/>
      </w:r>
      <w:r>
        <w:t xml:space="preserve"> R</w:t>
      </w:r>
      <w:r w:rsidRPr="009E5BA8">
        <w:t>egulatory status of the intervention</w:t>
      </w:r>
    </w:p>
    <w:tbl>
      <w:tblPr>
        <w:tblStyle w:val="1"/>
        <w:tblW w:w="0" w:type="auto"/>
        <w:tblLook w:val="00A0" w:firstRow="1" w:lastRow="0" w:firstColumn="1" w:lastColumn="0" w:noHBand="0" w:noVBand="0"/>
        <w:tblCaption w:val="Table 4 Regulatory status of the intervention"/>
        <w:tblDescription w:val="Table 4 Regulatory status of the intervention"/>
      </w:tblPr>
      <w:tblGrid>
        <w:gridCol w:w="1500"/>
        <w:gridCol w:w="1814"/>
        <w:gridCol w:w="1264"/>
        <w:gridCol w:w="1909"/>
        <w:gridCol w:w="2755"/>
      </w:tblGrid>
      <w:tr w:rsidR="00D8067A" w:rsidRPr="00075E36" w:rsidTr="005E09EC">
        <w:trPr>
          <w:cnfStyle w:val="100000000000" w:firstRow="1" w:lastRow="0" w:firstColumn="0" w:lastColumn="0" w:oddVBand="0" w:evenVBand="0" w:oddHBand="0" w:evenHBand="0" w:firstRowFirstColumn="0" w:firstRowLastColumn="0" w:lastRowFirstColumn="0" w:lastRowLastColumn="0"/>
          <w:trHeight w:val="690"/>
          <w:tblHeader/>
        </w:trPr>
        <w:tc>
          <w:tcPr>
            <w:tcW w:w="1500" w:type="dxa"/>
          </w:tcPr>
          <w:p w:rsidR="00D8067A" w:rsidRPr="00BE56F3" w:rsidRDefault="00D8067A" w:rsidP="00BE56F3">
            <w:pPr>
              <w:tabs>
                <w:tab w:val="left" w:pos="2835"/>
              </w:tabs>
              <w:spacing w:after="0" w:line="360" w:lineRule="auto"/>
              <w:jc w:val="left"/>
              <w:rPr>
                <w:rFonts w:ascii="Arial Narrow" w:eastAsia="Times New Roman" w:hAnsi="Arial Narrow"/>
                <w:b/>
                <w:lang w:eastAsia="en-US"/>
              </w:rPr>
            </w:pPr>
            <w:r w:rsidRPr="00BE56F3">
              <w:rPr>
                <w:rFonts w:ascii="Arial Narrow" w:eastAsia="Times New Roman" w:hAnsi="Arial Narrow"/>
                <w:b/>
                <w:lang w:eastAsia="en-US"/>
              </w:rPr>
              <w:t>ARTG number</w:t>
            </w:r>
          </w:p>
        </w:tc>
        <w:tc>
          <w:tcPr>
            <w:tcW w:w="1814" w:type="dxa"/>
          </w:tcPr>
          <w:p w:rsidR="00D8067A" w:rsidRPr="00BE56F3" w:rsidRDefault="00D8067A" w:rsidP="00BE56F3">
            <w:pPr>
              <w:tabs>
                <w:tab w:val="left" w:pos="2835"/>
              </w:tabs>
              <w:spacing w:after="0" w:line="360" w:lineRule="auto"/>
              <w:jc w:val="left"/>
              <w:rPr>
                <w:rFonts w:ascii="Arial Narrow" w:eastAsia="Times New Roman" w:hAnsi="Arial Narrow"/>
                <w:b/>
                <w:lang w:eastAsia="en-US"/>
              </w:rPr>
            </w:pPr>
            <w:r w:rsidRPr="00BE56F3">
              <w:rPr>
                <w:rFonts w:ascii="Arial Narrow" w:eastAsia="Times New Roman" w:hAnsi="Arial Narrow"/>
                <w:b/>
                <w:lang w:eastAsia="en-US"/>
              </w:rPr>
              <w:t>Approval date</w:t>
            </w:r>
          </w:p>
        </w:tc>
        <w:tc>
          <w:tcPr>
            <w:tcW w:w="1264" w:type="dxa"/>
          </w:tcPr>
          <w:p w:rsidR="00D8067A" w:rsidRPr="00BE56F3" w:rsidRDefault="00D8067A" w:rsidP="00BE56F3">
            <w:pPr>
              <w:tabs>
                <w:tab w:val="left" w:pos="2835"/>
              </w:tabs>
              <w:spacing w:after="0" w:line="360" w:lineRule="auto"/>
              <w:jc w:val="left"/>
              <w:rPr>
                <w:rFonts w:ascii="Arial Narrow" w:eastAsia="Times New Roman" w:hAnsi="Arial Narrow"/>
                <w:b/>
                <w:lang w:eastAsia="en-US"/>
              </w:rPr>
            </w:pPr>
            <w:r w:rsidRPr="00BE56F3">
              <w:rPr>
                <w:rFonts w:ascii="Arial Narrow" w:eastAsia="Times New Roman" w:hAnsi="Arial Narrow"/>
                <w:b/>
                <w:lang w:eastAsia="en-US"/>
              </w:rPr>
              <w:t>manufacturer</w:t>
            </w:r>
          </w:p>
        </w:tc>
        <w:tc>
          <w:tcPr>
            <w:tcW w:w="1909" w:type="dxa"/>
          </w:tcPr>
          <w:p w:rsidR="00D8067A" w:rsidRPr="00BE56F3" w:rsidRDefault="00D8067A" w:rsidP="00BE56F3">
            <w:pPr>
              <w:tabs>
                <w:tab w:val="left" w:pos="2835"/>
              </w:tabs>
              <w:spacing w:after="0" w:line="360" w:lineRule="auto"/>
              <w:jc w:val="left"/>
              <w:rPr>
                <w:rFonts w:ascii="Arial Narrow" w:eastAsia="Times New Roman" w:hAnsi="Arial Narrow"/>
                <w:b/>
                <w:lang w:eastAsia="en-US"/>
              </w:rPr>
            </w:pPr>
            <w:r w:rsidRPr="00BE56F3">
              <w:rPr>
                <w:rFonts w:ascii="Arial Narrow" w:eastAsia="Times New Roman" w:hAnsi="Arial Narrow"/>
                <w:b/>
                <w:lang w:eastAsia="en-US"/>
              </w:rPr>
              <w:t>Product</w:t>
            </w:r>
          </w:p>
        </w:tc>
        <w:tc>
          <w:tcPr>
            <w:tcW w:w="2755" w:type="dxa"/>
          </w:tcPr>
          <w:p w:rsidR="00D8067A" w:rsidRPr="00BE56F3" w:rsidRDefault="00D8067A" w:rsidP="00BE56F3">
            <w:pPr>
              <w:tabs>
                <w:tab w:val="left" w:pos="2835"/>
              </w:tabs>
              <w:spacing w:after="0" w:line="360" w:lineRule="auto"/>
              <w:jc w:val="left"/>
              <w:rPr>
                <w:rFonts w:ascii="Arial Narrow" w:eastAsia="Times New Roman" w:hAnsi="Arial Narrow"/>
                <w:b/>
                <w:lang w:eastAsia="en-US"/>
              </w:rPr>
            </w:pPr>
            <w:r w:rsidRPr="00BE56F3">
              <w:rPr>
                <w:rFonts w:ascii="Arial Narrow" w:eastAsia="Times New Roman" w:hAnsi="Arial Narrow"/>
                <w:b/>
                <w:lang w:eastAsia="en-US"/>
              </w:rPr>
              <w:t>Approved indication</w:t>
            </w:r>
          </w:p>
        </w:tc>
      </w:tr>
      <w:tr w:rsidR="00D8067A" w:rsidRPr="00075E36" w:rsidTr="003E0E84">
        <w:tc>
          <w:tcPr>
            <w:tcW w:w="1500"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97975</w:t>
            </w:r>
          </w:p>
        </w:tc>
        <w:tc>
          <w:tcPr>
            <w:tcW w:w="1814"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10/11/2003</w:t>
            </w:r>
          </w:p>
        </w:tc>
        <w:tc>
          <w:tcPr>
            <w:tcW w:w="1264"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 xml:space="preserve">GE Medical Systems </w:t>
            </w:r>
          </w:p>
        </w:tc>
        <w:tc>
          <w:tcPr>
            <w:tcW w:w="1909"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eastAsia="en-US"/>
              </w:rPr>
              <w:t xml:space="preserve">GE Medical Systems Australia Pty Ltd - X-ray system, diagnostic, bone </w:t>
            </w:r>
            <w:proofErr w:type="spellStart"/>
            <w:r w:rsidRPr="00BE56F3">
              <w:rPr>
                <w:rFonts w:ascii="Arial Narrow" w:hAnsi="Arial Narrow"/>
                <w:lang w:eastAsia="en-US"/>
              </w:rPr>
              <w:t>absorptiometer</w:t>
            </w:r>
            <w:proofErr w:type="spellEnd"/>
            <w:r w:rsidRPr="00BE56F3">
              <w:rPr>
                <w:rFonts w:ascii="Arial Narrow" w:hAnsi="Arial Narrow"/>
                <w:lang w:eastAsia="en-US"/>
              </w:rPr>
              <w:t>, dual-energy</w:t>
            </w:r>
          </w:p>
        </w:tc>
        <w:tc>
          <w:tcPr>
            <w:tcW w:w="2755"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x-ray imaging for bone densitometry</w:t>
            </w:r>
          </w:p>
        </w:tc>
      </w:tr>
      <w:tr w:rsidR="00D8067A" w:rsidRPr="00075E36" w:rsidTr="003E0E84">
        <w:tc>
          <w:tcPr>
            <w:tcW w:w="1500"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117461</w:t>
            </w:r>
          </w:p>
        </w:tc>
        <w:tc>
          <w:tcPr>
            <w:tcW w:w="1814"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16/03/2005</w:t>
            </w:r>
          </w:p>
        </w:tc>
        <w:tc>
          <w:tcPr>
            <w:tcW w:w="1264" w:type="dxa"/>
          </w:tcPr>
          <w:p w:rsidR="00D8067A" w:rsidRPr="00BE56F3" w:rsidRDefault="00D8067A" w:rsidP="00BE56F3">
            <w:pPr>
              <w:tabs>
                <w:tab w:val="left" w:pos="2835"/>
              </w:tabs>
              <w:spacing w:after="0" w:line="360" w:lineRule="auto"/>
              <w:jc w:val="left"/>
              <w:rPr>
                <w:rFonts w:ascii="Arial Narrow" w:hAnsi="Arial Narrow"/>
                <w:lang w:val="en-GB" w:eastAsia="ja-JP"/>
              </w:rPr>
            </w:pPr>
            <w:proofErr w:type="spellStart"/>
            <w:r w:rsidRPr="00BE56F3">
              <w:rPr>
                <w:rFonts w:ascii="Arial Narrow" w:hAnsi="Arial Narrow"/>
                <w:lang w:val="en-GB" w:eastAsia="ja-JP"/>
              </w:rPr>
              <w:t>Norland</w:t>
            </w:r>
            <w:proofErr w:type="spellEnd"/>
            <w:r w:rsidRPr="00BE56F3">
              <w:rPr>
                <w:rFonts w:ascii="Arial Narrow" w:hAnsi="Arial Narrow"/>
                <w:lang w:val="en-GB" w:eastAsia="ja-JP"/>
              </w:rPr>
              <w:t xml:space="preserve"> Corp</w:t>
            </w:r>
          </w:p>
        </w:tc>
        <w:tc>
          <w:tcPr>
            <w:tcW w:w="1909" w:type="dxa"/>
          </w:tcPr>
          <w:p w:rsidR="00D8067A" w:rsidRPr="00BE56F3" w:rsidRDefault="00D8067A" w:rsidP="00BE56F3">
            <w:pPr>
              <w:tabs>
                <w:tab w:val="left" w:pos="2835"/>
              </w:tabs>
              <w:spacing w:after="0" w:line="360" w:lineRule="auto"/>
              <w:jc w:val="left"/>
              <w:rPr>
                <w:rFonts w:ascii="Arial Narrow" w:hAnsi="Arial Narrow"/>
                <w:lang w:val="en-GB" w:eastAsia="ja-JP"/>
              </w:rPr>
            </w:pPr>
            <w:proofErr w:type="spellStart"/>
            <w:r w:rsidRPr="00BE56F3">
              <w:rPr>
                <w:rFonts w:ascii="Arial Narrow" w:hAnsi="Arial Narrow"/>
                <w:lang w:eastAsia="en-US"/>
              </w:rPr>
              <w:t>Inderlec</w:t>
            </w:r>
            <w:proofErr w:type="spellEnd"/>
            <w:r w:rsidRPr="00BE56F3">
              <w:rPr>
                <w:rFonts w:ascii="Arial Narrow" w:hAnsi="Arial Narrow"/>
                <w:lang w:eastAsia="en-US"/>
              </w:rPr>
              <w:t xml:space="preserve"> Medical Systems Pty Ltd - X-ray system, diagnostic, bone </w:t>
            </w:r>
            <w:proofErr w:type="spellStart"/>
            <w:r w:rsidRPr="00BE56F3">
              <w:rPr>
                <w:rFonts w:ascii="Arial Narrow" w:hAnsi="Arial Narrow"/>
                <w:lang w:eastAsia="en-US"/>
              </w:rPr>
              <w:t>absorptiometer</w:t>
            </w:r>
            <w:proofErr w:type="spellEnd"/>
            <w:r w:rsidRPr="00BE56F3">
              <w:rPr>
                <w:rFonts w:ascii="Arial Narrow" w:hAnsi="Arial Narrow"/>
                <w:lang w:eastAsia="en-US"/>
              </w:rPr>
              <w:t>, dual-energy</w:t>
            </w:r>
          </w:p>
        </w:tc>
        <w:tc>
          <w:tcPr>
            <w:tcW w:w="2755"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 xml:space="preserve">For the estimation of bone density and other structural parameters using x-ray absorptiometry for the purpose of aiding in the </w:t>
            </w:r>
            <w:proofErr w:type="spellStart"/>
            <w:r w:rsidRPr="00BE56F3">
              <w:rPr>
                <w:rFonts w:ascii="Arial Narrow" w:hAnsi="Arial Narrow"/>
                <w:lang w:val="en-GB" w:eastAsia="ja-JP"/>
              </w:rPr>
              <w:t>diagnoasis</w:t>
            </w:r>
            <w:proofErr w:type="spellEnd"/>
            <w:r w:rsidRPr="00BE56F3">
              <w:rPr>
                <w:rFonts w:ascii="Arial Narrow" w:hAnsi="Arial Narrow"/>
                <w:lang w:val="en-GB" w:eastAsia="ja-JP"/>
              </w:rPr>
              <w:t xml:space="preserve"> of osteoporosis including bone regeneration and loss.</w:t>
            </w:r>
          </w:p>
        </w:tc>
      </w:tr>
      <w:tr w:rsidR="00D8067A" w:rsidRPr="00075E36" w:rsidTr="003E0E84">
        <w:tc>
          <w:tcPr>
            <w:tcW w:w="1500"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119491</w:t>
            </w:r>
          </w:p>
        </w:tc>
        <w:tc>
          <w:tcPr>
            <w:tcW w:w="1814"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25/05/2005</w:t>
            </w:r>
          </w:p>
        </w:tc>
        <w:tc>
          <w:tcPr>
            <w:tcW w:w="1264" w:type="dxa"/>
          </w:tcPr>
          <w:p w:rsidR="00D8067A" w:rsidRPr="00BE56F3" w:rsidRDefault="00D8067A" w:rsidP="00BE56F3">
            <w:pPr>
              <w:tabs>
                <w:tab w:val="left" w:pos="2835"/>
              </w:tabs>
              <w:spacing w:after="0" w:line="360" w:lineRule="auto"/>
              <w:jc w:val="left"/>
              <w:rPr>
                <w:rFonts w:ascii="Arial Narrow" w:hAnsi="Arial Narrow"/>
                <w:lang w:val="en-GB" w:eastAsia="ja-JP"/>
              </w:rPr>
            </w:pPr>
            <w:proofErr w:type="spellStart"/>
            <w:r w:rsidRPr="00BE56F3">
              <w:rPr>
                <w:rFonts w:ascii="Arial Narrow" w:hAnsi="Arial Narrow"/>
                <w:lang w:val="en-GB" w:eastAsia="ja-JP"/>
              </w:rPr>
              <w:t>Medlink</w:t>
            </w:r>
            <w:proofErr w:type="spellEnd"/>
          </w:p>
        </w:tc>
        <w:tc>
          <w:tcPr>
            <w:tcW w:w="1909" w:type="dxa"/>
          </w:tcPr>
          <w:p w:rsidR="00D8067A" w:rsidRPr="00BE56F3" w:rsidRDefault="00D8067A" w:rsidP="00BE56F3">
            <w:pPr>
              <w:tabs>
                <w:tab w:val="left" w:pos="2835"/>
              </w:tabs>
              <w:spacing w:after="0" w:line="360" w:lineRule="auto"/>
              <w:jc w:val="left"/>
              <w:rPr>
                <w:rFonts w:ascii="Arial Narrow" w:hAnsi="Arial Narrow"/>
                <w:lang w:val="en-GB" w:eastAsia="ja-JP"/>
              </w:rPr>
            </w:pPr>
            <w:proofErr w:type="spellStart"/>
            <w:r w:rsidRPr="00BE56F3">
              <w:rPr>
                <w:rFonts w:ascii="Arial Narrow" w:hAnsi="Arial Narrow"/>
                <w:lang w:eastAsia="en-US"/>
              </w:rPr>
              <w:t>Inderlec</w:t>
            </w:r>
            <w:proofErr w:type="spellEnd"/>
            <w:r w:rsidRPr="00BE56F3">
              <w:rPr>
                <w:rFonts w:ascii="Arial Narrow" w:hAnsi="Arial Narrow"/>
                <w:lang w:eastAsia="en-US"/>
              </w:rPr>
              <w:t xml:space="preserve"> Medical Systems Pty Ltd - X-ray system, diagnostic, bone </w:t>
            </w:r>
            <w:proofErr w:type="spellStart"/>
            <w:r w:rsidRPr="00BE56F3">
              <w:rPr>
                <w:rFonts w:ascii="Arial Narrow" w:hAnsi="Arial Narrow"/>
                <w:lang w:eastAsia="en-US"/>
              </w:rPr>
              <w:t>absorptiometer</w:t>
            </w:r>
            <w:proofErr w:type="spellEnd"/>
            <w:r w:rsidRPr="00BE56F3">
              <w:rPr>
                <w:rFonts w:ascii="Arial Narrow" w:hAnsi="Arial Narrow"/>
                <w:lang w:eastAsia="en-US"/>
              </w:rPr>
              <w:t>, dual-energy</w:t>
            </w:r>
          </w:p>
        </w:tc>
        <w:tc>
          <w:tcPr>
            <w:tcW w:w="2755"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For the estimation of bone density and other structural parameters of bones using x-ray absorptiometry for the purpose of aiding in the diagnosis of osteoporosis including bone regeneration and loss.</w:t>
            </w:r>
          </w:p>
        </w:tc>
      </w:tr>
      <w:tr w:rsidR="00D8067A" w:rsidRPr="00075E36" w:rsidTr="003E0E84">
        <w:tc>
          <w:tcPr>
            <w:tcW w:w="1500"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158772</w:t>
            </w:r>
          </w:p>
        </w:tc>
        <w:tc>
          <w:tcPr>
            <w:tcW w:w="1814"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23/01/2009</w:t>
            </w:r>
          </w:p>
        </w:tc>
        <w:tc>
          <w:tcPr>
            <w:tcW w:w="1264" w:type="dxa"/>
          </w:tcPr>
          <w:p w:rsidR="00D8067A" w:rsidRPr="00BE56F3" w:rsidRDefault="00D8067A" w:rsidP="00BE56F3">
            <w:pPr>
              <w:tabs>
                <w:tab w:val="left" w:pos="2835"/>
              </w:tabs>
              <w:spacing w:after="0" w:line="360" w:lineRule="auto"/>
              <w:jc w:val="left"/>
              <w:rPr>
                <w:rFonts w:ascii="Arial Narrow" w:hAnsi="Arial Narrow"/>
                <w:lang w:val="en-GB" w:eastAsia="ja-JP"/>
              </w:rPr>
            </w:pPr>
            <w:proofErr w:type="spellStart"/>
            <w:r w:rsidRPr="00BE56F3">
              <w:rPr>
                <w:rFonts w:ascii="Arial Narrow" w:hAnsi="Arial Narrow"/>
                <w:lang w:val="en-GB" w:eastAsia="ja-JP"/>
              </w:rPr>
              <w:t>Hologic</w:t>
            </w:r>
            <w:proofErr w:type="spellEnd"/>
            <w:r w:rsidRPr="00BE56F3">
              <w:rPr>
                <w:rFonts w:ascii="Arial Narrow" w:hAnsi="Arial Narrow"/>
                <w:lang w:val="en-GB" w:eastAsia="ja-JP"/>
              </w:rPr>
              <w:t xml:space="preserve"> </w:t>
            </w:r>
            <w:proofErr w:type="spellStart"/>
            <w:r w:rsidRPr="00BE56F3">
              <w:rPr>
                <w:rFonts w:ascii="Arial Narrow" w:hAnsi="Arial Narrow"/>
                <w:lang w:val="en-GB" w:eastAsia="ja-JP"/>
              </w:rPr>
              <w:t>Inc</w:t>
            </w:r>
            <w:proofErr w:type="spellEnd"/>
          </w:p>
        </w:tc>
        <w:tc>
          <w:tcPr>
            <w:tcW w:w="1909" w:type="dxa"/>
          </w:tcPr>
          <w:p w:rsidR="00D8067A" w:rsidRPr="00BE56F3" w:rsidRDefault="00D8067A" w:rsidP="00BE56F3">
            <w:pPr>
              <w:tabs>
                <w:tab w:val="left" w:pos="2835"/>
              </w:tabs>
              <w:spacing w:after="0" w:line="360" w:lineRule="auto"/>
              <w:jc w:val="left"/>
              <w:rPr>
                <w:rFonts w:ascii="Arial Narrow" w:hAnsi="Arial Narrow"/>
                <w:lang w:val="en-GB" w:eastAsia="ja-JP"/>
              </w:rPr>
            </w:pPr>
            <w:proofErr w:type="spellStart"/>
            <w:r w:rsidRPr="00BE56F3">
              <w:rPr>
                <w:rFonts w:ascii="Arial Narrow" w:hAnsi="Arial Narrow"/>
                <w:lang w:eastAsia="en-US"/>
              </w:rPr>
              <w:t>Cytyc</w:t>
            </w:r>
            <w:proofErr w:type="spellEnd"/>
            <w:r w:rsidRPr="00BE56F3">
              <w:rPr>
                <w:rFonts w:ascii="Arial Narrow" w:hAnsi="Arial Narrow"/>
                <w:lang w:eastAsia="en-US"/>
              </w:rPr>
              <w:t xml:space="preserve"> Australia Pty Ltd - X-ray system, diagnostic, bone </w:t>
            </w:r>
            <w:proofErr w:type="spellStart"/>
            <w:r w:rsidRPr="00BE56F3">
              <w:rPr>
                <w:rFonts w:ascii="Arial Narrow" w:hAnsi="Arial Narrow"/>
                <w:lang w:eastAsia="en-US"/>
              </w:rPr>
              <w:t>absorptiometer</w:t>
            </w:r>
            <w:proofErr w:type="spellEnd"/>
            <w:r w:rsidRPr="00BE56F3">
              <w:rPr>
                <w:rFonts w:ascii="Arial Narrow" w:hAnsi="Arial Narrow"/>
                <w:lang w:eastAsia="en-US"/>
              </w:rPr>
              <w:t>, dual-energy</w:t>
            </w:r>
          </w:p>
        </w:tc>
        <w:tc>
          <w:tcPr>
            <w:tcW w:w="2755" w:type="dxa"/>
          </w:tcPr>
          <w:p w:rsidR="00D8067A" w:rsidRPr="00BE56F3" w:rsidRDefault="00D8067A" w:rsidP="00BE56F3">
            <w:pPr>
              <w:tabs>
                <w:tab w:val="left" w:pos="2835"/>
              </w:tabs>
              <w:spacing w:after="0" w:line="360" w:lineRule="auto"/>
              <w:jc w:val="left"/>
              <w:rPr>
                <w:rFonts w:ascii="Arial Narrow" w:hAnsi="Arial Narrow"/>
                <w:lang w:val="en-GB" w:eastAsia="ja-JP"/>
              </w:rPr>
            </w:pPr>
            <w:r w:rsidRPr="00BE56F3">
              <w:rPr>
                <w:rFonts w:ascii="Arial Narrow" w:hAnsi="Arial Narrow"/>
                <w:lang w:val="en-GB" w:eastAsia="ja-JP"/>
              </w:rPr>
              <w:t>Intended to be used to estimate bone density. The data can then be used to calculate bone mineral density.</w:t>
            </w:r>
          </w:p>
        </w:tc>
      </w:tr>
    </w:tbl>
    <w:p w:rsidR="0016253D" w:rsidRPr="00FA270C" w:rsidRDefault="0016253D" w:rsidP="0016253D">
      <w:pPr>
        <w:rPr>
          <w:rFonts w:ascii="Arial Narrow" w:hAnsi="Arial Narrow"/>
          <w:sz w:val="16"/>
          <w:szCs w:val="16"/>
          <w:lang w:eastAsia="ja-JP"/>
        </w:rPr>
      </w:pPr>
      <w:r w:rsidRPr="00FA270C">
        <w:rPr>
          <w:rFonts w:ascii="Arial Narrow" w:hAnsi="Arial Narrow"/>
          <w:sz w:val="16"/>
          <w:szCs w:val="16"/>
          <w:lang w:eastAsia="ja-JP"/>
        </w:rPr>
        <w:t xml:space="preserve">Taken from </w:t>
      </w:r>
      <w:hyperlink r:id="rId11" w:tooltip="This is a link to the TGA" w:history="1">
        <w:r w:rsidRPr="00FA270C">
          <w:rPr>
            <w:rStyle w:val="Hyperlink"/>
            <w:rFonts w:ascii="Arial Narrow" w:hAnsi="Arial Narrow" w:cs="Tahoma"/>
            <w:sz w:val="16"/>
            <w:szCs w:val="16"/>
            <w:lang w:eastAsia="ja-JP"/>
          </w:rPr>
          <w:t>https://www.ebs.tga.gov.au/</w:t>
        </w:r>
      </w:hyperlink>
      <w:r w:rsidRPr="00FA270C">
        <w:rPr>
          <w:rFonts w:ascii="Arial Narrow" w:hAnsi="Arial Narrow"/>
          <w:sz w:val="16"/>
          <w:szCs w:val="16"/>
          <w:lang w:eastAsia="ja-JP"/>
        </w:rPr>
        <w:t>, accessed 9 August 2012</w:t>
      </w:r>
    </w:p>
    <w:p w:rsidR="00D8067A" w:rsidRDefault="00D8067A" w:rsidP="00D34BAD">
      <w:pPr>
        <w:pStyle w:val="Heading1"/>
        <w:spacing w:after="240"/>
      </w:pPr>
      <w:bookmarkStart w:id="27" w:name="_Toc335905416"/>
      <w:bookmarkStart w:id="28" w:name="_Toc362968491"/>
      <w:r w:rsidRPr="00A34E9C">
        <w:t>Patient population</w:t>
      </w:r>
      <w:bookmarkEnd w:id="27"/>
      <w:bookmarkEnd w:id="28"/>
    </w:p>
    <w:p w:rsidR="00D23903" w:rsidRDefault="00D8067A" w:rsidP="00B70F4B">
      <w:r>
        <w:t>DXA scanning is proposed for women with breast cancer who are being considered for</w:t>
      </w:r>
      <w:r w:rsidR="00876F0F">
        <w:t>,</w:t>
      </w:r>
      <w:r>
        <w:t xml:space="preserve"> or are being treated with</w:t>
      </w:r>
      <w:r w:rsidR="00876F0F">
        <w:t>,</w:t>
      </w:r>
      <w:r>
        <w:t xml:space="preserve"> aromatase inhibitors and who are not otherwise eligible for a DXA scan.</w:t>
      </w:r>
      <w:r w:rsidR="00D23903" w:rsidRPr="00D23903">
        <w:t xml:space="preserve"> </w:t>
      </w:r>
      <w:r w:rsidR="00D23903">
        <w:t xml:space="preserve">PASC has identified the need to collect evidence around the rate of bone loss in patients who are treatment naïve, patients who are aromatase inhibitor naïve and patients who have been on aromatase </w:t>
      </w:r>
      <w:r w:rsidR="00D23903">
        <w:lastRenderedPageBreak/>
        <w:t xml:space="preserve">inhibitors for some time. Where available, the assessment phase should present evidence on these patient groups separately. </w:t>
      </w:r>
    </w:p>
    <w:p w:rsidR="00D8067A" w:rsidRDefault="00767E0C" w:rsidP="00B70F4B">
      <w:r>
        <w:t xml:space="preserve">In the context of this DAP the patient population is women who are being treated with aromatase inhibitors. </w:t>
      </w:r>
      <w:r w:rsidR="00D8067A">
        <w:t>At the assessment phase this patient population should be further stratified to identify relevant outcomes for:</w:t>
      </w:r>
    </w:p>
    <w:p w:rsidR="0094620B" w:rsidRDefault="00D8067A" w:rsidP="007F21B5">
      <w:pPr>
        <w:pStyle w:val="ListParagraph"/>
        <w:numPr>
          <w:ilvl w:val="0"/>
          <w:numId w:val="14"/>
        </w:numPr>
      </w:pPr>
      <w:r>
        <w:t xml:space="preserve">Post-menopausal women with breast cancer </w:t>
      </w:r>
      <w:r w:rsidR="0094620B">
        <w:t xml:space="preserve">currently </w:t>
      </w:r>
      <w:r>
        <w:t>taking aromatase inhibitors.</w:t>
      </w:r>
    </w:p>
    <w:p w:rsidR="00D8067A" w:rsidRDefault="00D8067A" w:rsidP="00615E23">
      <w:pPr>
        <w:pStyle w:val="ListParagraph"/>
        <w:numPr>
          <w:ilvl w:val="0"/>
          <w:numId w:val="14"/>
        </w:numPr>
      </w:pPr>
      <w:r>
        <w:t xml:space="preserve">Women taking aromatase inhibitors who have previously been treated with </w:t>
      </w:r>
      <w:proofErr w:type="spellStart"/>
      <w:r>
        <w:t>tamoxifen</w:t>
      </w:r>
      <w:proofErr w:type="spellEnd"/>
    </w:p>
    <w:p w:rsidR="00D8067A" w:rsidRPr="00C6264F" w:rsidRDefault="00D8067A" w:rsidP="00C6264F">
      <w:pPr>
        <w:rPr>
          <w:u w:val="single"/>
        </w:rPr>
      </w:pPr>
      <w:r w:rsidRPr="00C6264F">
        <w:rPr>
          <w:u w:val="single"/>
        </w:rPr>
        <w:t>Risk factors</w:t>
      </w:r>
    </w:p>
    <w:p w:rsidR="00D8067A" w:rsidRDefault="00D8067A" w:rsidP="00C6264F">
      <w:r w:rsidRPr="0094620B">
        <w:t xml:space="preserve">The specific risk factors associated with this population are </w:t>
      </w:r>
      <w:r w:rsidR="00876F0F" w:rsidRPr="00673257">
        <w:t xml:space="preserve">sex </w:t>
      </w:r>
      <w:r w:rsidRPr="00673257">
        <w:t>(</w:t>
      </w:r>
      <w:r w:rsidR="00876F0F" w:rsidRPr="00673257">
        <w:t>female</w:t>
      </w:r>
      <w:r w:rsidRPr="0094620B">
        <w:t>) and treatment with aromatase inhibitors.</w:t>
      </w:r>
      <w:r>
        <w:t xml:space="preserve"> </w:t>
      </w:r>
    </w:p>
    <w:p w:rsidR="00D8067A" w:rsidRPr="00C6264F" w:rsidRDefault="00D8067A" w:rsidP="00C6264F">
      <w:pPr>
        <w:rPr>
          <w:u w:val="single"/>
        </w:rPr>
      </w:pPr>
      <w:r w:rsidRPr="00C6264F">
        <w:rPr>
          <w:u w:val="single"/>
        </w:rPr>
        <w:t>Baseline population</w:t>
      </w:r>
    </w:p>
    <w:p w:rsidR="00BC4AF1" w:rsidRDefault="00D8067A" w:rsidP="00C6264F">
      <w:r>
        <w:t xml:space="preserve">The baseline population for this application is postmenopausal women. </w:t>
      </w:r>
    </w:p>
    <w:p w:rsidR="00D8067A" w:rsidRPr="00C6264F" w:rsidRDefault="00D8067A" w:rsidP="00C6264F">
      <w:pPr>
        <w:rPr>
          <w:u w:val="single"/>
        </w:rPr>
      </w:pPr>
      <w:r w:rsidRPr="00C6264F">
        <w:rPr>
          <w:u w:val="single"/>
        </w:rPr>
        <w:t>Benchmark population</w:t>
      </w:r>
    </w:p>
    <w:p w:rsidR="00D8067A" w:rsidRDefault="009144E6" w:rsidP="00C6264F">
      <w:r>
        <w:t>People</w:t>
      </w:r>
      <w:r w:rsidR="00D8067A">
        <w:t xml:space="preserve"> on prolonged glucocorticoid therapy, a medication associated with rapid bone loss</w:t>
      </w:r>
      <w:r w:rsidR="0016253D">
        <w:t xml:space="preserve"> </w:t>
      </w:r>
      <w:r w:rsidR="00D8067A">
        <w:t>and currently eligible for DXA scanning through MBS item 12312. These patients are also el</w:t>
      </w:r>
      <w:r w:rsidR="0016253D">
        <w:t>i</w:t>
      </w:r>
      <w:r w:rsidR="00D8067A">
        <w:t xml:space="preserve">gible for PBS subsidy of bisphosphonates. </w:t>
      </w:r>
      <w:r w:rsidR="00D8067A" w:rsidRPr="008B4862">
        <w:t xml:space="preserve">The PBS eligibility threshold for </w:t>
      </w:r>
      <w:r w:rsidR="00D8067A">
        <w:t xml:space="preserve">patients taking </w:t>
      </w:r>
      <w:r w:rsidR="00D8067A" w:rsidRPr="008B4862">
        <w:t xml:space="preserve">glucocorticoid </w:t>
      </w:r>
      <w:r w:rsidR="00D8067A">
        <w:t>medications</w:t>
      </w:r>
      <w:r w:rsidR="00D8067A" w:rsidRPr="008B4862">
        <w:t xml:space="preserve"> is a T-</w:t>
      </w:r>
      <w:r w:rsidR="00D8067A" w:rsidRPr="005E3245">
        <w:t xml:space="preserve">score of </w:t>
      </w:r>
      <w:r w:rsidR="00D8067A" w:rsidRPr="00473509">
        <w:t xml:space="preserve">- </w:t>
      </w:r>
      <w:r w:rsidR="00D8067A" w:rsidRPr="003E0E84">
        <w:t xml:space="preserve">1.5 or less in the case of </w:t>
      </w:r>
      <w:proofErr w:type="spellStart"/>
      <w:r w:rsidR="00D8067A" w:rsidRPr="003E0E84">
        <w:t>zoledronic</w:t>
      </w:r>
      <w:proofErr w:type="spellEnd"/>
      <w:r w:rsidR="00D8067A" w:rsidRPr="003E0E84">
        <w:t xml:space="preserve"> acid and -1.0 or less in the case of </w:t>
      </w:r>
      <w:proofErr w:type="spellStart"/>
      <w:r w:rsidR="00D8067A" w:rsidRPr="003E0E84">
        <w:t>risedronate</w:t>
      </w:r>
      <w:proofErr w:type="spellEnd"/>
      <w:r w:rsidR="00D8067A" w:rsidRPr="003E0E84">
        <w:t>.</w:t>
      </w:r>
    </w:p>
    <w:p w:rsidR="00D8067A" w:rsidRPr="00C6264F" w:rsidRDefault="00D8067A" w:rsidP="007F18C0">
      <w:pPr>
        <w:rPr>
          <w:u w:val="single"/>
        </w:rPr>
      </w:pPr>
      <w:r w:rsidRPr="00C6264F">
        <w:rPr>
          <w:u w:val="single"/>
        </w:rPr>
        <w:t>Questions for the review relating to the population:</w:t>
      </w:r>
    </w:p>
    <w:p w:rsidR="00D8067A" w:rsidRPr="007F18C0" w:rsidRDefault="00D8067A" w:rsidP="0016253D">
      <w:pPr>
        <w:pStyle w:val="ListParagraph"/>
        <w:numPr>
          <w:ilvl w:val="0"/>
          <w:numId w:val="42"/>
        </w:numPr>
      </w:pPr>
      <w:r w:rsidRPr="007F18C0">
        <w:t xml:space="preserve">What is the risk of minimal trauma fracture (possibly informed by the surrogate of </w:t>
      </w:r>
      <w:r>
        <w:t xml:space="preserve">rate of </w:t>
      </w:r>
      <w:r w:rsidRPr="007F18C0">
        <w:t>loss of bone mineral density) in the proposed population (with no intervention) compared to minimal trauma fracture in the baseline population (with no intervention)? This will confirm the clinical need for testing for bone mineral density in this population.</w:t>
      </w:r>
    </w:p>
    <w:p w:rsidR="00D8067A" w:rsidRDefault="00D8067A" w:rsidP="0016253D">
      <w:pPr>
        <w:pStyle w:val="ListParagraph"/>
        <w:numPr>
          <w:ilvl w:val="0"/>
          <w:numId w:val="42"/>
        </w:numPr>
      </w:pPr>
      <w:r>
        <w:t xml:space="preserve">What is the effect of previous treatment with </w:t>
      </w:r>
      <w:proofErr w:type="spellStart"/>
      <w:r>
        <w:t>tamoxifen</w:t>
      </w:r>
      <w:proofErr w:type="spellEnd"/>
      <w:r>
        <w:t xml:space="preserve"> on minimal trauma fracture or BMD?</w:t>
      </w:r>
    </w:p>
    <w:p w:rsidR="00D8067A" w:rsidRPr="005E19F7" w:rsidRDefault="00D8067A" w:rsidP="0016253D">
      <w:pPr>
        <w:pStyle w:val="ListParagraph"/>
        <w:numPr>
          <w:ilvl w:val="0"/>
          <w:numId w:val="42"/>
        </w:numPr>
      </w:pPr>
      <w:r w:rsidRPr="007F18C0">
        <w:t xml:space="preserve">What is the rate of bone mineral density loss in the proposed population? What is the rate of bone mineral density loss in the benchmark population? This will provide information regarding the frequency of re-testing and monitoring for the proposed population in light of evidence pertaining to the benchmark population who are already eligible for BMD scanning through the MBS. </w:t>
      </w:r>
      <w:r w:rsidRPr="005E19F7">
        <w:t xml:space="preserve">For the benchmark population (patients taking glucocorticoid therapy) annual retesting is supported by MBS item 12312. </w:t>
      </w:r>
    </w:p>
    <w:p w:rsidR="00D8067A" w:rsidRPr="005E19F7" w:rsidRDefault="00D8067A" w:rsidP="0016253D">
      <w:pPr>
        <w:pStyle w:val="ListParagraph"/>
        <w:numPr>
          <w:ilvl w:val="0"/>
          <w:numId w:val="42"/>
        </w:numPr>
      </w:pPr>
      <w:r w:rsidRPr="005E19F7">
        <w:t>Are there any other prognostic factors such as age or other medications which impact on the risk of this population to low BMD or MTF?</w:t>
      </w:r>
    </w:p>
    <w:p w:rsidR="00D8067A" w:rsidRDefault="00D8067A" w:rsidP="00C6264F"/>
    <w:p w:rsidR="009144E6" w:rsidRDefault="009144E6" w:rsidP="00C6264F"/>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D8067A" w:rsidRPr="002D2623" w:rsidTr="00BE56F3">
        <w:tc>
          <w:tcPr>
            <w:tcW w:w="9242" w:type="dxa"/>
            <w:tcBorders>
              <w:top w:val="single" w:sz="18" w:space="0" w:color="auto"/>
              <w:bottom w:val="single" w:sz="18" w:space="0" w:color="auto"/>
            </w:tcBorders>
          </w:tcPr>
          <w:p w:rsidR="00D8067A" w:rsidRPr="00BE56F3" w:rsidRDefault="00D8067A" w:rsidP="002D2623">
            <w:pPr>
              <w:rPr>
                <w:b/>
              </w:rPr>
            </w:pPr>
            <w:r w:rsidRPr="00BE56F3">
              <w:rPr>
                <w:b/>
              </w:rPr>
              <w:lastRenderedPageBreak/>
              <w:t>Summary of the approach to assessment for the population</w:t>
            </w:r>
          </w:p>
          <w:p w:rsidR="00D8067A" w:rsidRDefault="00D8067A" w:rsidP="00BE56F3">
            <w:pPr>
              <w:tabs>
                <w:tab w:val="left" w:pos="2835"/>
              </w:tabs>
              <w:spacing w:before="40"/>
            </w:pPr>
            <w:r w:rsidRPr="002D2623">
              <w:t xml:space="preserve">The </w:t>
            </w:r>
            <w:r w:rsidRPr="00BE56F3">
              <w:rPr>
                <w:b/>
              </w:rPr>
              <w:t>population</w:t>
            </w:r>
            <w:r w:rsidRPr="002D2623">
              <w:t xml:space="preserve"> is women with breast cancer who are being treated with aromatase inhibitors and who are not otherwise eligible for a DXA scan.</w:t>
            </w:r>
            <w:r>
              <w:t xml:space="preserve"> There is no age restriction. </w:t>
            </w:r>
          </w:p>
          <w:p w:rsidR="00D8067A" w:rsidRDefault="00D8067A" w:rsidP="00BE56F3">
            <w:pPr>
              <w:tabs>
                <w:tab w:val="left" w:pos="2835"/>
              </w:tabs>
              <w:spacing w:before="40"/>
            </w:pPr>
            <w:r>
              <w:t xml:space="preserve">Subpopulations within this population include: </w:t>
            </w:r>
          </w:p>
          <w:p w:rsidR="00D8067A" w:rsidRDefault="00D8067A" w:rsidP="00BE56F3">
            <w:pPr>
              <w:pStyle w:val="ListParagraph"/>
              <w:numPr>
                <w:ilvl w:val="0"/>
                <w:numId w:val="14"/>
              </w:numPr>
              <w:tabs>
                <w:tab w:val="left" w:pos="2835"/>
              </w:tabs>
              <w:spacing w:before="40"/>
            </w:pPr>
            <w:r w:rsidRPr="004069E6">
              <w:t xml:space="preserve">Women taking aromatase inhibitors who have previously been treated with </w:t>
            </w:r>
            <w:proofErr w:type="spellStart"/>
            <w:r>
              <w:t>tamoxifen</w:t>
            </w:r>
            <w:proofErr w:type="spellEnd"/>
          </w:p>
          <w:p w:rsidR="00D8067A" w:rsidRDefault="00D8067A" w:rsidP="00BE56F3">
            <w:pPr>
              <w:tabs>
                <w:tab w:val="left" w:pos="2835"/>
              </w:tabs>
              <w:spacing w:before="40"/>
            </w:pPr>
            <w:r w:rsidRPr="002D2623">
              <w:t xml:space="preserve">The </w:t>
            </w:r>
            <w:r w:rsidRPr="00BE56F3">
              <w:rPr>
                <w:b/>
              </w:rPr>
              <w:t>baseline population</w:t>
            </w:r>
            <w:r w:rsidRPr="002D2623">
              <w:t xml:space="preserve"> for </w:t>
            </w:r>
            <w:proofErr w:type="gramStart"/>
            <w:r>
              <w:t>this DAP</w:t>
            </w:r>
            <w:proofErr w:type="gramEnd"/>
            <w:r>
              <w:t xml:space="preserve"> is </w:t>
            </w:r>
            <w:r w:rsidRPr="002D2623">
              <w:t xml:space="preserve">postmenopausal women. </w:t>
            </w:r>
            <w:r>
              <w:t>The</w:t>
            </w:r>
            <w:r w:rsidRPr="002D2623">
              <w:t xml:space="preserve"> </w:t>
            </w:r>
            <w:r w:rsidRPr="00BE56F3">
              <w:rPr>
                <w:b/>
              </w:rPr>
              <w:t>benchmark population</w:t>
            </w:r>
            <w:r w:rsidRPr="002D2623">
              <w:t xml:space="preserve"> for </w:t>
            </w:r>
            <w:proofErr w:type="gramStart"/>
            <w:r w:rsidRPr="002D2623">
              <w:t>this DAP</w:t>
            </w:r>
            <w:proofErr w:type="gramEnd"/>
            <w:r>
              <w:t xml:space="preserve"> is </w:t>
            </w:r>
            <w:r w:rsidRPr="002D2623">
              <w:t>people taking glucocorticoid therapy</w:t>
            </w:r>
            <w:r>
              <w:t>.</w:t>
            </w:r>
          </w:p>
          <w:p w:rsidR="00D8067A" w:rsidRDefault="00D8067A" w:rsidP="00BE56F3">
            <w:pPr>
              <w:tabs>
                <w:tab w:val="left" w:pos="2835"/>
              </w:tabs>
              <w:spacing w:before="40"/>
            </w:pPr>
            <w:r>
              <w:t>The assessment of evidence should provide evidence on:</w:t>
            </w:r>
          </w:p>
          <w:p w:rsidR="00D8067A" w:rsidRDefault="00D8067A" w:rsidP="00BE56F3">
            <w:pPr>
              <w:pStyle w:val="ListParagraph"/>
              <w:numPr>
                <w:ilvl w:val="0"/>
                <w:numId w:val="23"/>
              </w:numPr>
              <w:tabs>
                <w:tab w:val="left" w:pos="2835"/>
              </w:tabs>
              <w:spacing w:before="40"/>
            </w:pPr>
            <w:r>
              <w:t>the rate of bone loss and minimal trauma fracture for women on aromatase inhibitors taking anti-</w:t>
            </w:r>
            <w:proofErr w:type="spellStart"/>
            <w:r>
              <w:t>re</w:t>
            </w:r>
            <w:r w:rsidR="00876F0F">
              <w:t>s</w:t>
            </w:r>
            <w:r>
              <w:t>orptive</w:t>
            </w:r>
            <w:proofErr w:type="spellEnd"/>
            <w:r>
              <w:t xml:space="preserve"> agents;</w:t>
            </w:r>
          </w:p>
          <w:p w:rsidR="00D8067A" w:rsidRDefault="00D8067A" w:rsidP="00BE56F3">
            <w:pPr>
              <w:pStyle w:val="ListParagraph"/>
              <w:numPr>
                <w:ilvl w:val="0"/>
                <w:numId w:val="23"/>
              </w:numPr>
              <w:tabs>
                <w:tab w:val="left" w:pos="2835"/>
              </w:tabs>
              <w:spacing w:before="40"/>
            </w:pPr>
            <w:r>
              <w:t>the rate of bone loss and minimal trauma fracture for women on aromatase inhibitors not taking anti-</w:t>
            </w:r>
            <w:proofErr w:type="spellStart"/>
            <w:r>
              <w:t>reso</w:t>
            </w:r>
            <w:r w:rsidR="00876F0F">
              <w:t>r</w:t>
            </w:r>
            <w:r>
              <w:t>ptive</w:t>
            </w:r>
            <w:proofErr w:type="spellEnd"/>
            <w:r>
              <w:t xml:space="preserve"> agents; and</w:t>
            </w:r>
          </w:p>
          <w:p w:rsidR="00D8067A" w:rsidRDefault="00D8067A" w:rsidP="00BE56F3">
            <w:pPr>
              <w:pStyle w:val="ListParagraph"/>
              <w:numPr>
                <w:ilvl w:val="0"/>
                <w:numId w:val="23"/>
              </w:numPr>
              <w:tabs>
                <w:tab w:val="left" w:pos="2835"/>
              </w:tabs>
              <w:spacing w:before="40"/>
            </w:pPr>
            <w:proofErr w:type="gramStart"/>
            <w:r>
              <w:t>the</w:t>
            </w:r>
            <w:proofErr w:type="gramEnd"/>
            <w:r>
              <w:t xml:space="preserve"> rate of bone loss and minimal trauma fracture in women following menopause.</w:t>
            </w:r>
          </w:p>
          <w:p w:rsidR="00D8067A" w:rsidRDefault="00D8067A" w:rsidP="00BE56F3">
            <w:pPr>
              <w:tabs>
                <w:tab w:val="left" w:pos="2835"/>
              </w:tabs>
              <w:spacing w:before="40"/>
            </w:pPr>
            <w:r>
              <w:t xml:space="preserve">This will be used to identify the baseline risk levels of minimal trauma fracture in the proposed population as compared to the baseline and benchmark populations. In the context of this DAP PASC has accepted change in BMD as measured by DXA as an appropriate surrogate marker for </w:t>
            </w:r>
            <w:proofErr w:type="gramStart"/>
            <w:r>
              <w:t>risk.</w:t>
            </w:r>
            <w:proofErr w:type="gramEnd"/>
            <w:r>
              <w:t xml:space="preserve"> </w:t>
            </w:r>
          </w:p>
          <w:p w:rsidR="00D8067A" w:rsidRDefault="00D8067A" w:rsidP="00BE56F3">
            <w:pPr>
              <w:tabs>
                <w:tab w:val="left" w:pos="2835"/>
              </w:tabs>
              <w:spacing w:before="40"/>
            </w:pPr>
            <w:r w:rsidRPr="00BE56F3">
              <w:rPr>
                <w:b/>
              </w:rPr>
              <w:t>Note that</w:t>
            </w:r>
            <w:r>
              <w:t xml:space="preserve"> a comparison of the rate of bone loss in the target population to the baseline and benchmark populations will need to take into account the age of persons within those populations as age is also a risk factor for bone mineral density loss. </w:t>
            </w:r>
          </w:p>
          <w:p w:rsidR="00D8067A" w:rsidRPr="00BE56F3" w:rsidRDefault="00D8067A" w:rsidP="007F18C0">
            <w:pPr>
              <w:rPr>
                <w:b/>
              </w:rPr>
            </w:pPr>
            <w:r w:rsidRPr="00BE56F3">
              <w:rPr>
                <w:b/>
              </w:rPr>
              <w:t>Excluded populations</w:t>
            </w:r>
          </w:p>
          <w:p w:rsidR="00D8067A" w:rsidRPr="007F18C0" w:rsidRDefault="00D8067A" w:rsidP="00BE56F3">
            <w:pPr>
              <w:numPr>
                <w:ilvl w:val="0"/>
                <w:numId w:val="22"/>
              </w:numPr>
              <w:ind w:left="714" w:hanging="357"/>
              <w:contextualSpacing/>
            </w:pPr>
            <w:r w:rsidRPr="007F18C0">
              <w:t>All patients at age 70 and over are excluded, as these are eligible for current MBS items for DXA scanning.</w:t>
            </w:r>
          </w:p>
          <w:p w:rsidR="00D8067A" w:rsidRDefault="00D8067A" w:rsidP="00BC4AF1">
            <w:pPr>
              <w:numPr>
                <w:ilvl w:val="0"/>
                <w:numId w:val="22"/>
              </w:numPr>
              <w:ind w:left="714" w:hanging="357"/>
              <w:contextualSpacing/>
            </w:pPr>
            <w:r w:rsidRPr="007F18C0">
              <w:t>Patients presenting with a minimal trauma fracture are excluded, as these are eligible for current MBS items for DXA scanning (12306, 12309).</w:t>
            </w:r>
          </w:p>
          <w:p w:rsidR="00D8067A" w:rsidRPr="002D2623" w:rsidRDefault="00E31B1A" w:rsidP="004442FC">
            <w:pPr>
              <w:numPr>
                <w:ilvl w:val="0"/>
                <w:numId w:val="22"/>
              </w:numPr>
              <w:ind w:left="714" w:hanging="357"/>
              <w:contextualSpacing/>
              <w:rPr>
                <w:b/>
                <w:color w:val="215868"/>
                <w:lang w:val="en-GB"/>
              </w:rPr>
            </w:pPr>
            <w:r w:rsidRPr="00E31B1A">
              <w:t>Women taking aromatase inhibitors who have undergone premature menopause as a result of treatment for breast cancer</w:t>
            </w:r>
            <w:r>
              <w:t xml:space="preserve"> (12312)</w:t>
            </w:r>
            <w:r w:rsidRPr="00E31B1A">
              <w:t>.</w:t>
            </w:r>
            <w:r w:rsidR="00D8067A" w:rsidRPr="007F18C0">
              <w:t>Patients eligible for any other current MBS item for DXA scanning are excluded.</w:t>
            </w:r>
          </w:p>
        </w:tc>
      </w:tr>
    </w:tbl>
    <w:p w:rsidR="00D8067A" w:rsidRPr="00F1331A" w:rsidRDefault="00D8067A" w:rsidP="00C6264F"/>
    <w:p w:rsidR="00D8067A" w:rsidRDefault="00D8067A" w:rsidP="00D34BAD">
      <w:pPr>
        <w:pStyle w:val="Heading2"/>
        <w:spacing w:after="240"/>
      </w:pPr>
      <w:bookmarkStart w:id="29" w:name="_Toc335905417"/>
      <w:bookmarkStart w:id="30" w:name="_Toc362968492"/>
      <w:r w:rsidRPr="00A34E9C">
        <w:t>Proposed MBS listing</w:t>
      </w:r>
      <w:bookmarkEnd w:id="29"/>
      <w:bookmarkEnd w:id="30"/>
    </w:p>
    <w:p w:rsidR="00D8067A" w:rsidRPr="007F18C0" w:rsidRDefault="00D8067A" w:rsidP="007F18C0">
      <w:pPr>
        <w:rPr>
          <w:lang w:val="en-GB" w:eastAsia="ja-JP"/>
        </w:rPr>
      </w:pPr>
      <w:r w:rsidRPr="007F18C0">
        <w:rPr>
          <w:lang w:val="en-GB" w:eastAsia="ja-JP"/>
        </w:rPr>
        <w:t xml:space="preserve">The proposed MBS item is shown in </w:t>
      </w:r>
      <w:r w:rsidRPr="007F18C0">
        <w:rPr>
          <w:lang w:val="en-GB" w:eastAsia="ja-JP"/>
        </w:rPr>
        <w:fldChar w:fldCharType="begin"/>
      </w:r>
      <w:r w:rsidRPr="007F18C0">
        <w:rPr>
          <w:lang w:val="en-GB" w:eastAsia="ja-JP"/>
        </w:rPr>
        <w:instrText xml:space="preserve"> REF _Ref357605728 \h </w:instrText>
      </w:r>
      <w:r w:rsidRPr="007F18C0">
        <w:rPr>
          <w:lang w:val="en-GB" w:eastAsia="ja-JP"/>
        </w:rPr>
      </w:r>
      <w:r w:rsidRPr="007F18C0">
        <w:rPr>
          <w:lang w:val="en-GB" w:eastAsia="ja-JP"/>
        </w:rPr>
        <w:fldChar w:fldCharType="separate"/>
      </w:r>
      <w:r w:rsidR="00CD3C9F">
        <w:rPr>
          <w:b/>
          <w:bCs/>
          <w:lang w:val="en-US" w:eastAsia="ja-JP"/>
        </w:rPr>
        <w:t>Error! Reference source not found.</w:t>
      </w:r>
      <w:r w:rsidRPr="007F18C0">
        <w:rPr>
          <w:lang w:val="en-GB" w:eastAsia="ja-JP"/>
        </w:rPr>
        <w:fldChar w:fldCharType="end"/>
      </w:r>
      <w:r w:rsidRPr="007F18C0">
        <w:rPr>
          <w:lang w:val="en-GB" w:eastAsia="ja-JP"/>
        </w:rPr>
        <w:t>. For patients with T-scores ≤-2.5 repeat scans would be available through the existing MBS item 12306.</w:t>
      </w:r>
    </w:p>
    <w:p w:rsidR="00D8067A" w:rsidRPr="007F18C0" w:rsidRDefault="00D8067A" w:rsidP="007F18C0">
      <w:pPr>
        <w:rPr>
          <w:lang w:val="en-GB" w:eastAsia="ja-JP"/>
        </w:rPr>
      </w:pPr>
      <w:r w:rsidRPr="007F18C0">
        <w:rPr>
          <w:lang w:val="en-GB" w:eastAsia="ja-JP"/>
        </w:rPr>
        <w:t>The proposed item would be in addition to existing MBS items for DXA. At 70 all patients will be eligible for existing MBS item 12323.</w:t>
      </w:r>
    </w:p>
    <w:p w:rsidR="00D8067A" w:rsidRDefault="00D8067A" w:rsidP="00075E36">
      <w:pPr>
        <w:pStyle w:val="Caption"/>
      </w:pPr>
      <w:r>
        <w:lastRenderedPageBreak/>
        <w:t xml:space="preserve">Table </w:t>
      </w:r>
      <w:r w:rsidR="00876F0F">
        <w:fldChar w:fldCharType="begin"/>
      </w:r>
      <w:r w:rsidR="00876F0F">
        <w:instrText xml:space="preserve"> SEQ Table \* ARABIC </w:instrText>
      </w:r>
      <w:r w:rsidR="00876F0F">
        <w:fldChar w:fldCharType="separate"/>
      </w:r>
      <w:r w:rsidR="00CD3C9F">
        <w:rPr>
          <w:noProof/>
        </w:rPr>
        <w:t>5</w:t>
      </w:r>
      <w:r w:rsidR="00876F0F">
        <w:rPr>
          <w:noProof/>
        </w:rPr>
        <w:fldChar w:fldCharType="end"/>
      </w:r>
      <w:r>
        <w:t xml:space="preserve"> P</w:t>
      </w:r>
      <w:r w:rsidRPr="002E41A0">
        <w:t>roposed MBS item</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D8067A" w:rsidRPr="00075E36" w:rsidTr="00AE6A47">
        <w:tc>
          <w:tcPr>
            <w:tcW w:w="9134" w:type="dxa"/>
          </w:tcPr>
          <w:p w:rsidR="00D8067A" w:rsidRPr="00075E36" w:rsidRDefault="00D8067A" w:rsidP="001B2CF7">
            <w:pPr>
              <w:spacing w:after="0" w:line="360" w:lineRule="auto"/>
              <w:jc w:val="right"/>
              <w:rPr>
                <w:rFonts w:ascii="Arial Narrow" w:hAnsi="Arial Narrow"/>
                <w:lang w:eastAsia="ja-JP"/>
              </w:rPr>
            </w:pPr>
            <w:r w:rsidRPr="00075E36">
              <w:rPr>
                <w:rFonts w:ascii="Arial Narrow" w:hAnsi="Arial Narrow"/>
                <w:lang w:eastAsia="ja-JP"/>
              </w:rPr>
              <w:t>Category 2 – DIAGNOSTIC PROCEDURES AND INVESTIGATIONS, Bone Densitometry</w:t>
            </w:r>
          </w:p>
        </w:tc>
      </w:tr>
      <w:tr w:rsidR="00D8067A" w:rsidRPr="00075E36" w:rsidTr="00AE6A47">
        <w:tc>
          <w:tcPr>
            <w:tcW w:w="9134" w:type="dxa"/>
          </w:tcPr>
          <w:p w:rsidR="00D8067A" w:rsidRPr="00075E36" w:rsidRDefault="00D8067A" w:rsidP="001B2CF7">
            <w:pPr>
              <w:spacing w:after="0" w:line="360" w:lineRule="auto"/>
              <w:rPr>
                <w:rFonts w:ascii="Arial Narrow" w:hAnsi="Arial Narrow"/>
                <w:lang w:eastAsia="ja-JP"/>
              </w:rPr>
            </w:pPr>
            <w:r w:rsidRPr="00075E36">
              <w:rPr>
                <w:rFonts w:ascii="Arial Narrow" w:hAnsi="Arial Narrow"/>
                <w:lang w:eastAsia="ja-JP"/>
              </w:rPr>
              <w:t xml:space="preserve">MBS </w:t>
            </w:r>
            <w:r w:rsidR="00807D54">
              <w:rPr>
                <w:rFonts w:ascii="Arial Narrow" w:hAnsi="Arial Narrow"/>
                <w:lang w:eastAsia="ja-JP"/>
              </w:rPr>
              <w:t>XXXXX</w:t>
            </w:r>
          </w:p>
          <w:p w:rsidR="00D8067A" w:rsidRPr="00075E36" w:rsidRDefault="00D8067A" w:rsidP="001B2CF7">
            <w:pPr>
              <w:spacing w:after="0" w:line="360" w:lineRule="auto"/>
              <w:rPr>
                <w:rFonts w:ascii="Arial Narrow" w:hAnsi="Arial Narrow"/>
                <w:lang w:eastAsia="ja-JP"/>
              </w:rPr>
            </w:pPr>
            <w:r w:rsidRPr="00075E36">
              <w:rPr>
                <w:rFonts w:ascii="Arial Narrow" w:hAnsi="Arial Narrow"/>
                <w:lang w:eastAsia="ja-JP"/>
              </w:rPr>
              <w:t xml:space="preserve">Bone densitometry (performed by a specialist or consultant physician where the patient is referred </w:t>
            </w:r>
            <w:r>
              <w:rPr>
                <w:rFonts w:ascii="Arial Narrow" w:hAnsi="Arial Narrow"/>
                <w:lang w:eastAsia="ja-JP"/>
              </w:rPr>
              <w:t>by another medical practitioner</w:t>
            </w:r>
            <w:r w:rsidRPr="00075E36">
              <w:rPr>
                <w:rFonts w:ascii="Arial Narrow" w:hAnsi="Arial Narrow"/>
                <w:lang w:eastAsia="ja-JP"/>
              </w:rPr>
              <w:t xml:space="preserve">), using </w:t>
            </w:r>
            <w:r w:rsidRPr="00075E36">
              <w:rPr>
                <w:rFonts w:ascii="Arial Narrow" w:hAnsi="Arial Narrow"/>
                <w:b/>
                <w:lang w:eastAsia="ja-JP"/>
              </w:rPr>
              <w:t>dual energy X-ray absorptiometry</w:t>
            </w:r>
            <w:r w:rsidRPr="00075E36">
              <w:rPr>
                <w:rFonts w:ascii="Arial Narrow" w:hAnsi="Arial Narrow"/>
                <w:lang w:eastAsia="ja-JP"/>
              </w:rPr>
              <w:t xml:space="preserve">, for the measurement of bone mineral density in </w:t>
            </w:r>
            <w:r w:rsidRPr="00075E36">
              <w:rPr>
                <w:rFonts w:ascii="Arial Narrow" w:hAnsi="Arial Narrow"/>
                <w:b/>
                <w:lang w:eastAsia="ja-JP"/>
              </w:rPr>
              <w:t>patients with breast cancer who are currently being treated with</w:t>
            </w:r>
            <w:r w:rsidR="00E31B1A">
              <w:rPr>
                <w:rFonts w:ascii="Arial Narrow" w:hAnsi="Arial Narrow"/>
                <w:b/>
                <w:lang w:eastAsia="ja-JP"/>
              </w:rPr>
              <w:t xml:space="preserve"> or are about to commence treatment with</w:t>
            </w:r>
            <w:r w:rsidRPr="00075E36">
              <w:rPr>
                <w:rFonts w:ascii="Arial Narrow" w:hAnsi="Arial Narrow"/>
                <w:b/>
                <w:lang w:eastAsia="ja-JP"/>
              </w:rPr>
              <w:t xml:space="preserve"> aromatase inhibitors</w:t>
            </w:r>
            <w:r w:rsidRPr="00075E36">
              <w:rPr>
                <w:rFonts w:ascii="Arial Narrow" w:hAnsi="Arial Narrow"/>
                <w:lang w:eastAsia="ja-JP"/>
              </w:rPr>
              <w:t>.</w:t>
            </w:r>
          </w:p>
          <w:p w:rsidR="00CA3FE7" w:rsidRDefault="00CA3FE7" w:rsidP="001B2CF7">
            <w:pPr>
              <w:spacing w:after="0" w:line="360" w:lineRule="auto"/>
              <w:rPr>
                <w:rFonts w:ascii="Arial Narrow" w:hAnsi="Arial Narrow"/>
                <w:lang w:eastAsia="ja-JP"/>
              </w:rPr>
            </w:pPr>
          </w:p>
          <w:p w:rsidR="00D8067A" w:rsidRPr="00075E36" w:rsidRDefault="00D8067A" w:rsidP="001B2CF7">
            <w:pPr>
              <w:spacing w:after="0" w:line="360" w:lineRule="auto"/>
              <w:rPr>
                <w:rFonts w:ascii="Arial Narrow" w:hAnsi="Arial Narrow"/>
                <w:lang w:eastAsia="ja-JP"/>
              </w:rPr>
            </w:pPr>
            <w:r w:rsidRPr="00075E36">
              <w:rPr>
                <w:rFonts w:ascii="Arial Narrow" w:hAnsi="Arial Narrow"/>
                <w:lang w:eastAsia="ja-JP"/>
              </w:rPr>
              <w:t xml:space="preserve">Measurement of 2 or more sites – </w:t>
            </w:r>
            <w:r w:rsidRPr="00075E36">
              <w:rPr>
                <w:rFonts w:ascii="Arial Narrow" w:hAnsi="Arial Narrow"/>
                <w:b/>
                <w:lang w:eastAsia="ja-JP"/>
              </w:rPr>
              <w:t>1 service only in a period of 12 consecutive months</w:t>
            </w:r>
            <w:r w:rsidRPr="00075E36">
              <w:rPr>
                <w:rFonts w:ascii="Arial Narrow" w:hAnsi="Arial Narrow"/>
                <w:lang w:eastAsia="ja-JP"/>
              </w:rPr>
              <w:t xml:space="preserve"> - including interpretation and report; not being a service associated with a service to which item 12306, 12309, 12312, 12315, 12318, 12321 or 12323 applies </w:t>
            </w:r>
          </w:p>
          <w:p w:rsidR="00D8067A" w:rsidRPr="00075E36" w:rsidRDefault="00D8067A" w:rsidP="001B2CF7">
            <w:pPr>
              <w:spacing w:after="0" w:line="360" w:lineRule="auto"/>
              <w:rPr>
                <w:rFonts w:ascii="Arial Narrow" w:hAnsi="Arial Narrow"/>
                <w:color w:val="000000"/>
                <w:lang w:eastAsia="ja-JP"/>
              </w:rPr>
            </w:pPr>
            <w:r w:rsidRPr="00AC2FF6">
              <w:rPr>
                <w:rFonts w:ascii="Arial Narrow" w:hAnsi="Arial Narrow"/>
                <w:b/>
                <w:lang w:eastAsia="ja-JP"/>
              </w:rPr>
              <w:t>Fee:</w:t>
            </w:r>
            <w:r w:rsidRPr="00075E36">
              <w:rPr>
                <w:rFonts w:ascii="Arial Narrow" w:hAnsi="Arial Narrow"/>
                <w:lang w:eastAsia="ja-JP"/>
              </w:rPr>
              <w:t xml:space="preserve"> $</w:t>
            </w:r>
            <w:r w:rsidR="00E40E17" w:rsidRPr="00075E36">
              <w:rPr>
                <w:rFonts w:ascii="Arial Narrow" w:hAnsi="Arial Narrow"/>
                <w:lang w:eastAsia="ja-JP"/>
              </w:rPr>
              <w:t>10</w:t>
            </w:r>
            <w:r w:rsidR="00E40E17">
              <w:rPr>
                <w:rFonts w:ascii="Arial Narrow" w:hAnsi="Arial Narrow"/>
                <w:lang w:eastAsia="ja-JP"/>
              </w:rPr>
              <w:t>2</w:t>
            </w:r>
            <w:r w:rsidRPr="00075E36">
              <w:rPr>
                <w:rFonts w:ascii="Arial Narrow" w:hAnsi="Arial Narrow"/>
                <w:lang w:eastAsia="ja-JP"/>
              </w:rPr>
              <w:t>.</w:t>
            </w:r>
            <w:r w:rsidR="00E40E17">
              <w:rPr>
                <w:rFonts w:ascii="Arial Narrow" w:hAnsi="Arial Narrow"/>
                <w:lang w:eastAsia="ja-JP"/>
              </w:rPr>
              <w:t>4</w:t>
            </w:r>
            <w:r w:rsidR="00E40E17" w:rsidRPr="00075E36">
              <w:rPr>
                <w:rFonts w:ascii="Arial Narrow" w:hAnsi="Arial Narrow"/>
                <w:lang w:eastAsia="ja-JP"/>
              </w:rPr>
              <w:t>0</w:t>
            </w:r>
            <w:r w:rsidR="005E09EC">
              <w:rPr>
                <w:rFonts w:ascii="Arial Narrow" w:hAnsi="Arial Narrow"/>
                <w:lang w:eastAsia="ja-JP"/>
              </w:rPr>
              <w:t xml:space="preserve"> </w:t>
            </w:r>
            <w:r w:rsidRPr="00AC2FF6">
              <w:rPr>
                <w:rFonts w:ascii="Arial Narrow" w:hAnsi="Arial Narrow"/>
                <w:b/>
                <w:lang w:eastAsia="ja-JP"/>
              </w:rPr>
              <w:t>Benefit:</w:t>
            </w:r>
            <w:r w:rsidRPr="00075E36">
              <w:rPr>
                <w:rFonts w:ascii="Arial Narrow" w:hAnsi="Arial Narrow"/>
                <w:lang w:eastAsia="ja-JP"/>
              </w:rPr>
              <w:t xml:space="preserve"> 75% = $</w:t>
            </w:r>
            <w:r w:rsidR="00E40E17" w:rsidRPr="00075E36">
              <w:rPr>
                <w:rFonts w:ascii="Arial Narrow" w:hAnsi="Arial Narrow"/>
                <w:lang w:eastAsia="ja-JP"/>
              </w:rPr>
              <w:t>7</w:t>
            </w:r>
            <w:r w:rsidR="00E40E17">
              <w:rPr>
                <w:rFonts w:ascii="Arial Narrow" w:hAnsi="Arial Narrow"/>
                <w:lang w:eastAsia="ja-JP"/>
              </w:rPr>
              <w:t>6</w:t>
            </w:r>
            <w:r w:rsidRPr="00075E36">
              <w:rPr>
                <w:rFonts w:ascii="Arial Narrow" w:hAnsi="Arial Narrow"/>
                <w:lang w:eastAsia="ja-JP"/>
              </w:rPr>
              <w:t>.</w:t>
            </w:r>
            <w:r w:rsidR="00E40E17">
              <w:rPr>
                <w:rFonts w:ascii="Arial Narrow" w:hAnsi="Arial Narrow"/>
                <w:lang w:eastAsia="ja-JP"/>
              </w:rPr>
              <w:t>8</w:t>
            </w:r>
            <w:r w:rsidR="00E40E17" w:rsidRPr="00075E36">
              <w:rPr>
                <w:rFonts w:ascii="Arial Narrow" w:hAnsi="Arial Narrow"/>
                <w:lang w:eastAsia="ja-JP"/>
              </w:rPr>
              <w:t xml:space="preserve">0   </w:t>
            </w:r>
            <w:r w:rsidRPr="00075E36">
              <w:rPr>
                <w:rFonts w:ascii="Arial Narrow" w:hAnsi="Arial Narrow"/>
                <w:lang w:eastAsia="ja-JP"/>
              </w:rPr>
              <w:t>85% = $</w:t>
            </w:r>
            <w:r w:rsidR="00E40E17" w:rsidRPr="00075E36">
              <w:rPr>
                <w:rFonts w:ascii="Arial Narrow" w:hAnsi="Arial Narrow"/>
                <w:lang w:eastAsia="ja-JP"/>
              </w:rPr>
              <w:t>8</w:t>
            </w:r>
            <w:r w:rsidR="00E40E17">
              <w:rPr>
                <w:rFonts w:ascii="Arial Narrow" w:hAnsi="Arial Narrow"/>
                <w:lang w:eastAsia="ja-JP"/>
              </w:rPr>
              <w:t>7</w:t>
            </w:r>
            <w:r w:rsidRPr="00075E36">
              <w:rPr>
                <w:rFonts w:ascii="Arial Narrow" w:hAnsi="Arial Narrow"/>
                <w:lang w:eastAsia="ja-JP"/>
              </w:rPr>
              <w:t>.</w:t>
            </w:r>
            <w:r w:rsidR="00E40E17">
              <w:rPr>
                <w:rFonts w:ascii="Arial Narrow" w:hAnsi="Arial Narrow"/>
                <w:lang w:eastAsia="ja-JP"/>
              </w:rPr>
              <w:t>05</w:t>
            </w:r>
          </w:p>
          <w:p w:rsidR="00CA3FE7" w:rsidRDefault="00CA3FE7" w:rsidP="001B2CF7">
            <w:pPr>
              <w:spacing w:after="0" w:line="360" w:lineRule="auto"/>
              <w:rPr>
                <w:rFonts w:ascii="Arial Narrow" w:hAnsi="Arial Narrow"/>
                <w:lang w:eastAsia="ja-JP"/>
              </w:rPr>
            </w:pPr>
          </w:p>
          <w:p w:rsidR="00CA3FE7" w:rsidRPr="00320827" w:rsidRDefault="00CA3FE7" w:rsidP="00CA3FE7">
            <w:pPr>
              <w:spacing w:after="120" w:line="240" w:lineRule="auto"/>
              <w:rPr>
                <w:rFonts w:ascii="Arial Narrow" w:hAnsi="Arial Narrow"/>
                <w:lang w:eastAsia="ja-JP"/>
              </w:rPr>
            </w:pPr>
            <w:r w:rsidRPr="00320827">
              <w:rPr>
                <w:rFonts w:ascii="Arial Narrow" w:hAnsi="Arial Narrow"/>
                <w:lang w:eastAsia="ja-JP"/>
              </w:rPr>
              <w:t>[Relevant explanatory notes]</w:t>
            </w:r>
          </w:p>
          <w:p w:rsidR="00D8067A" w:rsidRPr="00075E36" w:rsidRDefault="00CA3FE7" w:rsidP="009D0C37">
            <w:pPr>
              <w:spacing w:after="0" w:line="360" w:lineRule="auto"/>
              <w:jc w:val="left"/>
              <w:rPr>
                <w:rFonts w:ascii="Arial Narrow" w:hAnsi="Arial Narrow"/>
                <w:lang w:eastAsia="ja-JP"/>
              </w:rPr>
            </w:pPr>
            <w:r w:rsidRPr="00320827">
              <w:rPr>
                <w:rFonts w:ascii="Arial Narrow" w:hAnsi="Arial Narrow"/>
                <w:lang w:eastAsia="ja-JP"/>
              </w:rPr>
              <w:t>D1.27, Bone Densitometry – (Items 12306 to 12323)</w:t>
            </w:r>
          </w:p>
        </w:tc>
      </w:tr>
    </w:tbl>
    <w:p w:rsidR="00D8067A" w:rsidRDefault="00D8067A" w:rsidP="00EC41A8">
      <w:pPr>
        <w:pStyle w:val="Caption"/>
        <w:jc w:val="both"/>
      </w:pPr>
    </w:p>
    <w:p w:rsidR="00D8067A" w:rsidRDefault="00D8067A" w:rsidP="00C6264F">
      <w:r w:rsidRPr="007F18C0">
        <w:t>Currently, no specific PBS-listed medication is proposed for use in this population.</w:t>
      </w:r>
    </w:p>
    <w:p w:rsidR="00D8067A" w:rsidRDefault="00D8067A" w:rsidP="009D0C37">
      <w:pPr>
        <w:pStyle w:val="Heading2"/>
      </w:pPr>
      <w:bookmarkStart w:id="31" w:name="_Toc335905418"/>
      <w:bookmarkStart w:id="32" w:name="_Toc362968493"/>
      <w:r>
        <w:t>Clinical place for the proposed intervention</w:t>
      </w:r>
      <w:bookmarkEnd w:id="31"/>
      <w:bookmarkEnd w:id="32"/>
    </w:p>
    <w:p w:rsidR="00D8067A" w:rsidRDefault="00D8067A" w:rsidP="009D0C37">
      <w:r w:rsidRPr="004A4622">
        <w:t xml:space="preserve">The current diagnosis and management algorithm for suspected or proven low bone mineral density follows in Figure 1. The current and proposed </w:t>
      </w:r>
      <w:r>
        <w:t xml:space="preserve">clinical management </w:t>
      </w:r>
      <w:proofErr w:type="gramStart"/>
      <w:r w:rsidRPr="004A4622">
        <w:t>algorithms for</w:t>
      </w:r>
      <w:r>
        <w:t xml:space="preserve"> the defined patient population</w:t>
      </w:r>
      <w:r w:rsidRPr="004A4622">
        <w:t xml:space="preserve"> follows</w:t>
      </w:r>
      <w:proofErr w:type="gramEnd"/>
      <w:r w:rsidRPr="004A4622">
        <w:t xml:space="preserve"> in Figure 2 and Figure 3</w:t>
      </w:r>
      <w:r>
        <w:t>. Note that treatment stratified according to T-score is in line with PBS restrictions for access to drug therapy and may not represent those patients who choose to have a DXA scan and subsequent anti-</w:t>
      </w:r>
      <w:proofErr w:type="spellStart"/>
      <w:r>
        <w:t>resorptive</w:t>
      </w:r>
      <w:proofErr w:type="spellEnd"/>
      <w:r>
        <w:t xml:space="preserve"> treatment despite not being eligible via the MBS and PBS.</w:t>
      </w:r>
    </w:p>
    <w:p w:rsidR="00D8067A" w:rsidRDefault="00D8067A" w:rsidP="009D0C37">
      <w:pPr>
        <w:rPr>
          <w:rFonts w:ascii="Arial Narrow" w:hAnsi="Arial Narrow"/>
        </w:rPr>
      </w:pPr>
    </w:p>
    <w:p w:rsidR="00D8067A" w:rsidRDefault="00D8067A" w:rsidP="00F4545A">
      <w:pPr>
        <w:pStyle w:val="Caption"/>
        <w:sectPr w:rsidR="00D8067A" w:rsidSect="005E09EC">
          <w:headerReference w:type="even" r:id="rId12"/>
          <w:headerReference w:type="default" r:id="rId13"/>
          <w:headerReference w:type="first" r:id="rId14"/>
          <w:pgSz w:w="11906" w:h="16838"/>
          <w:pgMar w:top="1440" w:right="1440" w:bottom="851" w:left="1440" w:header="708" w:footer="279" w:gutter="0"/>
          <w:cols w:space="708"/>
          <w:titlePg/>
          <w:docGrid w:linePitch="360"/>
        </w:sectPr>
      </w:pPr>
    </w:p>
    <w:p w:rsidR="00D8067A" w:rsidRDefault="00D00E85" w:rsidP="009D0C37">
      <w:pPr>
        <w:pStyle w:val="Caption"/>
        <w:sectPr w:rsidR="00D8067A" w:rsidSect="00F4545A">
          <w:pgSz w:w="16838" w:h="11906" w:orient="landscape"/>
          <w:pgMar w:top="1440" w:right="1440" w:bottom="1440" w:left="1440" w:header="708" w:footer="708" w:gutter="0"/>
          <w:cols w:space="708"/>
          <w:titlePg/>
          <w:docGrid w:linePitch="360"/>
        </w:sectPr>
      </w:pPr>
      <w:r>
        <w:rPr>
          <w:rFonts w:ascii="Calibri" w:hAnsi="Calibri" w:cs="Times New Roman"/>
          <w:b w:val="0"/>
          <w:noProof/>
          <w:sz w:val="22"/>
          <w:szCs w:val="22"/>
          <w:lang w:val="en-AU" w:eastAsia="en-AU"/>
        </w:rPr>
        <w:lastRenderedPageBreak/>
        <mc:AlternateContent>
          <mc:Choice Requires="wpc">
            <w:drawing>
              <wp:inline distT="0" distB="0" distL="0" distR="0" wp14:anchorId="35843C39" wp14:editId="2D07180C">
                <wp:extent cx="9350375" cy="5828030"/>
                <wp:effectExtent l="0" t="0" r="22225" b="20320"/>
                <wp:docPr id="77" name="Canvas 116" descr="Current clinical management algorithm for eligibility&#10;to MBS and PBS items for osteoporosis&#10;" title="Current clinical management algorithm for eligibilit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9" name="Text Box 282"/>
                        <wps:cNvSpPr txBox="1">
                          <a:spLocks noChangeArrowheads="1"/>
                        </wps:cNvSpPr>
                        <wps:spPr bwMode="auto">
                          <a:xfrm>
                            <a:off x="334669" y="0"/>
                            <a:ext cx="5591800" cy="3756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44E6" w:rsidRDefault="009144E6" w:rsidP="00F4545A">
                              <w:pPr>
                                <w:pStyle w:val="Caption"/>
                                <w:spacing w:after="0"/>
                                <w:ind w:left="1440" w:hanging="1440"/>
                              </w:pPr>
                              <w:r>
                                <w:t xml:space="preserve">Figure </w:t>
                              </w:r>
                              <w:proofErr w:type="gramStart"/>
                              <w:r>
                                <w:t>1 :</w:t>
                              </w:r>
                              <w:proofErr w:type="gramEnd"/>
                              <w:r>
                                <w:tab/>
                              </w:r>
                              <w:r w:rsidRPr="00AA3219">
                                <w:t>C</w:t>
                              </w:r>
                              <w:r>
                                <w:t>urrent c</w:t>
                              </w:r>
                              <w:r w:rsidRPr="00AA3219">
                                <w:t xml:space="preserve">linical management algorithm for </w:t>
                              </w:r>
                              <w:r>
                                <w:t>eligibility</w:t>
                              </w:r>
                            </w:p>
                            <w:p w:rsidR="009144E6" w:rsidRDefault="009144E6" w:rsidP="00F4545A">
                              <w:pPr>
                                <w:pStyle w:val="Caption"/>
                                <w:spacing w:after="0"/>
                                <w:ind w:left="1440" w:firstLine="0"/>
                              </w:pPr>
                              <w:proofErr w:type="gramStart"/>
                              <w:r>
                                <w:t>to</w:t>
                              </w:r>
                              <w:proofErr w:type="gramEnd"/>
                              <w:r>
                                <w:t xml:space="preserve"> MBS and PBS items for osteoporosis</w:t>
                              </w:r>
                            </w:p>
                          </w:txbxContent>
                        </wps:txbx>
                        <wps:bodyPr rot="0" vert="horz" wrap="square" lIns="91440" tIns="45720" rIns="91440" bIns="45720" anchor="t" anchorCtr="0" upright="1">
                          <a:noAutofit/>
                        </wps:bodyPr>
                      </wps:wsp>
                      <wps:wsp>
                        <wps:cNvPr id="140" name="Text Box 5"/>
                        <wps:cNvSpPr txBox="1"/>
                        <wps:spPr>
                          <a:xfrm>
                            <a:off x="4582438" y="127967"/>
                            <a:ext cx="1922780" cy="247650"/>
                          </a:xfrm>
                          <a:prstGeom prst="rect">
                            <a:avLst/>
                          </a:prstGeom>
                          <a:solidFill>
                            <a:sysClr val="window" lastClr="FFFFFF"/>
                          </a:solidFill>
                          <a:ln w="6350">
                            <a:solidFill>
                              <a:prstClr val="black"/>
                            </a:solidFill>
                          </a:ln>
                          <a:effectLst/>
                        </wps:spPr>
                        <wps:txbx>
                          <w:txbxContent>
                            <w:p w:rsidR="009144E6" w:rsidRPr="00A0033A" w:rsidRDefault="009144E6" w:rsidP="00F4545A">
                              <w:pPr>
                                <w:rPr>
                                  <w:rFonts w:ascii="Arial Narrow" w:hAnsi="Arial Narrow"/>
                                  <w:sz w:val="18"/>
                                  <w:szCs w:val="18"/>
                                </w:rPr>
                              </w:pPr>
                              <w:r w:rsidRPr="00A0033A">
                                <w:rPr>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1" name="Text Box 123"/>
                        <wps:cNvSpPr txBox="1"/>
                        <wps:spPr>
                          <a:xfrm>
                            <a:off x="1229638" y="742950"/>
                            <a:ext cx="2101850" cy="24765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Defined conditions with risk for developing OP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2" name="Text Box 123"/>
                        <wps:cNvSpPr txBox="1"/>
                        <wps:spPr>
                          <a:xfrm>
                            <a:off x="4839613" y="742950"/>
                            <a:ext cx="1200150" cy="247650"/>
                          </a:xfrm>
                          <a:prstGeom prst="rect">
                            <a:avLst/>
                          </a:prstGeom>
                          <a:solidFill>
                            <a:sysClr val="window" lastClr="FFFFFF"/>
                          </a:solidFill>
                          <a:ln w="6350">
                            <a:solidFill>
                              <a:sysClr val="windowText" lastClr="000000"/>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Other risk factors for OP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3" name="Straight Connector 8"/>
                        <wps:cNvCnPr/>
                        <wps:spPr>
                          <a:xfrm>
                            <a:off x="2277388" y="495300"/>
                            <a:ext cx="6477000" cy="0"/>
                          </a:xfrm>
                          <a:prstGeom prst="line">
                            <a:avLst/>
                          </a:prstGeom>
                          <a:noFill/>
                          <a:ln w="9525" cap="flat" cmpd="sng" algn="ctr">
                            <a:solidFill>
                              <a:sysClr val="windowText" lastClr="000000"/>
                            </a:solidFill>
                            <a:prstDash val="solid"/>
                          </a:ln>
                          <a:effectLst/>
                        </wps:spPr>
                        <wps:bodyPr/>
                      </wps:wsp>
                      <wps:wsp>
                        <wps:cNvPr id="144" name="Straight Arrow Connector 11"/>
                        <wps:cNvCnPr/>
                        <wps:spPr>
                          <a:xfrm>
                            <a:off x="5437783" y="375617"/>
                            <a:ext cx="1905" cy="367333"/>
                          </a:xfrm>
                          <a:prstGeom prst="straightConnector1">
                            <a:avLst/>
                          </a:prstGeom>
                          <a:noFill/>
                          <a:ln w="9525" cap="flat" cmpd="sng" algn="ctr">
                            <a:solidFill>
                              <a:sysClr val="windowText" lastClr="000000"/>
                            </a:solidFill>
                            <a:prstDash val="solid"/>
                            <a:tailEnd type="arrow"/>
                          </a:ln>
                          <a:effectLst/>
                        </wps:spPr>
                        <wps:bodyPr/>
                      </wps:wsp>
                      <wps:wsp>
                        <wps:cNvPr id="145" name="Text Box 123"/>
                        <wps:cNvSpPr txBox="1"/>
                        <wps:spPr>
                          <a:xfrm>
                            <a:off x="8324788" y="742950"/>
                            <a:ext cx="840740" cy="247650"/>
                          </a:xfrm>
                          <a:prstGeom prst="rect">
                            <a:avLst/>
                          </a:prstGeom>
                          <a:solidFill>
                            <a:sysClr val="window" lastClr="FFFFFF"/>
                          </a:solidFill>
                          <a:ln w="6350">
                            <a:solidFill>
                              <a:sysClr val="windowText" lastClr="000000"/>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All other factors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6" name="Straight Arrow Connector 14"/>
                        <wps:cNvCnPr/>
                        <wps:spPr>
                          <a:xfrm flipH="1">
                            <a:off x="8745158" y="495300"/>
                            <a:ext cx="9230" cy="247650"/>
                          </a:xfrm>
                          <a:prstGeom prst="straightConnector1">
                            <a:avLst/>
                          </a:prstGeom>
                          <a:noFill/>
                          <a:ln w="9525" cap="flat" cmpd="sng" algn="ctr">
                            <a:solidFill>
                              <a:sysClr val="windowText" lastClr="000000"/>
                            </a:solidFill>
                            <a:prstDash val="solid"/>
                            <a:tailEnd type="arrow"/>
                          </a:ln>
                          <a:effectLst/>
                        </wps:spPr>
                        <wps:bodyPr/>
                      </wps:wsp>
                      <wps:wsp>
                        <wps:cNvPr id="147" name="Straight Arrow Connector 15"/>
                        <wps:cNvCnPr/>
                        <wps:spPr>
                          <a:xfrm>
                            <a:off x="8745158" y="990600"/>
                            <a:ext cx="8573" cy="360975"/>
                          </a:xfrm>
                          <a:prstGeom prst="straightConnector1">
                            <a:avLst/>
                          </a:prstGeom>
                          <a:noFill/>
                          <a:ln w="9525" cap="flat" cmpd="sng" algn="ctr">
                            <a:solidFill>
                              <a:sysClr val="windowText" lastClr="000000"/>
                            </a:solidFill>
                            <a:prstDash val="solid"/>
                            <a:tailEnd type="arrow"/>
                          </a:ln>
                          <a:effectLst/>
                        </wps:spPr>
                        <wps:bodyPr/>
                      </wps:wsp>
                      <wps:wsp>
                        <wps:cNvPr id="148" name="Text Box 16"/>
                        <wps:cNvSpPr txBox="1"/>
                        <wps:spPr>
                          <a:xfrm>
                            <a:off x="1262953" y="1151550"/>
                            <a:ext cx="783590" cy="419100"/>
                          </a:xfrm>
                          <a:prstGeom prst="rect">
                            <a:avLst/>
                          </a:prstGeom>
                          <a:solidFill>
                            <a:sysClr val="window" lastClr="FFFFFF"/>
                          </a:solidFill>
                          <a:ln w="6350">
                            <a:solidFill>
                              <a:prstClr val="black"/>
                            </a:solidFill>
                          </a:ln>
                          <a:effectLst/>
                        </wps:spPr>
                        <wps:txbx>
                          <w:txbxContent>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Glucocorticoid</w:t>
                              </w:r>
                            </w:p>
                            <w:p w:rsidR="009144E6" w:rsidRPr="009144E6" w:rsidRDefault="009144E6" w:rsidP="00F4545A">
                              <w:pPr>
                                <w:spacing w:after="0"/>
                                <w:rPr>
                                  <w:rFonts w:ascii="Arial Narrow" w:hAnsi="Arial Narrow"/>
                                  <w:sz w:val="18"/>
                                  <w:szCs w:val="18"/>
                                </w:rPr>
                              </w:pPr>
                              <w:proofErr w:type="gramStart"/>
                              <w:r w:rsidRPr="009144E6">
                                <w:rPr>
                                  <w:rFonts w:ascii="Arial Narrow" w:hAnsi="Arial Narrow"/>
                                  <w:sz w:val="18"/>
                                  <w:szCs w:val="18"/>
                                </w:rPr>
                                <w:t>therapy</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9" name="Text Box 17"/>
                        <wps:cNvSpPr txBox="1"/>
                        <wps:spPr>
                          <a:xfrm>
                            <a:off x="1791473" y="1656375"/>
                            <a:ext cx="1090930" cy="409575"/>
                          </a:xfrm>
                          <a:prstGeom prst="rect">
                            <a:avLst/>
                          </a:prstGeom>
                          <a:solidFill>
                            <a:sysClr val="window" lastClr="FFFFFF"/>
                          </a:solidFill>
                          <a:ln w="6350">
                            <a:solidFill>
                              <a:prstClr val="black"/>
                            </a:solidFill>
                          </a:ln>
                          <a:effectLst/>
                        </wps:spPr>
                        <wps:txbx>
                          <w:txbxContent>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Male or female</w:t>
                              </w:r>
                            </w:p>
                            <w:p w:rsidR="009144E6" w:rsidRPr="009144E6" w:rsidRDefault="009144E6" w:rsidP="00F4545A">
                              <w:pPr>
                                <w:spacing w:after="0"/>
                                <w:rPr>
                                  <w:rFonts w:ascii="Arial Narrow" w:hAnsi="Arial Narrow"/>
                                  <w:sz w:val="18"/>
                                  <w:szCs w:val="18"/>
                                </w:rPr>
                              </w:pPr>
                              <w:proofErr w:type="spellStart"/>
                              <w:proofErr w:type="gramStart"/>
                              <w:r w:rsidRPr="009144E6">
                                <w:rPr>
                                  <w:rFonts w:ascii="Arial Narrow" w:hAnsi="Arial Narrow"/>
                                  <w:sz w:val="18"/>
                                  <w:szCs w:val="18"/>
                                </w:rPr>
                                <w:t>hypogonadism</w:t>
                              </w:r>
                              <w:proofErr w:type="spellEnd"/>
                              <w:proofErr w:type="gramEnd"/>
                              <w:r w:rsidRPr="009144E6">
                                <w:rPr>
                                  <w:rFonts w:ascii="Arial Narrow" w:hAnsi="Arial Narrow"/>
                                  <w:sz w:val="18"/>
                                  <w:szCs w:val="18"/>
                                </w:rPr>
                                <w:t xml:space="preserve"> </w:t>
                              </w:r>
                              <w:proofErr w:type="spellStart"/>
                              <w:r w:rsidRPr="009144E6">
                                <w:rPr>
                                  <w:rFonts w:ascii="Arial Narrow" w:hAnsi="Arial Narrow"/>
                                  <w:sz w:val="18"/>
                                  <w:szCs w:val="18"/>
                                </w:rPr>
                                <w:t>etc</w:t>
                              </w:r>
                              <w:proofErr w:type="spellEnd"/>
                              <w:r w:rsidRPr="009144E6">
                                <w:rPr>
                                  <w:rFonts w:ascii="Arial Narrow" w:hAnsi="Arial Narrow"/>
                                  <w:sz w:val="18"/>
                                  <w:szCs w:val="18"/>
                                </w:rPr>
                                <w:t xml:space="preserv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0" name="Text Box 18"/>
                        <wps:cNvSpPr txBox="1"/>
                        <wps:spPr>
                          <a:xfrm>
                            <a:off x="2401134" y="2151676"/>
                            <a:ext cx="1388110" cy="419100"/>
                          </a:xfrm>
                          <a:prstGeom prst="rect">
                            <a:avLst/>
                          </a:prstGeom>
                          <a:solidFill>
                            <a:sysClr val="window" lastClr="FFFFFF"/>
                          </a:solidFill>
                          <a:ln w="6350">
                            <a:solidFill>
                              <a:prstClr val="black"/>
                            </a:solidFill>
                          </a:ln>
                          <a:effectLst/>
                        </wps:spPr>
                        <wps:txbx>
                          <w:txbxContent>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Primary hyperparathyroidism</w:t>
                              </w:r>
                            </w:p>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 xml:space="preserve">Chronic renal disease </w:t>
                              </w:r>
                              <w:proofErr w:type="spellStart"/>
                              <w:r w:rsidRPr="009144E6">
                                <w:rPr>
                                  <w:rFonts w:ascii="Arial Narrow" w:hAnsi="Arial Narrow"/>
                                  <w:sz w:val="18"/>
                                  <w:szCs w:val="18"/>
                                </w:rPr>
                                <w:t>etc</w:t>
                              </w:r>
                              <w:proofErr w:type="spellEnd"/>
                              <w:r w:rsidRPr="009144E6">
                                <w:rPr>
                                  <w:rFonts w:ascii="Arial Narrow" w:hAnsi="Arial Narrow"/>
                                  <w:sz w:val="18"/>
                                  <w:szCs w:val="18"/>
                                </w:rPr>
                                <w:t xml:space="preserve">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1" name="Text Box 153"/>
                        <wps:cNvSpPr txBox="1"/>
                        <wps:spPr>
                          <a:xfrm>
                            <a:off x="38100" y="4981574"/>
                            <a:ext cx="783590" cy="734695"/>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2" name="Text Box 153"/>
                        <wps:cNvSpPr txBox="1"/>
                        <wps:spPr>
                          <a:xfrm>
                            <a:off x="3638488" y="1160100"/>
                            <a:ext cx="112204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9144E6" w:rsidRDefault="009144E6" w:rsidP="00F4545A">
                              <w:pPr>
                                <w:pStyle w:val="NormalWeb"/>
                                <w:spacing w:before="0" w:beforeAutospacing="0" w:after="0" w:afterAutospacing="0" w:line="276" w:lineRule="auto"/>
                              </w:pPr>
                              <w:r>
                                <w:rPr>
                                  <w:rFonts w:ascii="Arial Narrow" w:hAnsi="Arial Narrow"/>
                                  <w:sz w:val="18"/>
                                  <w:szCs w:val="18"/>
                                </w:rPr>
                                <w:t>T-score ≤ -2.5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3" name="Text Box 153"/>
                        <wps:cNvSpPr txBox="1"/>
                        <wps:spPr>
                          <a:xfrm>
                            <a:off x="1493471" y="5551165"/>
                            <a:ext cx="4466590" cy="276860"/>
                          </a:xfrm>
                          <a:prstGeom prst="rect">
                            <a:avLst/>
                          </a:prstGeom>
                          <a:solidFill>
                            <a:sysClr val="window" lastClr="FFFFFF"/>
                          </a:solidFill>
                          <a:ln w="6350">
                            <a:solidFill>
                              <a:prstClr val="black"/>
                            </a:solidFill>
                          </a:ln>
                          <a:effectLst/>
                        </wps:spPr>
                        <wps:txbx>
                          <w:txbxContent>
                            <w:p w:rsidR="009144E6" w:rsidRPr="008C7DE0" w:rsidRDefault="009144E6" w:rsidP="00F4545A">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4" name="Text Box 153"/>
                        <wps:cNvSpPr txBox="1"/>
                        <wps:spPr>
                          <a:xfrm>
                            <a:off x="6071234" y="1664925"/>
                            <a:ext cx="61658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5" name="Text Box 153"/>
                        <wps:cNvSpPr txBox="1"/>
                        <wps:spPr>
                          <a:xfrm>
                            <a:off x="5304433" y="1168650"/>
                            <a:ext cx="95567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6" name="Text Box 153"/>
                        <wps:cNvSpPr txBox="1"/>
                        <wps:spPr>
                          <a:xfrm>
                            <a:off x="4991038" y="2151675"/>
                            <a:ext cx="38290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9144E6" w:rsidRDefault="009144E6" w:rsidP="00F4545A">
                              <w:pPr>
                                <w:pStyle w:val="NormalWeb"/>
                                <w:spacing w:before="0" w:beforeAutospacing="0" w:after="0" w:afterAutospacing="0" w:line="276" w:lineRule="auto"/>
                              </w:pPr>
                              <w:r>
                                <w:rPr>
                                  <w:rFonts w:ascii="Arial Narrow" w:hAnsi="Arial Narrow"/>
                                  <w:sz w:val="18"/>
                                  <w:szCs w:val="18"/>
                                </w:rPr>
                                <w:t>≥ 70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7" name="Text Box 153"/>
                        <wps:cNvSpPr txBox="1"/>
                        <wps:spPr>
                          <a:xfrm>
                            <a:off x="4381637" y="1664925"/>
                            <a:ext cx="486410"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9144E6" w:rsidRDefault="009144E6" w:rsidP="00F4545A">
                              <w:pPr>
                                <w:pStyle w:val="NormalWeb"/>
                                <w:spacing w:before="0" w:beforeAutospacing="0" w:after="0" w:afterAutospacing="0" w:line="276" w:lineRule="auto"/>
                              </w:pPr>
                              <w:r>
                                <w:rPr>
                                  <w:rFonts w:ascii="Arial Narrow" w:hAnsi="Arial Narrow"/>
                                  <w:sz w:val="18"/>
                                  <w:szCs w:val="18"/>
                                </w:rPr>
                                <w:t>MTF</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8" name="Text Box 153"/>
                        <wps:cNvSpPr txBox="1"/>
                        <wps:spPr>
                          <a:xfrm>
                            <a:off x="1367728" y="2932725"/>
                            <a:ext cx="533400" cy="100169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9" name="Text Box 153"/>
                        <wps:cNvSpPr txBox="1"/>
                        <wps:spPr>
                          <a:xfrm>
                            <a:off x="2134800" y="2932725"/>
                            <a:ext cx="533400" cy="100203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Pr="00F231BC"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0" name="Text Box 153"/>
                        <wps:cNvSpPr txBox="1"/>
                        <wps:spPr>
                          <a:xfrm>
                            <a:off x="2829733" y="2941275"/>
                            <a:ext cx="533400" cy="99314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9144E6" w:rsidRPr="00F231BC"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1" name="Text Box 153"/>
                        <wps:cNvSpPr txBox="1"/>
                        <wps:spPr>
                          <a:xfrm>
                            <a:off x="3781279" y="2921249"/>
                            <a:ext cx="533400" cy="1013165"/>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2" name="Text Box 153"/>
                        <wps:cNvSpPr txBox="1"/>
                        <wps:spPr>
                          <a:xfrm>
                            <a:off x="4429367" y="2932725"/>
                            <a:ext cx="533400" cy="11916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3" name="Text Box 153"/>
                        <wps:cNvSpPr txBox="1"/>
                        <wps:spPr>
                          <a:xfrm>
                            <a:off x="5085253" y="2932725"/>
                            <a:ext cx="450215" cy="100203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4" name="Text Box 153"/>
                        <wps:cNvSpPr txBox="1"/>
                        <wps:spPr>
                          <a:xfrm>
                            <a:off x="5675824" y="2932725"/>
                            <a:ext cx="533400" cy="100203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5" name="Text Box 153"/>
                        <wps:cNvSpPr txBox="1"/>
                        <wps:spPr>
                          <a:xfrm>
                            <a:off x="6054592" y="4981574"/>
                            <a:ext cx="783590" cy="75438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6" name="Text Box 153"/>
                        <wps:cNvSpPr txBox="1"/>
                        <wps:spPr>
                          <a:xfrm>
                            <a:off x="6908755" y="3934414"/>
                            <a:ext cx="2440305" cy="189103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Pr>
                                  <w:rFonts w:ascii="Arial Narrow" w:hAnsi="Arial Narrow"/>
                                  <w:sz w:val="18"/>
                                  <w:szCs w:val="18"/>
                                </w:rPr>
                                <w:t>thryoxine</w:t>
                              </w:r>
                              <w:proofErr w:type="spellEnd"/>
                              <w:r>
                                <w:rPr>
                                  <w:rFonts w:ascii="Arial Narrow" w:hAnsi="Arial Narrow"/>
                                  <w:sz w:val="18"/>
                                  <w:szCs w:val="18"/>
                                </w:rPr>
                                <w:t xml:space="preserve"> excess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7" name="Text Box 153"/>
                        <wps:cNvSpPr txBox="1"/>
                        <wps:spPr>
                          <a:xfrm>
                            <a:off x="1386778" y="4189572"/>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9144E6" w:rsidRDefault="009144E6" w:rsidP="00F4545A">
                              <w:pPr>
                                <w:pStyle w:val="NormalWeb"/>
                                <w:spacing w:before="0" w:beforeAutospacing="0" w:after="0" w:afterAutospacing="0" w:line="276" w:lineRule="auto"/>
                              </w:pPr>
                              <w:r>
                                <w:rPr>
                                  <w:rFonts w:ascii="Arial Narrow" w:hAnsi="Arial Narrow"/>
                                  <w:sz w:val="18"/>
                                  <w:szCs w:val="18"/>
                                </w:rPr>
                                <w:t>≤-1.0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8" name="Straight Arrow Connector 36"/>
                        <wps:cNvCnPr/>
                        <wps:spPr>
                          <a:xfrm>
                            <a:off x="2277385" y="495300"/>
                            <a:ext cx="3178"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9" name="Text Box 153"/>
                        <wps:cNvSpPr txBox="1"/>
                        <wps:spPr>
                          <a:xfrm>
                            <a:off x="2153844" y="4198122"/>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0" name="Text Box 153"/>
                        <wps:cNvSpPr txBox="1"/>
                        <wps:spPr>
                          <a:xfrm>
                            <a:off x="2848771" y="4198122"/>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1" name="Text Box 153"/>
                        <wps:cNvSpPr txBox="1"/>
                        <wps:spPr>
                          <a:xfrm>
                            <a:off x="5718374" y="4206671"/>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2" name="Text Box 153"/>
                        <wps:cNvSpPr txBox="1"/>
                        <wps:spPr>
                          <a:xfrm>
                            <a:off x="5085224" y="4206671"/>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 -2.5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3" name="Text Box 153"/>
                        <wps:cNvSpPr txBox="1"/>
                        <wps:spPr>
                          <a:xfrm>
                            <a:off x="4429341" y="4206671"/>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Pr="00974910"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4" name="Text Box 153"/>
                        <wps:cNvSpPr txBox="1"/>
                        <wps:spPr>
                          <a:xfrm>
                            <a:off x="3799756" y="4206671"/>
                            <a:ext cx="50736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5" name="Text Box 153"/>
                        <wps:cNvSpPr txBox="1"/>
                        <wps:spPr>
                          <a:xfrm>
                            <a:off x="1413635" y="4856095"/>
                            <a:ext cx="476250"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9144E6" w:rsidRPr="00974910"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6" name="Text Box 153"/>
                        <wps:cNvSpPr txBox="1"/>
                        <wps:spPr>
                          <a:xfrm>
                            <a:off x="2848753" y="4857070"/>
                            <a:ext cx="575310" cy="419100"/>
                          </a:xfrm>
                          <a:prstGeom prst="rect">
                            <a:avLst/>
                          </a:prstGeom>
                          <a:solidFill>
                            <a:sysClr val="window" lastClr="FFFFFF"/>
                          </a:solidFill>
                          <a:ln w="6350">
                            <a:solidFill>
                              <a:prstClr val="black"/>
                            </a:solidFill>
                          </a:ln>
                          <a:effectLst/>
                        </wps:spPr>
                        <wps:txb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7" name="Text Box 153"/>
                        <wps:cNvSpPr txBox="1"/>
                        <wps:spPr>
                          <a:xfrm>
                            <a:off x="2153836" y="4855120"/>
                            <a:ext cx="575310" cy="419100"/>
                          </a:xfrm>
                          <a:prstGeom prst="rect">
                            <a:avLst/>
                          </a:prstGeom>
                          <a:solidFill>
                            <a:sysClr val="window" lastClr="FFFFFF"/>
                          </a:solidFill>
                          <a:ln w="6350">
                            <a:solidFill>
                              <a:prstClr val="black"/>
                            </a:solidFill>
                          </a:ln>
                          <a:effectLst/>
                        </wps:spPr>
                        <wps:txb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8" name="Text Box 153"/>
                        <wps:cNvSpPr txBox="1"/>
                        <wps:spPr>
                          <a:xfrm>
                            <a:off x="3799726" y="4854145"/>
                            <a:ext cx="575310" cy="419100"/>
                          </a:xfrm>
                          <a:prstGeom prst="rect">
                            <a:avLst/>
                          </a:prstGeom>
                          <a:solidFill>
                            <a:sysClr val="window" lastClr="FFFFFF"/>
                          </a:solidFill>
                          <a:ln w="6350">
                            <a:solidFill>
                              <a:prstClr val="black"/>
                            </a:solidFill>
                          </a:ln>
                          <a:effectLst/>
                        </wps:spPr>
                        <wps:txb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9" name="Text Box 153"/>
                        <wps:cNvSpPr txBox="1"/>
                        <wps:spPr>
                          <a:xfrm>
                            <a:off x="4476882" y="4857070"/>
                            <a:ext cx="476250"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9144E6" w:rsidRDefault="009144E6" w:rsidP="00F4545A">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0" name="Text Box 153"/>
                        <wps:cNvSpPr txBox="1"/>
                        <wps:spPr>
                          <a:xfrm>
                            <a:off x="5097303" y="4857070"/>
                            <a:ext cx="689610" cy="419100"/>
                          </a:xfrm>
                          <a:prstGeom prst="rect">
                            <a:avLst/>
                          </a:prstGeom>
                          <a:solidFill>
                            <a:sysClr val="window" lastClr="FFFFFF"/>
                          </a:solidFill>
                          <a:ln w="6350">
                            <a:solidFill>
                              <a:prstClr val="black"/>
                            </a:solidFill>
                          </a:ln>
                          <a:effectLst/>
                        </wps:spPr>
                        <wps:txb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1" name="Text Box 153"/>
                        <wps:cNvSpPr txBox="1"/>
                        <wps:spPr>
                          <a:xfrm>
                            <a:off x="65687" y="1664925"/>
                            <a:ext cx="616585" cy="4191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82" name="Group 52"/>
                        <wpg:cNvGrpSpPr/>
                        <wpg:grpSpPr>
                          <a:xfrm>
                            <a:off x="8169003" y="1350600"/>
                            <a:ext cx="1181100" cy="2476500"/>
                            <a:chOff x="0" y="0"/>
                            <a:chExt cx="1181100" cy="2476500"/>
                          </a:xfrm>
                        </wpg:grpSpPr>
                        <wps:wsp>
                          <wps:cNvPr id="183" name="Text Box 123"/>
                          <wps:cNvSpPr txBox="1"/>
                          <wps:spPr>
                            <a:xfrm>
                              <a:off x="133260" y="0"/>
                              <a:ext cx="875030" cy="40962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0" w:afterAutospacing="0" w:line="276" w:lineRule="auto"/>
                                </w:pPr>
                                <w:r>
                                  <w:rPr>
                                    <w:rFonts w:ascii="Arial Narrow" w:hAnsi="Arial Narrow"/>
                                    <w:sz w:val="18"/>
                                    <w:szCs w:val="18"/>
                                  </w:rPr>
                                  <w:t>Lifestyle advice</w:t>
                                </w:r>
                              </w:p>
                              <w:p w:rsidR="009144E6" w:rsidRDefault="009144E6" w:rsidP="00F4545A">
                                <w:pPr>
                                  <w:pStyle w:val="NormalWeb"/>
                                  <w:spacing w:before="0" w:beforeAutospacing="0" w:after="0" w:afterAutospacing="0" w:line="276" w:lineRule="auto"/>
                                </w:pPr>
                                <w:r>
                                  <w:rPr>
                                    <w:rFonts w:ascii="Arial Narrow" w:hAnsi="Arial Narrow"/>
                                    <w:sz w:val="18"/>
                                    <w:szCs w:val="18"/>
                                  </w:rPr>
                                  <w:t>+/- Supplements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4" name="Text Box 123"/>
                          <wps:cNvSpPr txBox="1"/>
                          <wps:spPr>
                            <a:xfrm>
                              <a:off x="0" y="1905000"/>
                              <a:ext cx="476250" cy="5715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Risk of</w:t>
                                </w:r>
                              </w:p>
                              <w:p w:rsidR="009144E6" w:rsidRDefault="009144E6" w:rsidP="00F4545A">
                                <w:pPr>
                                  <w:pStyle w:val="NormalWeb"/>
                                  <w:spacing w:before="0" w:beforeAutospacing="0" w:after="200" w:afterAutospacing="0" w:line="276" w:lineRule="auto"/>
                                </w:pPr>
                                <w:r>
                                  <w:rPr>
                                    <w:rFonts w:ascii="Arial Narrow" w:hAnsi="Arial Narrow"/>
                                    <w:sz w:val="18"/>
                                    <w:szCs w:val="18"/>
                                  </w:rPr>
                                  <w:t>MTF</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5" name="Text Box 123"/>
                          <wps:cNvSpPr txBox="1"/>
                          <wps:spPr>
                            <a:xfrm>
                              <a:off x="704850" y="1028700"/>
                              <a:ext cx="351155" cy="24765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6" name="Text Box 123"/>
                          <wps:cNvSpPr txBox="1"/>
                          <wps:spPr>
                            <a:xfrm>
                              <a:off x="120650" y="1028700"/>
                              <a:ext cx="309245" cy="24765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7" name="Text Box 123"/>
                          <wps:cNvSpPr txBox="1"/>
                          <wps:spPr>
                            <a:xfrm>
                              <a:off x="704850" y="1905000"/>
                              <a:ext cx="476250" cy="571500"/>
                            </a:xfrm>
                            <a:prstGeom prst="rect">
                              <a:avLst/>
                            </a:prstGeom>
                            <a:solidFill>
                              <a:sysClr val="window" lastClr="FFFFFF"/>
                            </a:solidFill>
                            <a:ln w="6350">
                              <a:solidFill>
                                <a:prstClr val="black"/>
                              </a:solidFill>
                            </a:ln>
                            <a:effectLst/>
                          </wps:spPr>
                          <wps:txbx>
                            <w:txbxContent>
                              <w:p w:rsidR="009144E6" w:rsidRDefault="009144E6" w:rsidP="00F4545A">
                                <w:pPr>
                                  <w:pStyle w:val="NormalWeb"/>
                                  <w:spacing w:before="0" w:beforeAutospacing="0" w:after="200" w:afterAutospacing="0" w:line="276" w:lineRule="auto"/>
                                </w:pPr>
                                <w:r>
                                  <w:rPr>
                                    <w:rFonts w:ascii="Arial Narrow" w:hAnsi="Arial Narrow"/>
                                    <w:sz w:val="18"/>
                                    <w:szCs w:val="18"/>
                                  </w:rPr>
                                  <w:t>Risk of</w:t>
                                </w:r>
                              </w:p>
                              <w:p w:rsidR="009144E6" w:rsidRDefault="009144E6" w:rsidP="00F4545A">
                                <w:pPr>
                                  <w:pStyle w:val="NormalWeb"/>
                                  <w:spacing w:before="0" w:beforeAutospacing="0" w:after="200" w:afterAutospacing="0" w:line="276" w:lineRule="auto"/>
                                </w:pPr>
                                <w:r>
                                  <w:rPr>
                                    <w:rFonts w:ascii="Arial Narrow" w:hAnsi="Arial Narrow"/>
                                    <w:sz w:val="18"/>
                                    <w:szCs w:val="18"/>
                                  </w:rPr>
                                  <w:t>MTF</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188" name="Straight Arrow Connector 63"/>
                        <wps:cNvCnPr/>
                        <wps:spPr>
                          <a:xfrm>
                            <a:off x="1654704" y="990600"/>
                            <a:ext cx="44" cy="160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4" name="Straight Arrow Connector 64"/>
                        <wps:cNvCnPr/>
                        <wps:spPr>
                          <a:xfrm flipH="1">
                            <a:off x="2277325" y="990600"/>
                            <a:ext cx="3238" cy="67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5" name="Straight Arrow Connector 65"/>
                        <wps:cNvCnPr/>
                        <wps:spPr>
                          <a:xfrm>
                            <a:off x="3170611" y="990600"/>
                            <a:ext cx="0" cy="116107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6" name="Elbow Connector 66"/>
                        <wps:cNvCnPr/>
                        <wps:spPr>
                          <a:xfrm rot="10800000" flipV="1">
                            <a:off x="426375" y="866775"/>
                            <a:ext cx="803262" cy="798150"/>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wps:spPr>
                          <a:xfrm>
                            <a:off x="426376" y="2084025"/>
                            <a:ext cx="3519" cy="289754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Straight Arrow Connector 69"/>
                        <wps:cNvCnPr/>
                        <wps:spPr>
                          <a:xfrm>
                            <a:off x="1600166" y="1587750"/>
                            <a:ext cx="1" cy="1353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0" name="Straight Arrow Connector 70"/>
                        <wps:cNvCnPr/>
                        <wps:spPr>
                          <a:xfrm>
                            <a:off x="2296315" y="2084025"/>
                            <a:ext cx="0"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1" name="Straight Arrow Connector 71"/>
                        <wps:cNvCnPr/>
                        <wps:spPr>
                          <a:xfrm>
                            <a:off x="3096119" y="2570776"/>
                            <a:ext cx="314" cy="37049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Straight Arrow Connector 72"/>
                        <wps:cNvCnPr/>
                        <wps:spPr>
                          <a:xfrm>
                            <a:off x="1634428" y="3934415"/>
                            <a:ext cx="3493" cy="25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8" name="Straight Arrow Connector 78"/>
                        <wps:cNvCnPr/>
                        <wps:spPr>
                          <a:xfrm flipH="1">
                            <a:off x="2401149" y="3934755"/>
                            <a:ext cx="351" cy="263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1" name="Straight Arrow Connector 81"/>
                        <wps:cNvCnPr/>
                        <wps:spPr>
                          <a:xfrm flipH="1">
                            <a:off x="3096351" y="3934415"/>
                            <a:ext cx="82" cy="272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2" name="Straight Arrow Connector 82"/>
                        <wps:cNvCnPr/>
                        <wps:spPr>
                          <a:xfrm>
                            <a:off x="1637921" y="4609125"/>
                            <a:ext cx="3377" cy="2469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3" name="Straight Arrow Connector 83"/>
                        <wps:cNvCnPr/>
                        <wps:spPr>
                          <a:xfrm flipH="1">
                            <a:off x="2401437" y="4617675"/>
                            <a:ext cx="3550" cy="23939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2" name="Straight Arrow Connector 92"/>
                        <wps:cNvCnPr/>
                        <wps:spPr>
                          <a:xfrm>
                            <a:off x="3099914" y="4617675"/>
                            <a:ext cx="351" cy="23939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3" name="Straight Arrow Connector 93"/>
                        <wps:cNvCnPr/>
                        <wps:spPr>
                          <a:xfrm flipH="1">
                            <a:off x="821668" y="5448300"/>
                            <a:ext cx="227460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4" name="Straight Connector 94"/>
                        <wps:cNvCnPr/>
                        <wps:spPr>
                          <a:xfrm>
                            <a:off x="3096187" y="5276170"/>
                            <a:ext cx="0" cy="172130"/>
                          </a:xfrm>
                          <a:prstGeom prst="line">
                            <a:avLst/>
                          </a:prstGeom>
                          <a:noFill/>
                          <a:ln w="9525" cap="flat" cmpd="sng" algn="ctr">
                            <a:solidFill>
                              <a:sysClr val="windowText" lastClr="000000">
                                <a:shade val="95000"/>
                                <a:satMod val="105000"/>
                              </a:sysClr>
                            </a:solidFill>
                            <a:prstDash val="solid"/>
                          </a:ln>
                          <a:effectLst/>
                        </wps:spPr>
                        <wps:bodyPr/>
                      </wps:wsp>
                      <wps:wsp>
                        <wps:cNvPr id="95" name="Straight Connector 95"/>
                        <wps:cNvCnPr/>
                        <wps:spPr>
                          <a:xfrm>
                            <a:off x="2401086" y="5276170"/>
                            <a:ext cx="0" cy="172130"/>
                          </a:xfrm>
                          <a:prstGeom prst="line">
                            <a:avLst/>
                          </a:prstGeom>
                          <a:noFill/>
                          <a:ln w="9525" cap="flat" cmpd="sng" algn="ctr">
                            <a:solidFill>
                              <a:sysClr val="windowText" lastClr="000000">
                                <a:shade val="95000"/>
                                <a:satMod val="105000"/>
                              </a:sysClr>
                            </a:solidFill>
                            <a:prstDash val="solid"/>
                          </a:ln>
                          <a:effectLst/>
                        </wps:spPr>
                        <wps:bodyPr/>
                      </wps:wsp>
                      <wps:wsp>
                        <wps:cNvPr id="96" name="Elbow Connector 96"/>
                        <wps:cNvCnPr/>
                        <wps:spPr>
                          <a:xfrm rot="10800000" flipV="1">
                            <a:off x="4199511" y="866773"/>
                            <a:ext cx="640102" cy="293325"/>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97" name="Elbow Connector 97"/>
                        <wps:cNvCnPr/>
                        <wps:spPr>
                          <a:xfrm>
                            <a:off x="6039763" y="866775"/>
                            <a:ext cx="399137" cy="798151"/>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98" name="Straight Arrow Connector 98"/>
                        <wps:cNvCnPr/>
                        <wps:spPr>
                          <a:xfrm>
                            <a:off x="4883871" y="990600"/>
                            <a:ext cx="0" cy="67432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9" name="Straight Arrow Connector 99"/>
                        <wps:cNvCnPr/>
                        <wps:spPr>
                          <a:xfrm>
                            <a:off x="5675675" y="990600"/>
                            <a:ext cx="0" cy="178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0" name="Straight Arrow Connector 100"/>
                        <wps:cNvCnPr/>
                        <wps:spPr>
                          <a:xfrm>
                            <a:off x="5172075" y="990600"/>
                            <a:ext cx="9525" cy="116107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1" name="Straight Arrow Connector 101"/>
                        <wps:cNvCnPr/>
                        <wps:spPr>
                          <a:xfrm>
                            <a:off x="4038600" y="1587750"/>
                            <a:ext cx="9379" cy="133349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2" name="Straight Arrow Connector 102"/>
                        <wps:cNvCnPr/>
                        <wps:spPr>
                          <a:xfrm>
                            <a:off x="4657725" y="2084025"/>
                            <a:ext cx="0"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3" name="Straight Arrow Connector 103"/>
                        <wps:cNvCnPr/>
                        <wps:spPr>
                          <a:xfrm>
                            <a:off x="5304293" y="2570776"/>
                            <a:ext cx="0" cy="37049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4" name="Straight Arrow Connector 104"/>
                        <wps:cNvCnPr/>
                        <wps:spPr>
                          <a:xfrm>
                            <a:off x="5895975" y="1587750"/>
                            <a:ext cx="9525" cy="1344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9" name="Straight Arrow Connector 105"/>
                        <wps:cNvCnPr/>
                        <wps:spPr>
                          <a:xfrm>
                            <a:off x="6438730" y="2084025"/>
                            <a:ext cx="7657" cy="289754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6" name="Elbow Connector 106"/>
                        <wps:cNvCnPr/>
                        <wps:spPr>
                          <a:xfrm rot="16200000" flipH="1">
                            <a:off x="4961994" y="4338625"/>
                            <a:ext cx="175055" cy="2044294"/>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107" name="Straight Connector 107"/>
                        <wps:cNvCnPr/>
                        <wps:spPr>
                          <a:xfrm>
                            <a:off x="8448675" y="2151676"/>
                            <a:ext cx="600075" cy="0"/>
                          </a:xfrm>
                          <a:prstGeom prst="line">
                            <a:avLst/>
                          </a:prstGeom>
                          <a:noFill/>
                          <a:ln w="9525" cap="flat" cmpd="sng" algn="ctr">
                            <a:solidFill>
                              <a:sysClr val="windowText" lastClr="000000">
                                <a:shade val="95000"/>
                                <a:satMod val="105000"/>
                              </a:sysClr>
                            </a:solidFill>
                            <a:prstDash val="solid"/>
                          </a:ln>
                          <a:effectLst/>
                        </wps:spPr>
                        <wps:bodyPr/>
                      </wps:wsp>
                      <wps:wsp>
                        <wps:cNvPr id="108" name="Straight Arrow Connector 108"/>
                        <wps:cNvCnPr/>
                        <wps:spPr>
                          <a:xfrm>
                            <a:off x="8448452" y="2151676"/>
                            <a:ext cx="0" cy="22762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9" name="Straight Arrow Connector 109"/>
                        <wps:cNvCnPr/>
                        <wps:spPr>
                          <a:xfrm>
                            <a:off x="9048511" y="2151676"/>
                            <a:ext cx="0" cy="22762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0" name="Straight Connector 110"/>
                        <wps:cNvCnPr/>
                        <wps:spPr>
                          <a:xfrm>
                            <a:off x="8739774" y="1760220"/>
                            <a:ext cx="5059" cy="391456"/>
                          </a:xfrm>
                          <a:prstGeom prst="line">
                            <a:avLst/>
                          </a:prstGeom>
                          <a:noFill/>
                          <a:ln w="9525" cap="flat" cmpd="sng" algn="ctr">
                            <a:solidFill>
                              <a:sysClr val="windowText" lastClr="000000">
                                <a:shade val="95000"/>
                                <a:satMod val="105000"/>
                              </a:sysClr>
                            </a:solidFill>
                            <a:prstDash val="solid"/>
                          </a:ln>
                          <a:effectLst/>
                        </wps:spPr>
                        <wps:bodyPr/>
                      </wps:wsp>
                      <wps:wsp>
                        <wps:cNvPr id="111" name="Straight Arrow Connector 111"/>
                        <wps:cNvCnPr/>
                        <wps:spPr>
                          <a:xfrm flipH="1">
                            <a:off x="8448229" y="2626950"/>
                            <a:ext cx="223"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2" name="Straight Arrow Connector 112"/>
                        <wps:cNvCnPr/>
                        <wps:spPr>
                          <a:xfrm flipH="1">
                            <a:off x="9048511" y="2626950"/>
                            <a:ext cx="92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3" name="Straight Arrow Connector 113"/>
                        <wps:cNvCnPr/>
                        <wps:spPr>
                          <a:xfrm>
                            <a:off x="4047979" y="3934414"/>
                            <a:ext cx="2920" cy="27271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9" name="Straight Arrow Connector 119"/>
                        <wps:cNvCnPr/>
                        <wps:spPr>
                          <a:xfrm>
                            <a:off x="4038556" y="4626225"/>
                            <a:ext cx="0" cy="2279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0" name="Straight Arrow Connector 120"/>
                        <wps:cNvCnPr/>
                        <wps:spPr>
                          <a:xfrm>
                            <a:off x="4695775" y="4626225"/>
                            <a:ext cx="0" cy="2279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1" name="Straight Arrow Connector 121"/>
                        <wps:cNvCnPr/>
                        <wps:spPr>
                          <a:xfrm>
                            <a:off x="5335785" y="4626225"/>
                            <a:ext cx="0" cy="23084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2" name="Straight Arrow Connector 122"/>
                        <wps:cNvCnPr/>
                        <wps:spPr>
                          <a:xfrm flipH="1">
                            <a:off x="4695724" y="4124325"/>
                            <a:ext cx="343" cy="82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3" name="Straight Arrow Connector 123"/>
                        <wps:cNvCnPr/>
                        <wps:spPr>
                          <a:xfrm>
                            <a:off x="5335727" y="3934755"/>
                            <a:ext cx="0" cy="272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4" name="Straight Arrow Connector 124"/>
                        <wps:cNvCnPr/>
                        <wps:spPr>
                          <a:xfrm>
                            <a:off x="5954979" y="3934755"/>
                            <a:ext cx="0" cy="272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5" name="Straight Connector 125"/>
                        <wps:cNvCnPr/>
                        <wps:spPr>
                          <a:xfrm>
                            <a:off x="4381731" y="2084025"/>
                            <a:ext cx="0" cy="2975655"/>
                          </a:xfrm>
                          <a:prstGeom prst="line">
                            <a:avLst/>
                          </a:prstGeom>
                          <a:noFill/>
                          <a:ln w="9525" cap="flat" cmpd="sng" algn="ctr">
                            <a:solidFill>
                              <a:sysClr val="windowText" lastClr="000000">
                                <a:shade val="95000"/>
                                <a:satMod val="105000"/>
                              </a:sysClr>
                            </a:solidFill>
                            <a:prstDash val="solid"/>
                          </a:ln>
                          <a:effectLst/>
                        </wps:spPr>
                        <wps:bodyPr/>
                      </wps:wsp>
                      <wps:wsp>
                        <wps:cNvPr id="190" name="Straight Arrow Connector 134"/>
                        <wps:cNvCnPr/>
                        <wps:spPr>
                          <a:xfrm>
                            <a:off x="4381684" y="5059680"/>
                            <a:ext cx="95198" cy="694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1" name="Straight Arrow Connector 138"/>
                        <wps:cNvCnPr/>
                        <wps:spPr>
                          <a:xfrm>
                            <a:off x="1685210" y="5481230"/>
                            <a:ext cx="0" cy="78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147"/>
                        <wps:cNvCnPr/>
                        <wps:spPr>
                          <a:xfrm>
                            <a:off x="2389925" y="5481230"/>
                            <a:ext cx="0" cy="78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3" name="Straight Arrow Connector 148"/>
                        <wps:cNvCnPr/>
                        <wps:spPr>
                          <a:xfrm>
                            <a:off x="3111325" y="5481230"/>
                            <a:ext cx="0" cy="78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4" name="Straight Arrow Connector 149"/>
                        <wps:cNvCnPr/>
                        <wps:spPr>
                          <a:xfrm>
                            <a:off x="4027339" y="5481230"/>
                            <a:ext cx="0" cy="78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5" name="Straight Arrow Connector 150"/>
                        <wps:cNvCnPr/>
                        <wps:spPr>
                          <a:xfrm>
                            <a:off x="4758237" y="5481275"/>
                            <a:ext cx="0" cy="78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 name="Straight Arrow Connector 151"/>
                        <wps:cNvCnPr/>
                        <wps:spPr>
                          <a:xfrm>
                            <a:off x="5348722" y="5481275"/>
                            <a:ext cx="0" cy="78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Canvas 116" o:spid="_x0000_s1026" editas="canvas" alt="Title: Current clinical management algorithm for eligibility - Description: Current clinical management algorithm for eligibility&#10;to MBS and PBS items for osteoporosis&#10;" style="width:736.25pt;height:458.9pt;mso-position-horizontal-relative:char;mso-position-vertical-relative:line" coordsize="93503,5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urrent clinical management algorithm for eligibility&#10;to MBS and PBS items for osteoporosis&#10;" style="position:absolute;width:93503;height:58280;visibility:visible;mso-wrap-style:square">
                  <v:fill o:detectmouseclick="t"/>
                  <v:path o:connecttype="none"/>
                </v:shape>
                <v:shapetype id="_x0000_t202" coordsize="21600,21600" o:spt="202" path="m,l,21600r21600,l21600,xe">
                  <v:stroke joinstyle="miter"/>
                  <v:path gradientshapeok="t" o:connecttype="rect"/>
                </v:shapetype>
                <v:shape id="Text Box 282" o:spid="_x0000_s1028" type="#_x0000_t202" style="position:absolute;left:3346;width:55918;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6L8A&#10;AADcAAAADwAAAGRycy9kb3ducmV2LnhtbERPTYvCMBC9C/sfwix409RVxK1GEWFhT4JaPQ/NbFNs&#10;JiXJavXXG0HwNo/3OYtVZxtxIR9qxwpGwwwEcel0zZWC4vAzmIEIEVlj45gU3CjAavnRW2Cu3ZV3&#10;dNnHSqQQDjkqMDG2uZShNGQxDF1LnLg/5y3GBH0ltcdrCreN/MqyqbRYc2ow2NLGUHne/1sFp8re&#10;T8dR6422zYS399uhcLVS/c9uPQcRqYtv8cv9q9P88Tc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j7ovwAAANwAAAAPAAAAAAAAAAAAAAAAAJgCAABkcnMvZG93bnJl&#10;di54bWxQSwUGAAAAAAQABAD1AAAAhAMAAAAA&#10;" stroked="f" strokeweight=".5pt">
                  <v:textbox>
                    <w:txbxContent>
                      <w:p w:rsidR="009144E6" w:rsidRDefault="009144E6" w:rsidP="00F4545A">
                        <w:pPr>
                          <w:pStyle w:val="Caption"/>
                          <w:spacing w:after="0"/>
                          <w:ind w:left="1440" w:hanging="1440"/>
                        </w:pPr>
                        <w:r>
                          <w:t xml:space="preserve">Figure </w:t>
                        </w:r>
                        <w:proofErr w:type="gramStart"/>
                        <w:r>
                          <w:t>1 :</w:t>
                        </w:r>
                        <w:proofErr w:type="gramEnd"/>
                        <w:r>
                          <w:tab/>
                        </w:r>
                        <w:r w:rsidRPr="00AA3219">
                          <w:t>C</w:t>
                        </w:r>
                        <w:r>
                          <w:t>urrent c</w:t>
                        </w:r>
                        <w:r w:rsidRPr="00AA3219">
                          <w:t xml:space="preserve">linical management algorithm for </w:t>
                        </w:r>
                        <w:r>
                          <w:t>eligibility</w:t>
                        </w:r>
                      </w:p>
                      <w:p w:rsidR="009144E6" w:rsidRDefault="009144E6" w:rsidP="00F4545A">
                        <w:pPr>
                          <w:pStyle w:val="Caption"/>
                          <w:spacing w:after="0"/>
                          <w:ind w:left="1440" w:firstLine="0"/>
                        </w:pPr>
                        <w:proofErr w:type="gramStart"/>
                        <w:r>
                          <w:t>to</w:t>
                        </w:r>
                        <w:proofErr w:type="gramEnd"/>
                        <w:r>
                          <w:t xml:space="preserve"> MBS and PBS items for osteoporosis</w:t>
                        </w:r>
                      </w:p>
                    </w:txbxContent>
                  </v:textbox>
                </v:shape>
                <v:shape id="Text Box 5" o:spid="_x0000_s1029" type="#_x0000_t202" style="position:absolute;left:45824;top:1279;width:1922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fwscA&#10;AADcAAAADwAAAGRycy9kb3ducmV2LnhtbESPT0/CQBDF7yZ8h82QcJMtfySmshCBmIAHiGiix0l3&#10;7Fa6s013pfXbOwcTbzN5b977zXLd+1pdqY1VYAOTcQaKuAi24tLA2+vT7T2omJAt1oHJwA9FWK8G&#10;N0vMbej4ha7nVCoJ4ZijAZdSk2sdC0ce4zg0xKJ9htZjkrUttW2xk3Bf62mWLbTHiqXBYUNbR8Xl&#10;/O0NzDbdl9sRHVI1Ob4/n+LBflzujBkN+8cHUIn69G/+u95bwZ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HH8LHAAAA3AAAAA8AAAAAAAAAAAAAAAAAmAIAAGRy&#10;cy9kb3ducmV2LnhtbFBLBQYAAAAABAAEAPUAAACMAwAAAAA=&#10;" fillcolor="window" strokeweight=".5pt">
                  <v:textbox>
                    <w:txbxContent>
                      <w:p w:rsidR="009144E6" w:rsidRPr="00A0033A" w:rsidRDefault="009144E6" w:rsidP="00F4545A">
                        <w:pPr>
                          <w:rPr>
                            <w:rFonts w:ascii="Arial Narrow" w:hAnsi="Arial Narrow"/>
                            <w:sz w:val="18"/>
                            <w:szCs w:val="18"/>
                          </w:rPr>
                        </w:pPr>
                        <w:r w:rsidRPr="00A0033A">
                          <w:rPr>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v:textbox>
                </v:shape>
                <v:shape id="Text Box 123" o:spid="_x0000_s1030" type="#_x0000_t202" style="position:absolute;left:12296;top:7429;width:2101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6WcMA&#10;AADcAAAADwAAAGRycy9kb3ducmV2LnhtbERPS2vCQBC+F/oflil4q5tYK5K6iloE9dDiA+xxyE6z&#10;qdnZkF1N/PduodDbfHzPmcw6W4krNb50rCDtJyCIc6dLLhQcD6vnMQgfkDVWjknBjTzMpo8PE8y0&#10;a3lH130oRAxhn6ECE0KdSelzQxZ939XEkft2jcUQYVNI3WAbw20lB0kykhZLjg0Ga1oays/7i1Xw&#10;smh/zDvRJpTpx2n76Tf66/yqVO+pm7+BCNSFf/Gfe63j/GEKv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u6WcMAAADcAAAADwAAAAAAAAAAAAAAAACYAgAAZHJzL2Rv&#10;d25yZXYueG1sUEsFBgAAAAAEAAQA9QAAAIgDAAAAAA==&#10;" fillcolor="window"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Defined conditions with risk for developing OP</w:t>
                        </w:r>
                      </w:p>
                    </w:txbxContent>
                  </v:textbox>
                </v:shape>
                <v:shape id="Text Box 123" o:spid="_x0000_s1031" type="#_x0000_t202" style="position:absolute;left:48396;top:7429;width:12001;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RScMA&#10;AADcAAAADwAAAGRycy9kb3ducmV2LnhtbERP32vCMBB+H/g/hBP2NlPLGFKNMgoVGQycTmVvt+bW&#10;FJtLabJa/3szEPZ2H9/PW6wG24ieOl87VjCdJCCIS6drrhR87ounGQgfkDU2jknBlTyslqOHBWba&#10;XfiD+l2oRAxhn6ECE0KbSelLQxb9xLXEkftxncUQYVdJ3eElhttGpknyIi3WHBsMtpQbKs+7X6ug&#10;KE7vLdd86PPCbN/22/UXfh+VehwPr3MQgYbwL767NzrOf07h75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1RScMAAADcAAAADwAAAAAAAAAAAAAAAACYAgAAZHJzL2Rv&#10;d25yZXYueG1sUEsFBgAAAAAEAAQA9QAAAIgDAAAAAA==&#10;" fillcolor="window" strokecolor="windowText"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Other risk factors for OP</w:t>
                        </w:r>
                      </w:p>
                    </w:txbxContent>
                  </v:textbox>
                </v:shape>
                <v:line id="Straight Connector 8" o:spid="_x0000_s1032" style="position:absolute;visibility:visible;mso-wrap-style:square" from="22773,4953" to="8754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nfsIAAADcAAAADwAAAGRycy9kb3ducmV2LnhtbERPTYvCMBC9C/6HMIKXRVO1iFSjiKyw&#10;R+0u4nFoxrbaTGqT1a6/3ggL3ubxPmexak0lbtS40rKC0TACQZxZXXKu4Od7O5iBcB5ZY2WZFPyR&#10;g9Wy21lgou2d93RLfS5CCLsEFRTe14mULivIoBvamjhwJ9sY9AE2udQN3kO4qeQ4iqbSYMmhocCa&#10;NgVll/TXKMg354/rMT0/Yj/9nNltvDscTmul+r12PQfhqfVv8b/7S4f58QRe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tnfsIAAADcAAAADwAAAAAAAAAAAAAA&#10;AAChAgAAZHJzL2Rvd25yZXYueG1sUEsFBgAAAAAEAAQA+QAAAJADAAAAAA==&#10;" strokecolor="windowText"/>
                <v:shapetype id="_x0000_t32" coordsize="21600,21600" o:spt="32" o:oned="t" path="m,l21600,21600e" filled="f">
                  <v:path arrowok="t" fillok="f" o:connecttype="none"/>
                  <o:lock v:ext="edit" shapetype="t"/>
                </v:shapetype>
                <v:shape id="Straight Arrow Connector 11" o:spid="_x0000_s1033" type="#_x0000_t32" style="position:absolute;left:54377;top:3756;width:19;height:3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UhsMAAADcAAAADwAAAGRycy9kb3ducmV2LnhtbERP22oCMRB9L/gPYYS+1axii6xmpYot&#10;BRHq2r4Pm9mL3UyWJOrarzdCoW9zONdZLHvTijM531hWMB4lIIgLqxuuFHwd3p5mIHxA1thaJgVX&#10;8rDMBg8LTLW98J7OeahEDGGfooI6hC6V0hc1GfQj2xFHrrTOYIjQVVI7vMRw08pJkrxIgw3Hhho7&#10;WtdU/OQno8CuypP+frarmdsV+eZTHq/b91+lHof96xxEoD78i//cHzrOn07h/ky8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KFIbDAAAA3AAAAA8AAAAAAAAAAAAA&#10;AAAAoQIAAGRycy9kb3ducmV2LnhtbFBLBQYAAAAABAAEAPkAAACRAwAAAAA=&#10;" strokecolor="windowText">
                  <v:stroke endarrow="open"/>
                </v:shape>
                <v:shape id="Text Box 123" o:spid="_x0000_s1034" type="#_x0000_t202" style="position:absolute;left:83247;top:7429;width:840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JPcMA&#10;AADcAAAADwAAAGRycy9kb3ducmV2LnhtbERP32vCMBB+F/wfwgl7s6ljG1KNMoSOIQhO3cS3s7k1&#10;xeZSmqx2//0yEHy7j+/nzZe9rUVHra8cK5gkKQjiwumKSwWHfT6egvABWWPtmBT8koflYjiYY6bd&#10;lT+o24VSxBD2GSowITSZlL4wZNEnriGO3LdrLYYI21LqFq8x3NbyMU1fpMWKY4PBhlaGisvuxyrI&#10;8+Om4Yo/u1Vutuv99u2E5y+lHkb96wxEoD7cxTf3u47zn5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TJPcMAAADcAAAADwAAAAAAAAAAAAAAAACYAgAAZHJzL2Rv&#10;d25yZXYueG1sUEsFBgAAAAAEAAQA9QAAAIgDAAAAAA==&#10;" fillcolor="window" strokecolor="windowText"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All other factors</w:t>
                        </w:r>
                      </w:p>
                    </w:txbxContent>
                  </v:textbox>
                </v:shape>
                <v:shape id="Straight Arrow Connector 14" o:spid="_x0000_s1035" type="#_x0000_t32" style="position:absolute;left:87451;top:4953;width:92;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IncQAAADcAAAADwAAAGRycy9kb3ducmV2LnhtbERPTU8CMRC9k/AfmiHxxnZFs+JKIWBi&#10;4sELaNTjZDvubtxOl7aUhV9PTUy4zcv7nMVqMJ2I5HxrWcFtloMgrqxuuVbw8f4ynYPwAVljZ5kU&#10;nMjDajkeLbDU9shbirtQixTCvkQFTQh9KaWvGjLoM9sTJ+7HOoMhQVdL7fCYwk0nZ3leSIMtp4YG&#10;e3puqPrdHYyCz/NdfHyoXBG/9oftfvYd3+abqNTNZFg/gQg0hKv43/2q0/z7Av6eSR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UidxAAAANwAAAAPAAAAAAAAAAAA&#10;AAAAAKECAABkcnMvZG93bnJldi54bWxQSwUGAAAAAAQABAD5AAAAkgMAAAAA&#10;" strokecolor="windowText">
                  <v:stroke endarrow="open"/>
                </v:shape>
                <v:shape id="Straight Arrow Connector 15" o:spid="_x0000_s1036" type="#_x0000_t32" style="position:absolute;left:87451;top:9906;width:86;height:3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K8cMAAADcAAAADwAAAGRycy9kb3ducmV2LnhtbERP32vCMBB+F/wfwgl709ThXKlG0eHG&#10;YAy2br4fzdlWm0tJotb99Ysg+HYf38+bLzvTiBM5X1tWMB4lIIgLq2suFfz+vA5TED4ga2wsk4IL&#10;eVgu+r05Ztqe+ZtOeShFDGGfoYIqhDaT0hcVGfQj2xJHbmedwRChK6V2eI7hppGPSTKVBmuODRW2&#10;9FJRcciPRoFd7456+2TXqfss8s2X3F8+3v6Uehh0qxmIQF24i2/udx3nT57h+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YivHDAAAA3AAAAA8AAAAAAAAAAAAA&#10;AAAAoQIAAGRycy9kb3ducmV2LnhtbFBLBQYAAAAABAAEAPkAAACRAwAAAAA=&#10;" strokecolor="windowText">
                  <v:stroke endarrow="open"/>
                </v:shape>
                <v:shape id="Text Box 16" o:spid="_x0000_s1037" type="#_x0000_t202" style="position:absolute;left:12629;top:11515;width:783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TxMcA&#10;AADcAAAADwAAAGRycy9kb3ducmV2LnhtbESPT0/CQBDF7yZ8h82QcJMtfySmshCBmIAHiGiix0l3&#10;7Fa6s013pfXbOwcTbzN5b977zXLd+1pdqY1VYAOTcQaKuAi24tLA2+vT7T2omJAt1oHJwA9FWK8G&#10;N0vMbej4ha7nVCoJ4ZijAZdSk2sdC0ce4zg0xKJ9htZjkrUttW2xk3Bf62mWLbTHiqXBYUNbR8Xl&#10;/O0NzDbdl9sRHVI1Ob4/n+LBflzujBkN+8cHUIn69G/+u95bwZ8L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xE8THAAAA3AAAAA8AAAAAAAAAAAAAAAAAmAIAAGRy&#10;cy9kb3ducmV2LnhtbFBLBQYAAAAABAAEAPUAAACMAwAAAAA=&#10;" fillcolor="window" strokeweight=".5pt">
                  <v:textbox>
                    <w:txbxContent>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Glucocorticoid</w:t>
                        </w:r>
                      </w:p>
                      <w:p w:rsidR="009144E6" w:rsidRPr="009144E6" w:rsidRDefault="009144E6" w:rsidP="00F4545A">
                        <w:pPr>
                          <w:spacing w:after="0"/>
                          <w:rPr>
                            <w:rFonts w:ascii="Arial Narrow" w:hAnsi="Arial Narrow"/>
                            <w:sz w:val="18"/>
                            <w:szCs w:val="18"/>
                          </w:rPr>
                        </w:pPr>
                        <w:proofErr w:type="gramStart"/>
                        <w:r w:rsidRPr="009144E6">
                          <w:rPr>
                            <w:rFonts w:ascii="Arial Narrow" w:hAnsi="Arial Narrow"/>
                            <w:sz w:val="18"/>
                            <w:szCs w:val="18"/>
                          </w:rPr>
                          <w:t>therapy</w:t>
                        </w:r>
                        <w:proofErr w:type="gramEnd"/>
                      </w:p>
                    </w:txbxContent>
                  </v:textbox>
                </v:shape>
                <v:shape id="Text Box 17" o:spid="_x0000_s1038" type="#_x0000_t202" style="position:absolute;left:17914;top:16563;width:1091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2X8MA&#10;AADcAAAADwAAAGRycy9kb3ducmV2LnhtbERPS2sCMRC+C/6HMEJvmtU+sKtRtEWoHlqqBT0Om3Gz&#10;upksm+hu/31TELzNx/ec6by1pbhS7QvHCoaDBARx5nTBuYKf3ao/BuEDssbSMSn4JQ/zWbczxVS7&#10;hr/pug25iCHsU1RgQqhSKX1myKIfuIo4ckdXWwwR1rnUNTYx3JZylCQv0mLBscFgRW+GsvP2YhU8&#10;LpuTeSdah2L4ud98+bU+nJ+Veui1iwmIQG24i2/uDx3nP73C/zPx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22X8MAAADcAAAADwAAAAAAAAAAAAAAAACYAgAAZHJzL2Rv&#10;d25yZXYueG1sUEsFBgAAAAAEAAQA9QAAAIgDAAAAAA==&#10;" fillcolor="window" strokeweight=".5pt">
                  <v:textbox>
                    <w:txbxContent>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Male or female</w:t>
                        </w:r>
                      </w:p>
                      <w:p w:rsidR="009144E6" w:rsidRPr="009144E6" w:rsidRDefault="009144E6" w:rsidP="00F4545A">
                        <w:pPr>
                          <w:spacing w:after="0"/>
                          <w:rPr>
                            <w:rFonts w:ascii="Arial Narrow" w:hAnsi="Arial Narrow"/>
                            <w:sz w:val="18"/>
                            <w:szCs w:val="18"/>
                          </w:rPr>
                        </w:pPr>
                        <w:proofErr w:type="spellStart"/>
                        <w:proofErr w:type="gramStart"/>
                        <w:r w:rsidRPr="009144E6">
                          <w:rPr>
                            <w:rFonts w:ascii="Arial Narrow" w:hAnsi="Arial Narrow"/>
                            <w:sz w:val="18"/>
                            <w:szCs w:val="18"/>
                          </w:rPr>
                          <w:t>hypogonadism</w:t>
                        </w:r>
                        <w:proofErr w:type="spellEnd"/>
                        <w:proofErr w:type="gramEnd"/>
                        <w:r w:rsidRPr="009144E6">
                          <w:rPr>
                            <w:rFonts w:ascii="Arial Narrow" w:hAnsi="Arial Narrow"/>
                            <w:sz w:val="18"/>
                            <w:szCs w:val="18"/>
                          </w:rPr>
                          <w:t xml:space="preserve"> </w:t>
                        </w:r>
                        <w:proofErr w:type="spellStart"/>
                        <w:r w:rsidRPr="009144E6">
                          <w:rPr>
                            <w:rFonts w:ascii="Arial Narrow" w:hAnsi="Arial Narrow"/>
                            <w:sz w:val="18"/>
                            <w:szCs w:val="18"/>
                          </w:rPr>
                          <w:t>etc</w:t>
                        </w:r>
                        <w:proofErr w:type="spellEnd"/>
                        <w:r w:rsidRPr="009144E6">
                          <w:rPr>
                            <w:rFonts w:ascii="Arial Narrow" w:hAnsi="Arial Narrow"/>
                            <w:sz w:val="18"/>
                            <w:szCs w:val="18"/>
                          </w:rPr>
                          <w:t xml:space="preserve"> (a)</w:t>
                        </w:r>
                      </w:p>
                    </w:txbxContent>
                  </v:textbox>
                </v:shape>
                <v:shape id="Text Box 18" o:spid="_x0000_s1039" type="#_x0000_t202" style="position:absolute;left:24011;top:21516;width:1388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JH8YA&#10;AADcAAAADwAAAGRycy9kb3ducmV2LnhtbESPQWvCQBCF7wX/wzJCb3VjxSKpq6hFqD1UtIV6HLJj&#10;NpqdDdmtSf9951DobYb35r1v5sve1+pGbawCGxiPMlDERbAVlwY+P7YPM1AxIVusA5OBH4qwXAzu&#10;5pjb0PGBbsdUKgnhmKMBl1KTax0LRx7jKDTEop1D6zHJ2pbatthJuK/1Y5Y9aY8VS4PDhjaOiuvx&#10;2xuYrLuLeyHapWr8/vW2jzt7uk6NuR/2q2dQifr0b/67frWCPxV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6JH8YAAADcAAAADwAAAAAAAAAAAAAAAACYAgAAZHJz&#10;L2Rvd25yZXYueG1sUEsFBgAAAAAEAAQA9QAAAIsDAAAAAA==&#10;" fillcolor="window" strokeweight=".5pt">
                  <v:textbox>
                    <w:txbxContent>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Primary hyperparathyroidism</w:t>
                        </w:r>
                      </w:p>
                      <w:p w:rsidR="009144E6" w:rsidRPr="009144E6" w:rsidRDefault="009144E6" w:rsidP="00F4545A">
                        <w:pPr>
                          <w:spacing w:after="0"/>
                          <w:rPr>
                            <w:rFonts w:ascii="Arial Narrow" w:hAnsi="Arial Narrow"/>
                            <w:sz w:val="18"/>
                            <w:szCs w:val="18"/>
                          </w:rPr>
                        </w:pPr>
                        <w:r w:rsidRPr="009144E6">
                          <w:rPr>
                            <w:rFonts w:ascii="Arial Narrow" w:hAnsi="Arial Narrow"/>
                            <w:sz w:val="18"/>
                            <w:szCs w:val="18"/>
                          </w:rPr>
                          <w:t xml:space="preserve">Chronic renal disease </w:t>
                        </w:r>
                        <w:proofErr w:type="spellStart"/>
                        <w:r w:rsidRPr="009144E6">
                          <w:rPr>
                            <w:rFonts w:ascii="Arial Narrow" w:hAnsi="Arial Narrow"/>
                            <w:sz w:val="18"/>
                            <w:szCs w:val="18"/>
                          </w:rPr>
                          <w:t>etc</w:t>
                        </w:r>
                        <w:proofErr w:type="spellEnd"/>
                        <w:r w:rsidRPr="009144E6">
                          <w:rPr>
                            <w:rFonts w:ascii="Arial Narrow" w:hAnsi="Arial Narrow"/>
                            <w:sz w:val="18"/>
                            <w:szCs w:val="18"/>
                          </w:rPr>
                          <w:t xml:space="preserve"> (b)</w:t>
                        </w:r>
                      </w:p>
                    </w:txbxContent>
                  </v:textbox>
                </v:shape>
                <v:shape id="Text Box 153" o:spid="_x0000_s1040" type="#_x0000_t202" style="position:absolute;left:381;top:49815;width:7835;height:7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shMMA&#10;AADcAAAADwAAAGRycy9kb3ducmV2LnhtbERPTWvCQBC9C/6HZYTe6iYtikRX0ZZC7UExFupxyE6z&#10;qdnZkN2a9N+7QsHbPN7nLFa9rcWFWl85VpCOExDEhdMVlwo+j2+PMxA+IGusHZOCP/KwWg4HC8y0&#10;6/hAlzyUIoawz1CBCaHJpPSFIYt+7BriyH271mKIsC2lbrGL4baWT0kylRYrjg0GG3oxVJzzX6vg&#10;edP9mFeibajS3dfH3m/16TxR6mHUr+cgAvXhLv53v+s4f5LC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IshM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1" type="#_x0000_t202" style="position:absolute;left:36384;top:11601;width:1122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y88MA&#10;AADcAAAADwAAAGRycy9kb3ducmV2LnhtbERPS2vCQBC+C/0PyxR6000sSomuoQ8K6kGpLdjjkJ1m&#10;U7OzIbua+O9dQfA2H99z5nlva3Gi1leOFaSjBARx4XTFpYKf78/hCwgfkDXWjknBmTzki4fBHDPt&#10;Ov6i0y6UIoawz1CBCaHJpPSFIYt+5BriyP251mKIsC2lbrGL4baW4ySZSosVxwaDDb0bKg67o1Xw&#10;/Nb9mw+iVajSzX699Sv9e5go9fTYv85ABOrDXXxzL3WcPxnD9Zl4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Cy8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9144E6" w:rsidRDefault="009144E6" w:rsidP="00F4545A">
                        <w:pPr>
                          <w:pStyle w:val="NormalWeb"/>
                          <w:spacing w:before="0" w:beforeAutospacing="0" w:after="0" w:afterAutospacing="0" w:line="276" w:lineRule="auto"/>
                        </w:pPr>
                        <w:r>
                          <w:rPr>
                            <w:rFonts w:ascii="Arial Narrow" w:hAnsi="Arial Narrow"/>
                            <w:sz w:val="18"/>
                            <w:szCs w:val="18"/>
                          </w:rPr>
                          <w:t>T-score ≤ -2.5</w:t>
                        </w:r>
                      </w:p>
                    </w:txbxContent>
                  </v:textbox>
                </v:shape>
                <v:shape id="Text Box 153" o:spid="_x0000_s1042" type="#_x0000_t202" style="position:absolute;left:14934;top:55511;width:44666;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aMMA&#10;AADcAAAADwAAAGRycy9kb3ducmV2LnhtbERPTWvCQBC9C/6HZYTe6iYVRaJrqJZC7aGiLehxyI7Z&#10;1OxsyG5N+u+7QsHbPN7nLPPe1uJKra8cK0jHCQjiwumKSwVfn6+PcxA+IGusHZOCX/KQr4aDJWba&#10;dbyn6yGUIoawz1CBCaHJpPSFIYt+7BriyJ1dazFE2JZSt9jFcFvLpySZSYsVxwaDDW0MFZfDj1Uw&#10;WXff5oVoG6r04/i+81t9ukyVehj1zwsQgfpwF/+733ScP53A7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wXaMMAAADcAAAADwAAAAAAAAAAAAAAAACYAgAAZHJzL2Rv&#10;d25yZXYueG1sUEsFBgAAAAAEAAQA9QAAAIgDAAAAAA==&#10;" fillcolor="window" strokeweight=".5pt">
                  <v:textbox>
                    <w:txbxContent>
                      <w:p w:rsidR="009144E6" w:rsidRPr="008C7DE0" w:rsidRDefault="009144E6" w:rsidP="00F4545A">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v:textbox>
                </v:shape>
                <v:shape id="Text Box 153" o:spid="_x0000_s1043" type="#_x0000_t202" style="position:absolute;left:60712;top:16649;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PHMMA&#10;AADcAAAADwAAAGRycy9kb3ducmV2LnhtbERPS2sCMRC+C/6HMIK3mrXWIqtRWqVQe7D4AD0Om3Gz&#10;dTNZNqm7/ntTKHibj+85s0VrS3Gl2heOFQwHCQjizOmCcwWH/cfTBIQPyBpLx6TgRh4W825nhql2&#10;DW/pugu5iCHsU1RgQqhSKX1myKIfuIo4cmdXWwwR1rnUNTYx3JbyOUlepcWCY4PBipaGssvu1yoY&#10;vTc/ZkW0DsVwc/z69mt9uoyV6vfatymIQG14iP/dnzrOH7/A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WPHM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4" type="#_x0000_t202" style="position:absolute;left:53044;top:11686;width:9557;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qh8MA&#10;AADcAAAADwAAAGRycy9kb3ducmV2LnhtbERPTWvCQBC9F/oflil4041KSomu0loK6sFSK+hxyI7Z&#10;aHY2ZFcT/71bEHqbx/uc6byzlbhS40vHCoaDBARx7nTJhYLd71f/DYQPyBorx6TgRh7ms+enKWba&#10;tfxD120oRAxhn6ECE0KdSelzQxb9wNXEkTu6xmKIsCmkbrCN4baSoyR5lRZLjg0Ga1oYys/bi1Uw&#10;/mhP5pNoFcrhZr/+9it9OKdK9V669wmIQF34Fz/cSx3npyn8PR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kqh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v:textbox>
                </v:shape>
                <v:shape id="Text Box 153" o:spid="_x0000_s1045" type="#_x0000_t202" style="position:absolute;left:49910;top:21516;width:3829;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08MMA&#10;AADcAAAADwAAAGRycy9kb3ducmV2LnhtbERPTWvCQBC9F/wPywi96SYtikTXUC2F2oOiLehxyI7Z&#10;1OxsyG5N+u+7gtDbPN7nLPLe1uJKra8cK0jHCQjiwumKSwVfn2+jGQgfkDXWjknBL3nIl4OHBWba&#10;dbyn6yGUIoawz1CBCaHJpPSFIYt+7BriyJ1dazFE2JZSt9jFcFvLpySZSosVxwaDDa0NFZfDj1Xw&#10;vOq+zSvRJlTp9vix8xt9ukyUehz2L3MQgfrwL76733WcP5n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08M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9144E6" w:rsidRDefault="009144E6" w:rsidP="00F4545A">
                        <w:pPr>
                          <w:pStyle w:val="NormalWeb"/>
                          <w:spacing w:before="0" w:beforeAutospacing="0" w:after="0" w:afterAutospacing="0" w:line="276" w:lineRule="auto"/>
                        </w:pPr>
                        <w:r>
                          <w:rPr>
                            <w:rFonts w:ascii="Arial Narrow" w:hAnsi="Arial Narrow"/>
                            <w:sz w:val="18"/>
                            <w:szCs w:val="18"/>
                          </w:rPr>
                          <w:t>≥ 70</w:t>
                        </w:r>
                      </w:p>
                    </w:txbxContent>
                  </v:textbox>
                </v:shape>
                <v:shape id="Text Box 153" o:spid="_x0000_s1046" type="#_x0000_t202" style="position:absolute;left:43816;top:16649;width:486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Ra8MA&#10;AADcAAAADwAAAGRycy9kb3ducmV2LnhtbERPS2sCMRC+C/0PYQrealbFVrZGqYpQPVh8gB6HzXSz&#10;dTNZNtHd/ntTKHibj+85k1lrS3Gj2heOFfR7CQjizOmCcwXHw+plDMIHZI2lY1LwSx5m06fOBFPt&#10;Gt7RbR9yEUPYp6jAhFClUvrMkEXfcxVx5L5dbTFEWOdS19jEcFvKQZK8SosFxwaDFS0MZZf91SoY&#10;zpsfsyRah6K/PW2+/FqfLyOlus/txzuIQG14iP/dnzrOH73B3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cRa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9144E6" w:rsidRDefault="009144E6" w:rsidP="00F4545A">
                        <w:pPr>
                          <w:pStyle w:val="NormalWeb"/>
                          <w:spacing w:before="0" w:beforeAutospacing="0" w:after="0" w:afterAutospacing="0" w:line="276" w:lineRule="auto"/>
                        </w:pPr>
                        <w:r>
                          <w:rPr>
                            <w:rFonts w:ascii="Arial Narrow" w:hAnsi="Arial Narrow"/>
                            <w:sz w:val="18"/>
                            <w:szCs w:val="18"/>
                          </w:rPr>
                          <w:t>MTF</w:t>
                        </w:r>
                      </w:p>
                    </w:txbxContent>
                  </v:textbox>
                </v:shape>
                <v:shape id="Text Box 153" o:spid="_x0000_s1047" type="#_x0000_t202" style="position:absolute;left:13677;top:29327;width:5334;height:100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FGcYA&#10;AADcAAAADwAAAGRycy9kb3ducmV2LnhtbESPQWvCQBCF7wX/wzJCb3VjxSKpq6hFqD1UtIV6HLJj&#10;NpqdDdmtSf9951DobYb35r1v5sve1+pGbawCGxiPMlDERbAVlwY+P7YPM1AxIVusA5OBH4qwXAzu&#10;5pjb0PGBbsdUKgnhmKMBl1KTax0LRx7jKDTEop1D6zHJ2pbatthJuK/1Y5Y9aY8VS4PDhjaOiuvx&#10;2xuYrLuLeyHapWr8/vW2jzt7uk6NuR/2q2dQifr0b/67frWCPxV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iFGcYAAADcAAAADwAAAAAAAAAAAAAAAACYAgAAZHJz&#10;L2Rvd25yZXYueG1sUEsFBgAAAAAEAAQA9QAAAIs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48" type="#_x0000_t202" style="position:absolute;left:21348;top:29327;width:5334;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ggsMA&#10;AADcAAAADwAAAGRycy9kb3ducmV2LnhtbERPS2sCMRC+C/0PYQrealbFUrdGqYpQPVh8gB6HzXSz&#10;dTNZNtHd/ntTKHibj+85k1lrS3Gj2heOFfR7CQjizOmCcwXHw+rlDYQPyBpLx6TglzzMpk+dCaba&#10;Nbyj2z7kIoawT1GBCaFKpfSZIYu+5yriyH272mKIsM6lrrGJ4baUgyR5lRYLjg0GK1oYyi77q1Uw&#10;nDc/Zkm0DkV/e9p8+bU+X0ZKdZ/bj3cQgdrwEP+7P3WcPxrD3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ggs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Pr="00F231BC"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49" type="#_x0000_t202" style="position:absolute;left:28297;top:29412;width:5334;height:99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DosYA&#10;AADcAAAADwAAAGRycy9kb3ducmV2LnhtbESPQWvCQBCF74X+h2UKvenGloqkrqKWQu1B0RbqcciO&#10;2Wh2NmS3Jv33zkHobYb35r1vpvPe1+pCbawCGxgNM1DERbAVlwa+v94HE1AxIVusA5OBP4own93f&#10;TTG3oeMdXfapVBLCMUcDLqUm1zoWjjzGYWiIRTuG1mOStS21bbGTcF/rpywba48VS4PDhlaOivP+&#10;1xt4XnYn90a0TtVo8/O5jWt7OL8Y8/jQL15BJerTv/l2/WEFfyz48oxM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JDosYAAADcAAAADwAAAAAAAAAAAAAAAACYAgAAZHJz&#10;L2Rvd25yZXYueG1sUEsFBgAAAAAEAAQA9QAAAIs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9144E6" w:rsidRPr="00F231BC"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50" type="#_x0000_t202" style="position:absolute;left:37812;top:29212;width:5334;height:101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7mOcIA&#10;AADcAAAADwAAAGRycy9kb3ducmV2LnhtbERPS2vCQBC+C/0PyxS86SaVSomu0gcF9WCpFfQ4ZMds&#10;NDsbsqtJ/70rCN7m43vOdN7ZSlyo8aVjBekwAUGcO11yoWD79z14A+EDssbKMSn4Jw/z2VNvipl2&#10;Lf/SZRMKEUPYZ6jAhFBnUvrckEU/dDVx5A6usRgibAqpG2xjuK3kS5KMpcWSY4PBmj4N5afN2SoY&#10;fbRH80W0DGW63q1+/FLvT69K9Z+79wmIQF14iO/uhY7zxyncno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uY5wgAAANwAAAAPAAAAAAAAAAAAAAAAAJgCAABkcnMvZG93&#10;bnJldi54bWxQSwUGAAAAAAQABAD1AAAAhwM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1" type="#_x0000_t202" style="position:absolute;left:44293;top:29327;width:5334;height:119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x4TsMA&#10;AADcAAAADwAAAGRycy9kb3ducmV2LnhtbERPS2vCQBC+C/0PyxR6000sSomuoQ8K6kGpLdjjkJ1m&#10;U7OzIbua+O9dQfA2H99z5nlva3Gi1leOFaSjBARx4XTFpYKf78/hCwgfkDXWjknBmTzki4fBHDPt&#10;Ov6i0y6UIoawz1CBCaHJpPSFIYt+5BriyP251mKIsC2lbrGL4baW4ySZSosVxwaDDb0bKg67o1Xw&#10;/Nb9mw+iVajSzX699Sv9e5go9fTYv85ABOrDXXxzL3WcPx3D9Zl4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x4Ts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2" type="#_x0000_t202" style="position:absolute;left:50852;top:29327;width:4502;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d1cMA&#10;AADcAAAADwAAAGRycy9kb3ducmV2LnhtbERPTWvCQBC9F/wPywi91U0qikTXUC2F2oOiLehxyI7Z&#10;1OxsyG5N/PddodDbPN7nLPLe1uJKra8cK0hHCQjiwumKSwVfn29PMxA+IGusHZOCG3nIl4OHBWba&#10;dbyn6yGUIoawz1CBCaHJpPSFIYt+5BriyJ1dazFE2JZSt9jFcFvL5ySZSosVxwaDDa0NFZfDj1Uw&#10;XnXf5pVoE6p0e/zY+Y0+XSZKPQ77lzmIQH34F/+533WcPx3D/Z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d1c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v:textbox>
                </v:shape>
                <v:shape id="Text Box 153" o:spid="_x0000_s1053" type="#_x0000_t202" style="position:absolute;left:56758;top:29327;width:5334;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FocMA&#10;AADcAAAADwAAAGRycy9kb3ducmV2LnhtbERPS2sCMRC+C/0PYQreNKu2IlujVEWoPVh8gB6HzXSz&#10;dTNZNtFd/70pFHqbj+8503lrS3Gj2heOFQz6CQjizOmCcwXHw7o3AeEDssbSMSm4k4f57KkzxVS7&#10;hnd024dcxBD2KSowIVSplD4zZNH3XUUcuW9XWwwR1rnUNTYx3JZymCRjabHg2GCwoqWh7LK/WgWj&#10;RfNjVkSbUAy2p88vv9Hny6tS3ef2/Q1EoDb8i//cHzrOH7/A7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lFoc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4" type="#_x0000_t202" style="position:absolute;left:60545;top:49815;width:7836;height:7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gOsMA&#10;AADcAAAADwAAAGRycy9kb3ducmV2LnhtbERPTWvCQBC9F/wPywi96SYtikTXUC2F2oOiLehxyI7Z&#10;1OxsyG5N+u+7gtDbPN7nLPLe1uJKra8cK0jHCQjiwumKSwVfn2+jGQgfkDXWjknBL3nIl4OHBWba&#10;dbyn6yGUIoawz1CBCaHJpPSFIYt+7BriyJ1dazFE2JZSt9jFcFvLpySZSosVxwaDDa0NFZfDj1Xw&#10;vOq+zSvRJlTp9vix8xt9ukyUehz2L3MQgfrwL76733WcP53A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gOs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55" type="#_x0000_t202" style="position:absolute;left:69087;top:39344;width:24403;height:189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TcMA&#10;AADcAAAADwAAAGRycy9kb3ducmV2LnhtbERPS2vCQBC+F/wPywi91Y0Wg0RX8YFQe6gYC/U4ZKfZ&#10;1OxsyG5N/PfdQqG3+fies1j1thY3an3lWMF4lIAgLpyuuFTwft4/zUD4gKyxdkwK7uRhtRw8LDDT&#10;ruMT3fJQihjCPkMFJoQmk9IXhiz6kWuII/fpWoshwraUusUuhttaTpIklRYrjg0GG9oaKq75t1Xw&#10;vOm+zI7oEKrx28fr0R/05TpV6nHYr+cgAvXhX/znftFxfprC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Tc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9144E6" w:rsidRDefault="009144E6" w:rsidP="00F4545A">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Pr>
                            <w:rFonts w:ascii="Arial Narrow" w:hAnsi="Arial Narrow"/>
                            <w:sz w:val="18"/>
                            <w:szCs w:val="18"/>
                          </w:rPr>
                          <w:t>thryoxine</w:t>
                        </w:r>
                        <w:proofErr w:type="spellEnd"/>
                        <w:r>
                          <w:rPr>
                            <w:rFonts w:ascii="Arial Narrow" w:hAnsi="Arial Narrow"/>
                            <w:sz w:val="18"/>
                            <w:szCs w:val="18"/>
                          </w:rPr>
                          <w:t xml:space="preserve"> excess</w:t>
                        </w:r>
                      </w:p>
                    </w:txbxContent>
                  </v:textbox>
                </v:shape>
                <v:shape id="Text Box 153" o:spid="_x0000_s1056" type="#_x0000_t202" style="position:absolute;left:13867;top:41895;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b1sMA&#10;AADcAAAADwAAAGRycy9kb3ducmV2LnhtbERPS2sCMRC+C/6HMIK3mrVSK6tRWqVQe7D4AD0Om3Gz&#10;dTNZNqm7/ntTKHibj+85s0VrS3Gl2heOFQwHCQjizOmCcwWH/cfTBIQPyBpLx6TgRh4W825nhql2&#10;DW/pugu5iCHsU1RgQqhSKX1myKIfuIo4cmdXWwwR1rnUNTYx3JbyOUnG0mLBscFgRUtD2WX3axWM&#10;3psfsyJah2K4OX59+7U+XV6U6vfatymIQG14iP/dnzrOH7/C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b1s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9144E6" w:rsidRDefault="009144E6" w:rsidP="00F4545A">
                        <w:pPr>
                          <w:pStyle w:val="NormalWeb"/>
                          <w:spacing w:before="0" w:beforeAutospacing="0" w:after="0" w:afterAutospacing="0" w:line="276" w:lineRule="auto"/>
                        </w:pPr>
                        <w:r>
                          <w:rPr>
                            <w:rFonts w:ascii="Arial Narrow" w:hAnsi="Arial Narrow"/>
                            <w:sz w:val="18"/>
                            <w:szCs w:val="18"/>
                          </w:rPr>
                          <w:t>≤-1.0</w:t>
                        </w:r>
                      </w:p>
                    </w:txbxContent>
                  </v:textbox>
                </v:shape>
                <v:shape id="Straight Arrow Connector 36" o:spid="_x0000_s1057" type="#_x0000_t32" style="position:absolute;left:22773;top:4953;width:32;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65cUAAADcAAAADwAAAGRycy9kb3ducmV2LnhtbESPQWvCQBCF7wX/wzKCl6IbI7USXaUI&#10;toWeagteh+wkG8zOhuw2pv++cxB6m+G9ee+b3WH0rRqoj01gA8tFBoq4DLbh2sD312m+ARUTssU2&#10;MBn4pQiH/eRhh4UNN/6k4ZxqJSEcCzTgUuoKrWPpyGNchI5YtCr0HpOsfa1tjzcJ963Os2ytPTYs&#10;DQ47Ojoqr+cfb6DKLS0frxf39vyE1fFjlQ9D+2rMbDq+bEElGtO/+X79bgV/LbT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G65cUAAADcAAAADwAAAAAAAAAA&#10;AAAAAAChAgAAZHJzL2Rvd25yZXYueG1sUEsFBgAAAAAEAAQA+QAAAJMDAAAAAA==&#10;">
                  <v:stroke endarrow="open"/>
                </v:shape>
                <v:shape id="Text Box 153" o:spid="_x0000_s1058" type="#_x0000_t202" style="position:absolute;left:21538;top:4198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qP8MA&#10;AADcAAAADwAAAGRycy9kb3ducmV2LnhtbERPS2sCMRC+C/6HMIK3mrVSqatRWqVQe7D4AD0Om3Gz&#10;dTNZNqm7/ntTKHibj+85s0VrS3Gl2heOFQwHCQjizOmCcwWH/cfTKwgfkDWWjknBjTws5t3ODFPt&#10;Gt7SdRdyEUPYp6jAhFClUvrMkEU/cBVx5M6uthgirHOpa2xiuC3lc5KMpcWCY4PBipaGssvu1yoY&#10;vTc/ZkW0DsVwc/z69mt9urwo1e+1b1MQgdrwEP+7P3WcP57A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jqP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59" type="#_x0000_t202" style="position:absolute;left:28487;top:4198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Vf8YA&#10;AADcAAAADwAAAGRycy9kb3ducmV2LnhtbESPQU/CQBCF7yb8h82QcJMtEMRUFiIQE/AAEU30OOmO&#10;3Up3tumutP5752DibSbvzXvfLNe9r9WV2lgFNjAZZ6CIi2ArLg28vT7d3oOKCdliHZgM/FCE9Wpw&#10;s8Tcho5f6HpOpZIQjjkacCk1udaxcOQxjkNDLNpnaD0mWdtS2xY7Cfe1nmbZnfZYsTQ4bGjrqLic&#10;v72B2ab7cjuiQ6omx/fnUzzYj8vcmNGwf3wAlahP/+a/670V/IX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vVf8YAAADcAAAADwAAAAAAAAAAAAAAAACYAgAAZHJz&#10;L2Rvd25yZXYueG1sUEsFBgAAAAAEAAQA9QAAAIsDAAAAAA==&#10;" fillcolor="window" strokeweight=".5pt">
                  <v:textbo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0" type="#_x0000_t202" style="position:absolute;left:57183;top:42066;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w5MMA&#10;AADcAAAADwAAAGRycy9kb3ducmV2LnhtbERPS2vCQBC+F/oflil4q5tYrJK6iloE9dDiA+xxyE6z&#10;qdnZkF1N/PduodDbfHzPmcw6W4krNb50rCDtJyCIc6dLLhQcD6vnMQgfkDVWjknBjTzMpo8PE8y0&#10;a3lH130oRAxhn6ECE0KdSelzQxZ939XEkft2jcUQYVNI3WAbw20lB0nyKi2WHBsM1rQ0lJ/3F6vg&#10;ZdH+mHeiTSjTj9P202/013moVO+pm7+BCNSFf/Gfe63j/FEKv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dw5M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1" type="#_x0000_t202" style="position:absolute;left:50852;top:42066;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uk8MA&#10;AADcAAAADwAAAGRycy9kb3ducmV2LnhtbERPS2sCMRC+F/ofwhS81ayKrWyNUhVBPVh8gB6HzXSz&#10;dTNZNtFd/70pFHqbj+8542lrS3Gj2heOFfS6CQjizOmCcwXHw/J1BMIHZI2lY1JwJw/TyfPTGFPt&#10;Gt7RbR9yEUPYp6jAhFClUvrMkEXfdRVx5L5dbTFEWOdS19jEcFvKfpK8SYsFxwaDFc0NZZf91SoY&#10;zJofsyBah6K3PW2+/FqfL0OlOi/t5weIQG34F/+5VzrOf+/D7zPx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uk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 -2.5</w:t>
                        </w:r>
                      </w:p>
                    </w:txbxContent>
                  </v:textbox>
                </v:shape>
                <v:shape id="Text Box 153" o:spid="_x0000_s1062" type="#_x0000_t202" style="position:absolute;left:44293;top:42066;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LCMMA&#10;AADcAAAADwAAAGRycy9kb3ducmV2LnhtbERPS2sCMRC+F/ofwhS81ayKrWyNUhVBPVh8gB6HzXSz&#10;dTNZNtFd/70pFHqbj+8542lrS3Gj2heOFfS6CQjizOmCcwXHw/J1BMIHZI2lY1JwJw/TyfPTGFPt&#10;Gt7RbR9yEUPYp6jAhFClUvrMkEXfdRVx5L5dbTFEWOdS19jEcFvKfpK8SYsFxwaDFc0NZZf91SoY&#10;zJofsyBah6K3PW2+/FqfL0OlOi/t5weIQG34F/+5VzrOfx/A7zPx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LCM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pPr>
                        <w:r>
                          <w:rPr>
                            <w:rFonts w:ascii="Arial Narrow" w:hAnsi="Arial Narrow"/>
                            <w:sz w:val="18"/>
                            <w:szCs w:val="18"/>
                          </w:rPr>
                          <w:t>T-score</w:t>
                        </w:r>
                      </w:p>
                      <w:p w:rsidR="009144E6" w:rsidRPr="00974910"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v:textbox>
                </v:shape>
                <v:shape id="Text Box 153" o:spid="_x0000_s1063" type="#_x0000_t202" style="position:absolute;left:37997;top:42066;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TfMMA&#10;AADcAAAADwAAAGRycy9kb3ducmV2LnhtbERPS2sCMRC+C/6HMEJvmtU+LKtRtEWoHlqqBT0Om3Gz&#10;upksm+hu/31TELzNx/ec6by1pbhS7QvHCoaDBARx5nTBuYKf3ar/CsIHZI2lY1LwSx7ms25niql2&#10;DX/TdRtyEUPYp6jAhFClUvrMkEU/cBVx5I6uthgirHOpa2xiuC3lKElepMWCY4PBit4MZeftxSp4&#10;XDYn8060DsXwc7/58mt9OD8r9dBrFxMQgdpwF9/cHzrOHz/B/zPx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DTfM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9144E6" w:rsidRDefault="009144E6" w:rsidP="00F4545A">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4" type="#_x0000_t202" style="position:absolute;left:14136;top:48560;width:4762;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258MA&#10;AADcAAAADwAAAGRycy9kb3ducmV2LnhtbERPS2sCMRC+C/0PYQrealbFVrZGqYpQPVh8gB6HzXSz&#10;dTNZNtHd/ntTKHibj+85k1lrS3Gj2heOFfR7CQjizOmCcwXHw+plDMIHZI2lY1LwSx5m06fOBFPt&#10;Gt7RbR9yEUPYp6jAhFClUvrMkEXfcxVx5L5dbTFEWOdS19jEcFvKQZK8SosFxwaDFS0MZZf91SoY&#10;zpsfsyRah6K/PW2+/FqfLyOlus/txzuIQG14iP/dnzrOfxvB3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25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9144E6" w:rsidRPr="00974910"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5" type="#_x0000_t202" style="position:absolute;left:28487;top:48570;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okMMA&#10;AADcAAAADwAAAGRycy9kb3ducmV2LnhtbERPS2sCMRC+C/6HMIK3mrVSK6tRWqVQe7D4AD0Om3Gz&#10;dTNZNqm7/ntTKHibj+85s0VrS3Gl2heOFQwHCQjizOmCcwWH/cfTBIQPyBpLx6TgRh4W825nhql2&#10;DW/pugu5iCHsU1RgQqhSKX1myKIfuIo4cmdXWwwR1rnUNTYx3JbyOUnG0mLBscFgRUtD2WX3axWM&#10;3psfsyJah2K4OX59+7U+XV6U6vfatymIQG14iP/dnzrOfx3D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7okMMAAADcAAAADwAAAAAAAAAAAAAAAACYAgAAZHJzL2Rv&#10;d25yZXYueG1sUEsFBgAAAAAEAAQA9QAAAIgDAAAAAA==&#10;" fillcolor="window" strokeweight=".5pt">
                  <v:textbo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6" type="#_x0000_t202" style="position:absolute;left:21538;top:48551;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NC8MA&#10;AADcAAAADwAAAGRycy9kb3ducmV2LnhtbERPS2sCMRC+C/0PYQreNKvSKlujVEWoPVh8gB6HzXSz&#10;dTNZNtFd/70pFHqbj+8503lrS3Gj2heOFQz6CQjizOmCcwXHw7o3AeEDssbSMSm4k4f57KkzxVS7&#10;hnd024dcxBD2KSowIVSplD4zZNH3XUUcuW9XWwwR1rnUNTYx3JZymCSv0mLBscFgRUtD2WV/tQpG&#10;i+bHrIg2oRhsT59ffqPPlxelus/t+xuIQG34F/+5P3ScPx7D7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NC8MAAADcAAAADwAAAAAAAAAAAAAAAACYAgAAZHJzL2Rv&#10;d25yZXYueG1sUEsFBgAAAAAEAAQA9QAAAIgDAAAAAA==&#10;" fillcolor="window" strokeweight=".5pt">
                  <v:textbo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7" type="#_x0000_t202" style="position:absolute;left:37997;top:48541;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3ZecYA&#10;AADcAAAADwAAAGRycy9kb3ducmV2LnhtbESPQU/CQBCF7yb8h82QcJMtEMRUFiIQE/AAEU30OOmO&#10;3Up3tumutP5752DibSbvzXvfLNe9r9WV2lgFNjAZZ6CIi2ArLg28vT7d3oOKCdliHZgM/FCE9Wpw&#10;s8Tcho5f6HpOpZIQjjkacCk1udaxcOQxjkNDLNpnaD0mWdtS2xY7Cfe1nmbZnfZYsTQ4bGjrqLic&#10;v72B2ab7cjuiQ6omx/fnUzzYj8vcmNGwf3wAlahP/+a/670V/IX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3ZecYAAADcAAAADwAAAAAAAAAAAAAAAACYAgAAZHJz&#10;L2Rvd25yZXYueG1sUEsFBgAAAAAEAAQA9QAAAIsDAAAAAA==&#10;" fillcolor="window" strokeweight=".5pt">
                  <v:textbo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8" type="#_x0000_t202" style="position:absolute;left:44768;top:48570;width:476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84sMA&#10;AADcAAAADwAAAGRycy9kb3ducmV2LnhtbERPTWsCMRC9C/6HMEJvmtXS1q5G0RahemipFvQ4bMbN&#10;6maybKK7/fdNQfA2j/c503lrS3Gl2heOFQwHCQjizOmCcwU/u1V/DMIHZI2lY1LwSx7ms25niql2&#10;DX/TdRtyEUPYp6jAhFClUvrMkEU/cBVx5I6uthgirHOpa2xiuC3lKEmepcWCY4PBit4MZeftxSp4&#10;XDYn8060DsXwc7/58mt9OD8p9dBrFxMQgdpwF9/cHzrOf3mF/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84s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9144E6" w:rsidRDefault="009144E6" w:rsidP="00F4545A">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9" type="#_x0000_t202" style="position:absolute;left:50973;top:48570;width:689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lWMYA&#10;AADcAAAADwAAAGRycy9kb3ducmV2LnhtbESPQWvCQBCF7wX/wzKF3upGi0VSV6mWgnqoqIX2OGSn&#10;2dTsbMiuJv5751DobYb35r1vZove1+pCbawCGxgNM1DERbAVlwY+j++PU1AxIVusA5OBK0VYzAd3&#10;M8xt6HhPl0MqlYRwzNGAS6nJtY6FI49xGBpi0X5C6zHJ2pbatthJuK/1OMuetceKpcFhQytHxelw&#10;9gaelt2veyPapGr08bXdxY39Pk2MebjvX19AJerTv/nvem0Ffyr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6lWMYAAADcAAAADwAAAAAAAAAAAAAAAACYAgAAZHJz&#10;L2Rvd25yZXYueG1sUEsFBgAAAAAEAAQA9QAAAIsDAAAAAA==&#10;" fillcolor="window" strokeweight=".5pt">
                  <v:textbox>
                    <w:txbxContent>
                      <w:p w:rsidR="009144E6" w:rsidRDefault="009144E6" w:rsidP="005E09EC">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v:textbox>
                </v:shape>
                <v:shape id="Text Box 153" o:spid="_x0000_s1070" type="#_x0000_t202" style="position:absolute;left:656;top:16649;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Aw8IA&#10;AADcAAAADwAAAGRycy9kb3ducmV2LnhtbERPS2vCQBC+C/0PyxS86SaVikRX6YOCerDUCnocsmM2&#10;mp0N2dWk/94VhN7m43vObNHZSlyp8aVjBekwAUGcO11yoWD3+zWYgPABWWPlmBT8kYfF/Kk3w0y7&#10;ln/oug2FiCHsM1RgQqgzKX1uyKIfupo4ckfXWAwRNoXUDbYx3FbyJUnG0mLJscFgTR+G8vP2YhWM&#10;3tuT+SRahTLd7NfffqUP51el+s/d2xREoC78ix/upY7zJyn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gDDwgAAANwAAAAPAAAAAAAAAAAAAAAAAJgCAABkcnMvZG93&#10;bnJldi54bWxQSwUGAAAAAAQABAD1AAAAhwMAAAAA&#10;" fillcolor="window" strokeweight=".5pt">
                  <v:textbox>
                    <w:txbxContent>
                      <w:p w:rsidR="009144E6" w:rsidRDefault="009144E6" w:rsidP="00F4545A">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9144E6" w:rsidRDefault="009144E6" w:rsidP="00F4545A">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group id="Group 52" o:spid="_x0000_s1071" style="position:absolute;left:81690;top:13506;width:11811;height:24765" coordsize="11811,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 Box 123" o:spid="_x0000_s1072" type="#_x0000_t202" style="position:absolute;left:1332;width:87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7L8MA&#10;AADcAAAADwAAAGRycy9kb3ducmV2LnhtbERPTWvCQBC9F/wPywi91U0qFomuoVoKtQdFW9DjkB2z&#10;qdnZkN2a+O+7QsHbPN7nzPPe1uJCra8cK0hHCQjiwumKSwXfX+9PUxA+IGusHZOCK3nIF4OHOWba&#10;dbyjyz6UIoawz1CBCaHJpPSFIYt+5BriyJ1cazFE2JZSt9jFcFvL5yR5kRYrjg0GG1oZKs77X6tg&#10;vOx+zBvROlTp5vC59Wt9PE+Uehz2rzMQgfpwF/+7P3ScPx3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7L8MAAADcAAAADwAAAAAAAAAAAAAAAACYAgAAZHJzL2Rv&#10;d25yZXYueG1sUEsFBgAAAAAEAAQA9QAAAIgDAAAAAA==&#10;" fillcolor="window" strokeweight=".5pt">
                    <v:textbox>
                      <w:txbxContent>
                        <w:p w:rsidR="009144E6" w:rsidRDefault="009144E6" w:rsidP="00F4545A">
                          <w:pPr>
                            <w:pStyle w:val="NormalWeb"/>
                            <w:spacing w:before="0" w:beforeAutospacing="0" w:after="0" w:afterAutospacing="0" w:line="276" w:lineRule="auto"/>
                          </w:pPr>
                          <w:r>
                            <w:rPr>
                              <w:rFonts w:ascii="Arial Narrow" w:hAnsi="Arial Narrow"/>
                              <w:sz w:val="18"/>
                              <w:szCs w:val="18"/>
                            </w:rPr>
                            <w:t>Lifestyle advice</w:t>
                          </w:r>
                        </w:p>
                        <w:p w:rsidR="009144E6" w:rsidRDefault="009144E6" w:rsidP="00F4545A">
                          <w:pPr>
                            <w:pStyle w:val="NormalWeb"/>
                            <w:spacing w:before="0" w:beforeAutospacing="0" w:after="0" w:afterAutospacing="0" w:line="276" w:lineRule="auto"/>
                          </w:pPr>
                          <w:r>
                            <w:rPr>
                              <w:rFonts w:ascii="Arial Narrow" w:hAnsi="Arial Narrow"/>
                              <w:sz w:val="18"/>
                              <w:szCs w:val="18"/>
                            </w:rPr>
                            <w:t>+/- Supplements</w:t>
                          </w:r>
                        </w:p>
                      </w:txbxContent>
                    </v:textbox>
                  </v:shape>
                  <v:shape id="Text Box 123" o:spid="_x0000_s1073" type="#_x0000_t202" style="position:absolute;top:19050;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jW8MA&#10;AADcAAAADwAAAGRycy9kb3ducmV2LnhtbERPTWsCMRC9F/wPYQRvNWtrRVajaIugPSi1gh6HzbhZ&#10;3UyWTXTXf98UCr3N433OdN7aUtyp9oVjBYN+AoI4c7rgXMHhe/U8BuEDssbSMSl4kIf5rPM0xVS7&#10;hr/ovg+5iCHsU1RgQqhSKX1myKLvu4o4cmdXWwwR1rnUNTYx3JbyJUlG0mLBscFgRe+Gsuv+ZhW8&#10;LpuL+SDahGKwPX7u/Eafrm9K9brtYgIiUBv+xX/utY7zx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WjW8MAAADcAAAADwAAAAAAAAAAAAAAAACYAgAAZHJzL2Rv&#10;d25yZXYueG1sUEsFBgAAAAAEAAQA9QAAAIgDAAAAAA==&#10;" fillcolor="window"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Risk of</w:t>
                          </w:r>
                        </w:p>
                        <w:p w:rsidR="009144E6" w:rsidRDefault="009144E6" w:rsidP="00F4545A">
                          <w:pPr>
                            <w:pStyle w:val="NormalWeb"/>
                            <w:spacing w:before="0" w:beforeAutospacing="0" w:after="200" w:afterAutospacing="0" w:line="276" w:lineRule="auto"/>
                          </w:pPr>
                          <w:r>
                            <w:rPr>
                              <w:rFonts w:ascii="Arial Narrow" w:hAnsi="Arial Narrow"/>
                              <w:sz w:val="18"/>
                              <w:szCs w:val="18"/>
                            </w:rPr>
                            <w:t>MTF</w:t>
                          </w:r>
                        </w:p>
                      </w:txbxContent>
                    </v:textbox>
                  </v:shape>
                  <v:shape id="Text Box 123" o:spid="_x0000_s1074" type="#_x0000_t202" style="position:absolute;left:7048;top:1028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GwMMA&#10;AADcAAAADwAAAGRycy9kb3ducmV2LnhtbERPTWvCQBC9F/wPywi91U1aFImuoVoKtQdFW9DjkB2z&#10;qdnZkN2a9N93BcHbPN7nzPPe1uJCra8cK0hHCQjiwumKSwXfX+9PUxA+IGusHZOCP/KQLwYPc8y0&#10;63hHl30oRQxhn6ECE0KTSekLQxb9yDXEkTu51mKIsC2lbrGL4baWz0kykRYrjg0GG1oZKs77X6vg&#10;Zdn9mDeidajSzeFz69f6eB4r9TjsX2cgAvXhLr65P3ScPx3D9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kGwMMAAADcAAAADwAAAAAAAAAAAAAAAACYAgAAZHJzL2Rv&#10;d25yZXYueG1sUEsFBgAAAAAEAAQA9QAAAIgDAAAAAA==&#10;" fillcolor="window"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075" type="#_x0000_t202" style="position:absolute;left:1206;top:1028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Yt8MA&#10;AADcAAAADwAAAGRycy9kb3ducmV2LnhtbERPTWvCQBC9F/oflin0VjdRKhJdg60I1YNSFexxyE6z&#10;0exsyG5N/PfdgtDbPN7nzPLe1uJKra8cK0gHCQjiwumKSwXHw+plAsIHZI21Y1JwIw/5/PFhhpl2&#10;HX/SdR9KEUPYZ6jAhNBkUvrCkEU/cA1x5L5dazFE2JZSt9jFcFvLYZKMpcWKY4PBht4NFZf9j1Uw&#10;euvOZkm0DlW6PW12fq2/Lq9KPT/1iymIQH34F9/dHzrOn4z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Yt8MAAADcAAAADwAAAAAAAAAAAAAAAACYAgAAZHJzL2Rv&#10;d25yZXYueG1sUEsFBgAAAAAEAAQA9QAAAIgDAAAAAA==&#10;" fillcolor="window"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076" type="#_x0000_t202" style="position:absolute;left:7048;top:19050;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9LMMA&#10;AADcAAAADwAAAGRycy9kb3ducmV2LnhtbERPTWsCMRC9F/wPYQRvNWuLVVajaIugPSi1gh6HzbhZ&#10;3UyWTXTXf98UCr3N433OdN7aUtyp9oVjBYN+AoI4c7rgXMHhe/U8BuEDssbSMSl4kIf5rPM0xVS7&#10;hr/ovg+5iCHsU1RgQqhSKX1myKLvu4o4cmdXWwwR1rnUNTYx3JbyJUnepMWCY4PBit4NZdf9zSp4&#10;XTYX80G0CcVge/zc+Y0+XYdK9brtYgIiUBv+xX/utY7zxy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c9LMMAAADcAAAADwAAAAAAAAAAAAAAAACYAgAAZHJzL2Rv&#10;d25yZXYueG1sUEsFBgAAAAAEAAQA9QAAAIgDAAAAAA==&#10;" fillcolor="window" strokeweight=".5pt">
                    <v:textbox>
                      <w:txbxContent>
                        <w:p w:rsidR="009144E6" w:rsidRDefault="009144E6" w:rsidP="00F4545A">
                          <w:pPr>
                            <w:pStyle w:val="NormalWeb"/>
                            <w:spacing w:before="0" w:beforeAutospacing="0" w:after="200" w:afterAutospacing="0" w:line="276" w:lineRule="auto"/>
                          </w:pPr>
                          <w:r>
                            <w:rPr>
                              <w:rFonts w:ascii="Arial Narrow" w:hAnsi="Arial Narrow"/>
                              <w:sz w:val="18"/>
                              <w:szCs w:val="18"/>
                            </w:rPr>
                            <w:t>Risk of</w:t>
                          </w:r>
                        </w:p>
                        <w:p w:rsidR="009144E6" w:rsidRDefault="009144E6" w:rsidP="00F4545A">
                          <w:pPr>
                            <w:pStyle w:val="NormalWeb"/>
                            <w:spacing w:before="0" w:beforeAutospacing="0" w:after="200" w:afterAutospacing="0" w:line="276" w:lineRule="auto"/>
                          </w:pPr>
                          <w:r>
                            <w:rPr>
                              <w:rFonts w:ascii="Arial Narrow" w:hAnsi="Arial Narrow"/>
                              <w:sz w:val="18"/>
                              <w:szCs w:val="18"/>
                            </w:rPr>
                            <w:t>MTF</w:t>
                          </w:r>
                        </w:p>
                      </w:txbxContent>
                    </v:textbox>
                  </v:shape>
                </v:group>
                <v:shape id="Straight Arrow Connector 63" o:spid="_x0000_s1077" type="#_x0000_t32" style="position:absolute;left:16547;top:9906;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1cH8UAAADcAAAADwAAAGRycy9kb3ducmV2LnhtbESPQWvCQBCF7wX/wzKCl6IbI60SXaUI&#10;toWeagteh+wkG8zOhuw2pv++cxB6m+G9ee+b3WH0rRqoj01gA8tFBoq4DLbh2sD312m+ARUTssU2&#10;MBn4pQiH/eRhh4UNN/6k4ZxqJSEcCzTgUuoKrWPpyGNchI5YtCr0HpOsfa1tjzcJ963Os+xZe2xY&#10;Ghx2dHRUXs8/3kCVW1o+Xi/ubf2E1fFjlQ9D+2rMbDq+bEElGtO/+X79bgV/I7T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1cH8UAAADcAAAADwAAAAAAAAAA&#10;AAAAAAChAgAAZHJzL2Rvd25yZXYueG1sUEsFBgAAAAAEAAQA+QAAAJMDAAAAAA==&#10;">
                  <v:stroke endarrow="open"/>
                </v:shape>
                <v:shape id="Straight Arrow Connector 64" o:spid="_x0000_s1078" type="#_x0000_t32" style="position:absolute;left:22773;top:9906;width:32;height:6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EMUAAADbAAAADwAAAGRycy9kb3ducmV2LnhtbESPQWvCQBSE74L/YXmCF6kbrYh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DEMUAAADbAAAADwAAAAAAAAAA&#10;AAAAAAChAgAAZHJzL2Rvd25yZXYueG1sUEsFBgAAAAAEAAQA+QAAAJMDAAAAAA==&#10;">
                  <v:stroke endarrow="open"/>
                </v:shape>
                <v:shape id="Straight Arrow Connector 65" o:spid="_x0000_s1079" type="#_x0000_t32" style="position:absolute;left:31706;top:9906;width:0;height:1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type id="_x0000_t33" coordsize="21600,21600" o:spt="33" o:oned="t" path="m,l21600,r,21600e" filled="f">
                  <v:stroke joinstyle="miter"/>
                  <v:path arrowok="t" fillok="f" o:connecttype="none"/>
                  <o:lock v:ext="edit" shapetype="t"/>
                </v:shapetype>
                <v:shape id="Elbow Connector 66" o:spid="_x0000_s1080" type="#_x0000_t33" style="position:absolute;left:4263;top:8667;width:8033;height:79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HgMMAAADbAAAADwAAAGRycy9kb3ducmV2LnhtbESPQWsCMRSE7wX/Q3hCL6Vm9bDIahQR&#10;1wo9aev9dfO62bp5WZLorv++EQo9DjPzDbNcD7YVN/KhcaxgOslAEFdON1wr+PwoX+cgQkTW2Dom&#10;BXcKsF6NnpZYaNfzkW6nWIsE4VCgAhNjV0gZKkMWw8R1xMn7dt5iTNLXUnvsE9y2cpZlubTYcFow&#10;2NHWUHU5Xa2Cct/vf/zZlPR2ne26r+n7yzD3Sj2Ph80CRKQh/of/2getIM/h8S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6h4DDAAAA2wAAAA8AAAAAAAAAAAAA&#10;AAAAoQIAAGRycy9kb3ducmV2LnhtbFBLBQYAAAAABAAEAPkAAACRAwAAAAA=&#10;">
                  <v:stroke endarrow="open"/>
                </v:shape>
                <v:shape id="Straight Arrow Connector 67" o:spid="_x0000_s1081" type="#_x0000_t32" style="position:absolute;left:4263;top:20840;width:35;height:28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shape id="Straight Arrow Connector 69" o:spid="_x0000_s1082" type="#_x0000_t32" style="position:absolute;left:16001;top:15877;width:0;height:13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M36cQAAADbAAAADwAAAGRycy9kb3ducmV2LnhtbESPQWvCQBSE70L/w/IKvZS6MaXapm5E&#10;hFrBk1ro9ZF9yYZk34bsGuO/7xYEj8PMfMMsV6NtxUC9rx0rmE0TEMSF0zVXCn5OXy/vIHxA1tg6&#10;JgVX8rDKHyZLzLS78IGGY6hEhLDPUIEJocuk9IUhi37qOuLola63GKLsK6l7vES4bWWaJHNpsea4&#10;YLCjjaGiOZ6tgjLVNHtufs334g3Lzf41HYZ2q9TT47j+BBFoDPfwrb3TCu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zfpxAAAANsAAAAPAAAAAAAAAAAA&#10;AAAAAKECAABkcnMvZG93bnJldi54bWxQSwUGAAAAAAQABAD5AAAAkgMAAAAA&#10;">
                  <v:stroke endarrow="open"/>
                </v:shape>
                <v:shape id="Straight Arrow Connector 70" o:spid="_x0000_s1083" type="#_x0000_t32" style="position:absolute;left:22963;top:20840;width:0;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IqcEAAADbAAAADwAAAGRycy9kb3ducmV2LnhtbERPz2vCMBS+C/sfwhvsIpra4To6owxh&#10;U/C0buD10bw2xealJFnt/ntzGHj8+H5vdpPtxUg+dI4VrJYZCOLa6Y5bBT/fH4tXECEia+wdk4I/&#10;CrDbPsw2WGp35S8aq9iKFMKhRAUmxqGUMtSGLIalG4gT1zhvMSboW6k9XlO47WWeZS/SYsepweBA&#10;e0P1pfq1Cppc02p+OZtDscZmf3rOx7H/VOrpcXp/AxFpinfxv/uoFRRpff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AipwQAAANsAAAAPAAAAAAAAAAAAAAAA&#10;AKECAABkcnMvZG93bnJldi54bWxQSwUGAAAAAAQABAD5AAAAjwMAAAAA&#10;">
                  <v:stroke endarrow="open"/>
                </v:shape>
                <v:shape id="Straight Arrow Connector 71" o:spid="_x0000_s1084" type="#_x0000_t32" style="position:absolute;left:30961;top:25707;width:3;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shape id="Straight Arrow Connector 72" o:spid="_x0000_s1085" type="#_x0000_t32" style="position:absolute;left:16344;top:39344;width:35;height:2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stroke endarrow="open"/>
                </v:shape>
                <v:shape id="Straight Arrow Connector 78" o:spid="_x0000_s1086" type="#_x0000_t32" style="position:absolute;left:24011;top:39347;width:4;height:2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fyMEAAADbAAAADwAAAGRycy9kb3ducmV2LnhtbERPTYvCMBC9C/sfwix4kTVVwZVqlEUQ&#10;RARR97K3oZk2xWbSbWKt/npzEDw+3vdi1dlKtNT40rGC0TABQZw5XXKh4Pe8+ZqB8AFZY+WYFNzJ&#10;w2r50Vtgqt2Nj9SeQiFiCPsUFZgQ6lRKnxmy6IeuJo5c7hqLIcKmkLrBWwy3lRwnyVRaLDk2GKxp&#10;bSi7nK5WweD4VxZ5ft3f/eRxmCW7w7/JWqX6n93PHESgLrzFL/dWK/iO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1/IwQAAANsAAAAPAAAAAAAAAAAAAAAA&#10;AKECAABkcnMvZG93bnJldi54bWxQSwUGAAAAAAQABAD5AAAAjwMAAAAA&#10;">
                  <v:stroke endarrow="open"/>
                </v:shape>
                <v:shape id="Straight Arrow Connector 81" o:spid="_x0000_s1087" type="#_x0000_t32" style="position:absolute;left:30963;top:39344;width:1;height:2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CGcsUAAADbAAAADwAAAGRycy9kb3ducmV2LnhtbESPQWvCQBSE7wX/w/IKvRSzsQUJqasU&#10;QRARRNuLt0f2JRuafRuza4z++q4geBxm5htmthhsI3rqfO1YwSRJQRAXTtdcKfj9WY0zED4ga2wc&#10;k4IreVjMRy8zzLW78J76Q6hEhLDPUYEJoc2l9IUhiz5xLXH0StdZDFF2ldQdXiLcNvIjTafSYs1x&#10;wWBLS0PF3+FsFbzvj3VVluft1X/edlm62Z1M0Sv19jp8f4EINIRn+NFeawXZBO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CGcsUAAADbAAAADwAAAAAAAAAA&#10;AAAAAAChAgAAZHJzL2Rvd25yZXYueG1sUEsFBgAAAAAEAAQA+QAAAJMDAAAAAA==&#10;">
                  <v:stroke endarrow="open"/>
                </v:shape>
                <v:shape id="Straight Arrow Connector 82" o:spid="_x0000_s1088" type="#_x0000_t32" style="position:absolute;left:16379;top:46091;width:33;height:2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DYsMAAADbAAAADwAAAGRycy9kb3ducmV2LnhtbESPQWvCQBSE74X+h+UVeim6MdIqqasU&#10;wSr0ZCp4fWRfssHs25BdY/z3riB4HGbmG2axGmwjeup87VjBZJyAIC6crrlScPjfjOYgfEDW2Dgm&#10;BVfysFq+viww0+7Ce+rzUIkIYZ+hAhNCm0npC0MW/di1xNErXWcxRNlVUnd4iXDbyDRJvqTFmuOC&#10;wZbWhopTfrYKylTT5ON0NNvZJ5brv2na982vUu9vw883iEBDeIYf7Z1WME/h/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Q2LDAAAA2wAAAA8AAAAAAAAAAAAA&#10;AAAAoQIAAGRycy9kb3ducmV2LnhtbFBLBQYAAAAABAAEAPkAAACRAwAAAAA=&#10;">
                  <v:stroke endarrow="open"/>
                </v:shape>
                <v:shape id="Straight Arrow Connector 83" o:spid="_x0000_s1089" type="#_x0000_t32" style="position:absolute;left:24014;top:46176;width:3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69nsUAAADbAAAADwAAAGRycy9kb3ducmV2LnhtbESPQWvCQBSE74L/YXlCL6KbVighugYp&#10;FEopiLYXb4/sSzaYfRuzmxj99W6h0OMwM98wm3y0jRio87VjBc/LBARx4XTNlYKf7/dFCsIHZI2N&#10;Y1JwIw/5djrZYKbdlQ80HEMlIoR9hgpMCG0mpS8MWfRL1xJHr3SdxRBlV0nd4TXCbSNfkuRVWqw5&#10;Lhhs6c1QcT72VsH8cKqrsuy/bn5136fJ5/5iikGpp9m4W4MINIb/8F/7QytIV/D7Jf4Au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69nsUAAADbAAAADwAAAAAAAAAA&#10;AAAAAAChAgAAZHJzL2Rvd25yZXYueG1sUEsFBgAAAAAEAAQA+QAAAJMDAAAAAA==&#10;">
                  <v:stroke endarrow="open"/>
                </v:shape>
                <v:shape id="Straight Arrow Connector 92" o:spid="_x0000_s1090" type="#_x0000_t32" style="position:absolute;left:30999;top:46176;width:3;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Vv8QAAADbAAAADwAAAGRycy9kb3ducmV2LnhtbESPQWvCQBSE7wX/w/IEL6VujLTW6CaI&#10;YFvwVC30+si+ZIPZtyG7xvTfu4VCj8PMfMNsi9G2YqDeN44VLOYJCOLS6YZrBV/nw9MrCB+QNbaO&#10;ScEPeSjyycMWM+1u/EnDKdQiQthnqMCE0GVS+tKQRT93HXH0KtdbDFH2tdQ93iLctjJNkhdpseG4&#10;YLCjvaHycrpaBVWqafF4+Tbvq2es9sdlOgztm1Kz6bjbgAg0hv/wX/tDK1i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tW/xAAAANsAAAAPAAAAAAAAAAAA&#10;AAAAAKECAABkcnMvZG93bnJldi54bWxQSwUGAAAAAAQABAD5AAAAkgMAAAAA&#10;">
                  <v:stroke endarrow="open"/>
                </v:shape>
                <v:shape id="Straight Arrow Connector 93" o:spid="_x0000_s1091" type="#_x0000_t32" style="position:absolute;left:8216;top:54483;width:22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rQ8YAAADbAAAADwAAAGRycy9kb3ducmV2LnhtbESPT2vCQBTE7wW/w/KEXopuWqFodBOk&#10;UCilIP65eHtkX7LB7Ns0u8bYT+8KBY/DzPyGWeWDbURPna8dK3idJiCIC6drrhQc9p+TOQgfkDU2&#10;jknBlTzk2ehphal2F95SvwuViBD2KSowIbSplL4wZNFPXUscvdJ1FkOUXSV1h5cIt418S5J3abHm&#10;uGCwpQ9DxWl3tgpetse6Ksvzz9XP/jbz5Hvza4peqefxsF6CCDSER/i//aUVLG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HK0PGAAAA2wAAAA8AAAAAAAAA&#10;AAAAAAAAoQIAAGRycy9kb3ducmV2LnhtbFBLBQYAAAAABAAEAPkAAACUAwAAAAA=&#10;">
                  <v:stroke endarrow="open"/>
                </v:shape>
                <v:line id="Straight Connector 94" o:spid="_x0000_s1092" style="position:absolute;visibility:visible;mso-wrap-style:square" from="30961,52761" to="30961,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Straight Connector 95" o:spid="_x0000_s1093" style="position:absolute;visibility:visible;mso-wrap-style:square" from="24010,52761" to="24010,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Elbow Connector 96" o:spid="_x0000_s1094" type="#_x0000_t33" style="position:absolute;left:41995;top:8667;width:6401;height:29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3p8MAAADbAAAADwAAAGRycy9kb3ducmV2LnhtbESPQWsCMRSE74L/ITyhF6lZPYhujSLS&#10;1YKnant/3bxutt28LEl013/fCAWPw8x8w6w2vW3ElXyoHSuYTjIQxKXTNVcKPs7F8wJEiMgaG8ek&#10;4EYBNuvhYIW5dh2/0/UUK5EgHHJUYGJscylDachimLiWOHnfzluMSfpKao9dgttGzrJsLi3WnBYM&#10;trQzVP6eLlZBse/2P/7TFHS4zF7br+lx3C+8Uk+jfvsCIlIfH+H/9ptWsJzD/U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v96fDAAAA2wAAAA8AAAAAAAAAAAAA&#10;AAAAoQIAAGRycy9kb3ducmV2LnhtbFBLBQYAAAAABAAEAPkAAACRAwAAAAA=&#10;">
                  <v:stroke endarrow="open"/>
                </v:shape>
                <v:shape id="Elbow Connector 97" o:spid="_x0000_s1095" type="#_x0000_t33" style="position:absolute;left:60397;top:8667;width:3992;height:79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928UAAADbAAAADwAAAGRycy9kb3ducmV2LnhtbESPQWvCQBSE70L/w/IKvemmHmKNbkJb&#10;CBRaSo0ePD6yzySafRt2t5r++64geBxm5htmXYymF2dyvrOs4HmWgCCure64UbDbltMXED4ga+wt&#10;k4I/8lDkD5M1ZtpeeEPnKjQiQthnqKANYcik9HVLBv3MDsTRO1hnMETpGqkdXiLc9HKeJKk02HFc&#10;aHGg95bqU/VrFHy9pfu6/Nafx/5Ulv5nni7cBpV6ehxfVyACjeEevrU/tILlAq5f4g+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a928UAAADbAAAADwAAAAAAAAAA&#10;AAAAAAChAgAAZHJzL2Rvd25yZXYueG1sUEsFBgAAAAAEAAQA+QAAAJMDAAAAAA==&#10;">
                  <v:stroke endarrow="open"/>
                </v:shape>
                <v:shape id="Straight Arrow Connector 98" o:spid="_x0000_s1096" type="#_x0000_t32" style="position:absolute;left:48838;top:9906;width:0;height:6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iVcEAAADbAAAADwAAAGRycy9kb3ducmV2LnhtbERPy4rCMBTdD/gP4QqzGTS1Mj6qUUQY&#10;Z8CVD3B7aW6bYnNTmkzt/P1kIbg8nPd629tadNT6yrGCyTgBQZw7XXGp4Hr5Gi1A+ICssXZMCv7I&#10;w3YzeFtjpt2DT9SdQyliCPsMFZgQmkxKnxuy6MeuIY5c4VqLIcK2lLrFRwy3tUyTZCYtVhwbDDa0&#10;N5Tfz79WQZFqmnzcb+Z7/onF/jhNu64+KPU+7HcrEIH68BI/3T9awTK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uJVwQAAANsAAAAPAAAAAAAAAAAAAAAA&#10;AKECAABkcnMvZG93bnJldi54bWxQSwUGAAAAAAQABAD5AAAAjwMAAAAA&#10;">
                  <v:stroke endarrow="open"/>
                </v:shape>
                <v:shape id="Straight Arrow Connector 99" o:spid="_x0000_s1097" type="#_x0000_t32" style="position:absolute;left:56756;top:9906;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HzsQAAADbAAAADwAAAGRycy9kb3ducmV2LnhtbESPQWvCQBSE70L/w/IKvZS6MaW2pm5E&#10;hFrBk1ro9ZF9yYZk34bsGuO/7xYEj8PMfMMsV6NtxUC9rx0rmE0TEMSF0zVXCn5OXy8fIHxA1tg6&#10;JgVX8rDKHyZLzLS78IGGY6hEhLDPUIEJocuk9IUhi37qOuLola63GKLsK6l7vES4bWWaJHNpsea4&#10;YLCjjaGiOZ6tgjLVNHtufs33+xuWm/1rOgztVqmnx3H9CSLQGO7hW3unFSw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kfOxAAAANsAAAAPAAAAAAAAAAAA&#10;AAAAAKECAABkcnMvZG93bnJldi54bWxQSwUGAAAAAAQABAD5AAAAkgMAAAAA&#10;">
                  <v:stroke endarrow="open"/>
                </v:shape>
                <v:shape id="Straight Arrow Connector 100" o:spid="_x0000_s1098" type="#_x0000_t32" style="position:absolute;left:51720;top:9906;width:96;height:1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hTQ8UAAADcAAAADwAAAGRycy9kb3ducmV2LnhtbESPQWvCQBCF70L/wzKFXkQ3ptiW1FWK&#10;0Cp40ha8DtlJNpidDdltTP+9cyh4m+G9ee+b1Wb0rRqoj01gA4t5Boq4DLbh2sDP9+fsDVRMyBbb&#10;wGTgjyJs1g+TFRY2XPlIwynVSkI4FmjApdQVWsfSkcc4Dx2xaFXoPSZZ+1rbHq8S7ludZ9mL9tiw&#10;NDjsaOuovJx+vYEqt7SYXs5u97rEant4zoeh/TLm6XH8eAeVaEx38//13gp+J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hTQ8UAAADcAAAADwAAAAAAAAAA&#10;AAAAAAChAgAAZHJzL2Rvd25yZXYueG1sUEsFBgAAAAAEAAQA+QAAAJMDAAAAAA==&#10;">
                  <v:stroke endarrow="open"/>
                </v:shape>
                <v:shape id="Straight Arrow Connector 101" o:spid="_x0000_s1099" type="#_x0000_t32" style="position:absolute;left:40386;top:15877;width:93;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stroke endarrow="open"/>
                </v:shape>
                <v:shape id="Straight Arrow Connector 102" o:spid="_x0000_s1100" type="#_x0000_t32" style="position:absolute;left:46577;top:20840;width:0;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v:shape id="Straight Arrow Connector 103" o:spid="_x0000_s1101" type="#_x0000_t32" style="position:absolute;left:53042;top:25707;width:0;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NNMIAAADcAAAADwAAAGRycy9kb3ducmV2LnhtbERPTWvCQBC9F/oflil4KXVjRFtSNyKC&#10;VvCkFnodspNsSHY2ZNcY/31XKPQ2j/c5q/VoWzFQ72vHCmbTBARx4XTNlYLvy+7tA4QPyBpbx6Tg&#10;Th7W+fPTCjPtbnyi4RwqEUPYZ6jAhNBlUvrCkEU/dR1x5ErXWwwR9pXUPd5iuG1lmiRLabHm2GCw&#10;o62hojlfrYIy1TR7bX7M1/sCy+1xng5Du1dq8jJuPkEEGsO/+M990HF+Mof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rNNMIAAADcAAAADwAAAAAAAAAAAAAA&#10;AAChAgAAZHJzL2Rvd25yZXYueG1sUEsFBgAAAAAEAAQA+QAAAJADAAAAAA==&#10;">
                  <v:stroke endarrow="open"/>
                </v:shape>
                <v:shape id="Straight Arrow Connector 104" o:spid="_x0000_s1102" type="#_x0000_t32" style="position:absolute;left:58959;top:15877;width:96;height:13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 id="Straight Arrow Connector 105" o:spid="_x0000_s1103" type="#_x0000_t32" style="position:absolute;left:64387;top:20840;width:76;height:28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shape id="Elbow Connector 106" o:spid="_x0000_s1104" type="#_x0000_t33" style="position:absolute;left:49620;top:43385;width:1750;height:204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ziL8AAADcAAAADwAAAGRycy9kb3ducmV2LnhtbERPy6rCMBDdX/AfwgjurqkuqlajiHDR&#10;jQuf6yEZ22ozKU2u1r83guBuDuc5s0VrK3GnxpeOFQz6CQhi7UzJuYLj4e93DMIHZIOVY1LwJA+L&#10;eednhplxD97RfR9yEUPYZ6igCKHOpPS6IIu+72riyF1cYzFE2OTSNPiI4baSwyRJpcWSY0OBNa0K&#10;0rf9v1Vw2ubmPNpOdpfhYXJludZpG7RSvW67nIII1Iav+OPemDg/SeH9TLxA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mziL8AAADcAAAADwAAAAAAAAAAAAAAAACh&#10;AgAAZHJzL2Rvd25yZXYueG1sUEsFBgAAAAAEAAQA+QAAAI0DAAAAAA==&#10;">
                  <v:stroke endarrow="open"/>
                </v:shape>
                <v:line id="Straight Connector 107" o:spid="_x0000_s1105" style="position:absolute;visibility:visible;mso-wrap-style:square" from="84486,21516" to="90487,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shape id="Straight Arrow Connector 108" o:spid="_x0000_s1106" type="#_x0000_t32" style="position:absolute;left:84484;top:21516;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Straight Arrow Connector 109" o:spid="_x0000_s1107" type="#_x0000_t32" style="position:absolute;left:90485;top:21516;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63sMAAADcAAAADwAAAGRycy9kb3ducmV2LnhtbERPTWvCQBC9F/wPywheSt0Yaa0xq4hg&#10;W/BULfQ6ZCfZkOxsyK4x/fduodDbPN7n5LvRtmKg3teOFSzmCQjiwumaKwVfl+PTKwgfkDW2jknB&#10;D3nYbScPOWba3fiThnOoRAxhn6ECE0KXSekLQxb93HXEkStdbzFE2FdS93iL4baVaZK8SIs1xwaD&#10;HR0MFc35ahWUqabFY/Nt3lfPWB5Oy3QY2jelZtNxvwERaAz/4j/3h47zkzX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t7DAAAA3AAAAA8AAAAAAAAAAAAA&#10;AAAAoQIAAGRycy9kb3ducmV2LnhtbFBLBQYAAAAABAAEAPkAAACRAwAAAAA=&#10;">
                  <v:stroke endarrow="open"/>
                </v:shape>
                <v:line id="Straight Connector 110" o:spid="_x0000_s1108" style="position:absolute;visibility:visible;mso-wrap-style:square" from="87397,17602" to="87448,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Straight Arrow Connector 111" o:spid="_x0000_s1109" type="#_x0000_t32" style="position:absolute;left:84482;top:26269;width:2;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T8cMAAADcAAAADwAAAGRycy9kb3ducmV2LnhtbERPS4vCMBC+C/sfwgheZE2rIFKNIgsL&#10;yyKIj8vehmbaFJtJt4m1+uvNwoK3+fies9r0thYdtb5yrCCdJCCIc6crLhWcT5/vCxA+IGusHZOC&#10;O3nYrN8GK8y0u/GBumMoRQxhn6ECE0KTSelzQxb9xDXEkStcazFE2JZSt3iL4baW0ySZS4sVxwaD&#10;DX0Yyi/Hq1UwPvxUZVFcd3c/e+wXyff+1+SdUqNhv12CCNSHl/jf/aXj/DSFv2fiB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T0/HDAAAA3AAAAA8AAAAAAAAAAAAA&#10;AAAAoQIAAGRycy9kb3ducmV2LnhtbFBLBQYAAAAABAAEAPkAAACRAwAAAAA=&#10;">
                  <v:stroke endarrow="open"/>
                </v:shape>
                <v:shape id="Straight Arrow Connector 112" o:spid="_x0000_s1110" type="#_x0000_t32" style="position:absolute;left:90485;top:26269;width:9;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NhsIAAADcAAAADwAAAGRycy9kb3ducmV2LnhtbERPTYvCMBC9C/6HMMJeRFMVRKpRRBBk&#10;WRB1L3sbmmlTbCa1ibXurzcLC97m8T5ntelsJVpqfOlYwWScgCDOnC65UPB92Y8WIHxA1lg5JgVP&#10;8rBZ93srTLV78InacyhEDGGfogITQp1K6TNDFv3Y1cSRy11jMUTYFFI3+IjhtpLTJJlLiyXHBoM1&#10;7Qxl1/PdKhiefsoiz+9fTz/7PS6Sz+PNZK1SH4NuuwQRqAtv8b/7oOP8yRT+nokX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FNhsIAAADcAAAADwAAAAAAAAAAAAAA&#10;AAChAgAAZHJzL2Rvd25yZXYueG1sUEsFBgAAAAAEAAQA+QAAAJADAAAAAA==&#10;">
                  <v:stroke endarrow="open"/>
                </v:shape>
                <v:shape id="Straight Arrow Connector 113" o:spid="_x0000_s1111" type="#_x0000_t32" style="position:absolute;left:40479;top:39344;width:29;height:2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b6cIAAADcAAAADwAAAGRycy9kb3ducmV2LnhtbERPS2vCQBC+F/wPywi9FN0kUpXoKiLU&#10;FnryAV6H7CQbzM6G7Brjv+8WCr3Nx/ec9Xawjeip87VjBek0AUFcOF1zpeBy/pgsQfiArLFxTAqe&#10;5GG7Gb2sMdfuwUfqT6ESMYR9jgpMCG0upS8MWfRT1xJHrnSdxRBhV0nd4SOG20ZmSTKXFmuODQZb&#10;2hsqbqe7VVBmmtK329V8Lt6x3H/Psr5vDkq9jofdCkSgIfyL/9xfOs5PZ/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Nb6cIAAADcAAAADwAAAAAAAAAAAAAA&#10;AAChAgAAZHJzL2Rvd25yZXYueG1sUEsFBgAAAAAEAAQA+QAAAJADAAAAAA==&#10;">
                  <v:stroke endarrow="open"/>
                </v:shape>
                <v:shape id="Straight Arrow Connector 119" o:spid="_x0000_s1112" type="#_x0000_t32" style="position:absolute;left:40385;top:4626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sA8IAAADcAAAADwAAAGRycy9kb3ducmV2LnhtbERPTWvCQBC9F/wPywi9FN0k0qrRVYrQ&#10;WvBUFbwO2Uk2mJ0N2W1M/70rFHqbx/uc9Xawjeip87VjBek0AUFcOF1zpeB8+pgsQPiArLFxTAp+&#10;ycN2M3paY67djb+pP4ZKxBD2OSowIbS5lL4wZNFPXUscudJ1FkOEXSV1h7cYbhuZJcmbtFhzbDDY&#10;0s5QcT3+WAVlpil9uV7Mfv6K5e4wy/q++VTqeTy8r0AEGsK/+M/9peP8dAm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tsA8IAAADcAAAADwAAAAAAAAAAAAAA&#10;AAChAgAAZHJzL2Rvd25yZXYueG1sUEsFBgAAAAAEAAQA+QAAAJADAAAAAA==&#10;">
                  <v:stroke endarrow="open"/>
                </v:shape>
                <v:shape id="Straight Arrow Connector 120" o:spid="_x0000_s1113" type="#_x0000_t32" style="position:absolute;left:46957;top:4626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PI8UAAADcAAAADwAAAGRycy9kb3ducmV2LnhtbESPQWvCQBCF74X+h2UKXopujLRKdJUi&#10;2BZ60gpeh+wkG8zOhuw2pv++cxB6m+G9ee+bzW70rRqoj01gA/NZBoq4DLbh2sD5+zBdgYoJ2WIb&#10;mAz8UoTd9vFhg4UNNz7ScEq1khCOBRpwKXWF1rF05DHOQkcsWhV6j0nWvta2x5uE+1bnWfaqPTYs&#10;DQ472jsqr6cfb6DKLc2frxf3sXzBav+1yIehfTdm8jS+rUElGtO/+X79aQU/F3x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PI8UAAADcAAAADwAAAAAAAAAA&#10;AAAAAAChAgAAZHJzL2Rvd25yZXYueG1sUEsFBgAAAAAEAAQA+QAAAJMDAAAAAA==&#10;">
                  <v:stroke endarrow="open"/>
                </v:shape>
                <v:shape id="Straight Arrow Connector 121" o:spid="_x0000_s1114" type="#_x0000_t32" style="position:absolute;left:53357;top:46262;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quMIAAADcAAAADwAAAGRycy9kb3ducmV2LnhtbERPTWvCQBC9F/wPyxS8lLpJRFtSVxGh&#10;KnjSFnodspNsMDsbstsY/70rCN7m8T5nsRpsI3rqfO1YQTpJQBAXTtdcKfj9+X7/BOEDssbGMSm4&#10;kofVcvSywFy7Cx+pP4VKxBD2OSowIbS5lL4wZNFPXEscudJ1FkOEXSV1h5cYbhuZJclcWqw5Nhhs&#10;aWOoOJ/+rYIy05S+nf/M7mOG5eYwzfq+2So1fh3WXyACDeEpfrj3Os7PUr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GquMIAAADcAAAADwAAAAAAAAAAAAAA&#10;AAChAgAAZHJzL2Rvd25yZXYueG1sUEsFBgAAAAAEAAQA+QAAAJADAAAAAA==&#10;">
                  <v:stroke endarrow="open"/>
                </v:shape>
                <v:shape id="Straight Arrow Connector 122" o:spid="_x0000_s1115" type="#_x0000_t32" style="position:absolute;left:46957;top:41243;width:3;height:8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2HO8QAAADcAAAADwAAAGRycy9kb3ducmV2LnhtbERPyWrDMBC9B/oPYgq5hEauA8W4kU0J&#10;BEoohCyX3gZrbJlaI9dSHKdfHxUKvc3jrbMuJ9uJkQbfOlbwvExAEFdOt9woOJ+2TxkIH5A1do5J&#10;wY08lMXDbI25dlc+0HgMjYgh7HNUYELocyl9ZciiX7qeOHK1GyyGCIdG6gGvMdx2Mk2SF2mx5dhg&#10;sKeNoerreLEKFofPtqnry8fNr372WbLbf5tqVGr+OL29ggg0hX/xn/tdx/lpCr/PxAtk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Yc7xAAAANwAAAAPAAAAAAAAAAAA&#10;AAAAAKECAABkcnMvZG93bnJldi54bWxQSwUGAAAAAAQABAD5AAAAkgMAAAAA&#10;">
                  <v:stroke endarrow="open"/>
                </v:shape>
                <v:shape id="Straight Arrow Connector 123" o:spid="_x0000_s1116" type="#_x0000_t32" style="position:absolute;left:53357;top:39347;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VMIAAADcAAAADwAAAGRycy9kb3ducmV2LnhtbERPTWvCQBC9F/wPywi9lLoxopXoRkRo&#10;K3hSC70O2Uk2JDsbsmtM/31XKPQ2j/c5291oWzFQ72vHCuazBARx4XTNlYKv6/vrGoQPyBpbx6Tg&#10;hzzs8snTFjPt7nym4RIqEUPYZ6jAhNBlUvrCkEU/cx1x5ErXWwwR9pXUPd5juG1lmiQrabHm2GCw&#10;o4OhorncrIIy1TR/ab7N59sSy8NpkQ5D+6HU83Tcb0AEGsO/+M991HF+uoD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RVMIAAADcAAAADwAAAAAAAAAAAAAA&#10;AAChAgAAZHJzL2Rvd25yZXYueG1sUEsFBgAAAAAEAAQA+QAAAJADAAAAAA==&#10;">
                  <v:stroke endarrow="open"/>
                </v:shape>
                <v:shape id="Straight Arrow Connector 124" o:spid="_x0000_s1117" type="#_x0000_t32" style="position:absolute;left:59549;top:39347;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IMIAAADcAAAADwAAAGRycy9kb3ducmV2LnhtbERPTWvCQBC9C/0PyxR6Ed2Yai2pqxSh&#10;KnjSCl6H7CQbzM6G7DbGf98VBG/zeJ+zWPW2Fh21vnKsYDJOQBDnTldcKjj9/ow+QfiArLF2TApu&#10;5GG1fBksMNPuygfqjqEUMYR9hgpMCE0mpc8NWfRj1xBHrnCtxRBhW0rd4jWG21qmSfIhLVYcGww2&#10;tDaUX45/VkGRapoML2eznc+wWO/f066rN0q9vfbfXyAC9eEpfrh3Os5Pp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IMIAAADcAAAADwAAAAAAAAAAAAAA&#10;AAChAgAAZHJzL2Rvd25yZXYueG1sUEsFBgAAAAAEAAQA+QAAAJADAAAAAA==&#10;">
                  <v:stroke endarrow="open"/>
                </v:shape>
                <v:line id="Straight Connector 125" o:spid="_x0000_s1118" style="position:absolute;visibility:visible;mso-wrap-style:square" from="43817,20840" to="43817,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shape id="Straight Arrow Connector 134" o:spid="_x0000_s1119" type="#_x0000_t32" style="position:absolute;left:43816;top:50596;width:95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GxMUAAADcAAAADwAAAGRycy9kb3ducmV2LnhtbESPQWvCQBCF74X+h2UKvRTdGGnV1FWK&#10;UFvoqVbwOmQn2WB2NmS3Mf33nYPgbYb35r1v1tvRt2qgPjaBDcymGSjiMtiGawPHn/fJElRMyBbb&#10;wGTgjyJsN/d3ayxsuPA3DYdUKwnhWKABl1JXaB1LRx7jNHTEolWh95hk7Wtte7xIuG91nmUv2mPD&#10;0uCwo52j8nz49Qaq3NLs6XxyH4tnrHZf83wY2r0xjw/j2yuoRGO6ma/Xn1bwV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LGxMUAAADcAAAADwAAAAAAAAAA&#10;AAAAAAChAgAAZHJzL2Rvd25yZXYueG1sUEsFBgAAAAAEAAQA+QAAAJMDAAAAAA==&#10;">
                  <v:stroke endarrow="open"/>
                </v:shape>
                <v:shape id="Straight Arrow Connector 138" o:spid="_x0000_s1120" type="#_x0000_t32" style="position:absolute;left:16852;top:54812;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5jX8IAAADcAAAADwAAAGRycy9kb3ducmV2LnhtbERPTWvCQBC9F/wPywi9FN0k0qrRVYrQ&#10;WvBUFbwO2Uk2mJ0N2W1M/70rFHqbx/uc9Xawjeip87VjBek0AUFcOF1zpeB8+pgsQPiArLFxTAp+&#10;ycN2M3paY67djb+pP4ZKxBD2OSowIbS5lL4wZNFPXUscudJ1FkOEXSV1h7cYbhuZJcmbtFhzbDDY&#10;0s5QcT3+WAVlpil9uV7Mfv6K5e4wy/q++VTqeTy8r0AEGsK/+M/9peP8ZQ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5jX8IAAADcAAAADwAAAAAAAAAAAAAA&#10;AAChAgAAZHJzL2Rvd25yZXYueG1sUEsFBgAAAAAEAAQA+QAAAJADAAAAAA==&#10;">
                  <v:stroke endarrow="open"/>
                </v:shape>
                <v:shape id="Straight Arrow Connector 147" o:spid="_x0000_s1121" type="#_x0000_t32" style="position:absolute;left:23899;top:54812;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Straight Arrow Connector 148" o:spid="_x0000_s1122" type="#_x0000_t32" style="position:absolute;left:31113;top:54812;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W3sMAAADbAAAADwAAAGRycy9kb3ducmV2LnhtbESPQWvCQBSE74L/YXlCL1I3RqwldRUR&#10;agVPVaHXR/YlG8y+Ddk1xn/fFQSPw8x8wyzXva1FR62vHCuYThIQxLnTFZcKzqfv908QPiBrrB2T&#10;gjt5WK+GgyVm2t34l7pjKEWEsM9QgQmhyaT0uSGLfuIa4ugVrrUYomxLqVu8RbitZZokH9JixXHB&#10;YENbQ/nleLUKilTTdHz5Mz+LORbbwyztunqn1Nuo33yBCNSHV/jZ3msFixk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ilt7DAAAA2wAAAA8AAAAAAAAAAAAA&#10;AAAAoQIAAGRycy9kb3ducmV2LnhtbFBLBQYAAAAABAAEAPkAAACRAwAAAAA=&#10;">
                  <v:stroke endarrow="open"/>
                </v:shape>
                <v:shape id="Straight Arrow Connector 149" o:spid="_x0000_s1123" type="#_x0000_t32" style="position:absolute;left:40273;top:54812;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OqsQAAADbAAAADwAAAGRycy9kb3ducmV2LnhtbESPQWvCQBSE70L/w/IKvZS6Ma21pG5E&#10;hFrBk1ro9ZF9yYZk34bsGuO/7xYEj8PMfMMsV6NtxUC9rx0rmE0TEMSF0zVXCn5OXy8fIHxA1tg6&#10;JgVX8rDKHyZLzLS78IGGY6hEhLDPUIEJocuk9IUhi37qOuLola63GKLsK6l7vES4bWWaJO/SYs1x&#10;wWBHG0NFczxbBWWqafbc/JrvxR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w6qxAAAANsAAAAPAAAAAAAAAAAA&#10;AAAAAKECAABkcnMvZG93bnJldi54bWxQSwUGAAAAAAQABAD5AAAAkgMAAAAA&#10;">
                  <v:stroke endarrow="open"/>
                </v:shape>
                <v:shape id="Straight Arrow Connector 150" o:spid="_x0000_s1124" type="#_x0000_t32" style="position:absolute;left:47582;top:54812;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Straight Arrow Connector 151" o:spid="_x0000_s1125" type="#_x0000_t32" style="position:absolute;left:53487;top:54812;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1RsQAAADbAAAADwAAAGRycy9kb3ducmV2LnhtbESPzWrDMBCE74G8g9hCLiGR45KkuJFD&#10;CDQt5JQf6HWx1paxtTKW6rhvXxUKPQ4z8w2z24+2FQP1vnasYLVMQBAXTtdcKbjf3hYvIHxA1tg6&#10;JgXf5GGfTyc7zLR78IWGa6hEhLDPUIEJocuk9IUhi37pOuLola63GKLsK6l7fES4bWWaJBtpsea4&#10;YLCjo6GiuX5ZBWWqaTVvPs37do3l8fycDkN7Umr2NB5eQQQaw3/4r/2hFWw3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GxAAAANsAAAAPAAAAAAAAAAAA&#10;AAAAAKECAABkcnMvZG93bnJldi54bWxQSwUGAAAAAAQABAD5AAAAkgMAAAAA&#10;">
                  <v:stroke endarrow="open"/>
                </v:shape>
                <w10:anchorlock/>
              </v:group>
            </w:pict>
          </mc:Fallback>
        </mc:AlternateContent>
      </w:r>
    </w:p>
    <w:p w:rsidR="00D8067A" w:rsidRDefault="00D8067A" w:rsidP="00EC41A8">
      <w:pPr>
        <w:pStyle w:val="Caption"/>
        <w:jc w:val="both"/>
      </w:pPr>
      <w:r>
        <w:lastRenderedPageBreak/>
        <w:t xml:space="preserve">Figure </w:t>
      </w:r>
      <w:proofErr w:type="gramStart"/>
      <w:r>
        <w:t>2</w:t>
      </w:r>
      <w:r w:rsidRPr="00EC41A8">
        <w:t xml:space="preserve"> </w:t>
      </w:r>
      <w:r>
        <w:t>C</w:t>
      </w:r>
      <w:r w:rsidRPr="00EC41A8">
        <w:t>urrent clinical management</w:t>
      </w:r>
      <w:r>
        <w:t xml:space="preserve"> of breast cancer patients receiving aromatase inhibitor therapy</w:t>
      </w:r>
      <w:proofErr w:type="gramEnd"/>
      <w:r>
        <w:t xml:space="preserve"> </w:t>
      </w:r>
    </w:p>
    <w:p w:rsidR="00D8067A" w:rsidRPr="00E1550E" w:rsidRDefault="00D00E85" w:rsidP="00EC41A8">
      <w:pPr>
        <w:rPr>
          <w:lang w:val="en-GB" w:eastAsia="ja-JP"/>
        </w:rPr>
        <w:sectPr w:rsidR="00D8067A" w:rsidRPr="00E1550E" w:rsidSect="00F4545A">
          <w:pgSz w:w="11906" w:h="16838"/>
          <w:pgMar w:top="1440" w:right="1440" w:bottom="1440" w:left="1440" w:header="708" w:footer="708" w:gutter="0"/>
          <w:cols w:space="708"/>
          <w:titlePg/>
          <w:docGrid w:linePitch="360"/>
        </w:sectPr>
      </w:pPr>
      <w:r>
        <w:rPr>
          <w:noProof/>
          <w:lang w:eastAsia="en-AU"/>
        </w:rPr>
        <mc:AlternateContent>
          <mc:Choice Requires="wpc">
            <w:drawing>
              <wp:inline distT="0" distB="0" distL="0" distR="0" wp14:anchorId="043246D3" wp14:editId="17D3C48D">
                <wp:extent cx="5553075" cy="8172450"/>
                <wp:effectExtent l="0" t="0" r="0" b="0"/>
                <wp:docPr id="105" name="Canvas 2" descr="Figure 2 Current clinical management of breast cancer patients receiving aromatase inhibitor therapy " title="Figure 2 Current clinical management of breast cancer patients receiving aromatase inhibitor therapy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 name="Text Box 29"/>
                        <wps:cNvSpPr txBox="1">
                          <a:spLocks/>
                        </wps:cNvSpPr>
                        <wps:spPr bwMode="auto">
                          <a:xfrm>
                            <a:off x="1459320" y="232901"/>
                            <a:ext cx="2892539" cy="324302"/>
                          </a:xfrm>
                          <a:prstGeom prst="rect">
                            <a:avLst/>
                          </a:prstGeom>
                          <a:solidFill>
                            <a:srgbClr val="FFFFFF"/>
                          </a:solidFill>
                          <a:ln w="6350">
                            <a:solidFill>
                              <a:srgbClr val="000000"/>
                            </a:solidFill>
                            <a:miter lim="800000"/>
                            <a:headEnd/>
                            <a:tailEnd/>
                          </a:ln>
                        </wps:spPr>
                        <wps:txbx>
                          <w:txbxContent>
                            <w:p w:rsidR="009144E6" w:rsidRPr="001E763C" w:rsidRDefault="009144E6" w:rsidP="000C7705">
                              <w:pPr>
                                <w:pStyle w:val="NormalWeb"/>
                                <w:spacing w:before="0" w:beforeAutospacing="0" w:after="240" w:afterAutospacing="0" w:line="312" w:lineRule="auto"/>
                                <w:jc w:val="center"/>
                                <w:rPr>
                                  <w:rFonts w:ascii="Arial Narrow" w:hAnsi="Arial Narrow" w:cs="Arial"/>
                                  <w:sz w:val="18"/>
                                  <w:szCs w:val="18"/>
                                </w:rPr>
                              </w:pPr>
                              <w:r>
                                <w:rPr>
                                  <w:rFonts w:ascii="Arial Narrow" w:eastAsia="SimSun" w:hAnsi="Arial Narrow" w:cs="Arial"/>
                                  <w:sz w:val="18"/>
                                  <w:szCs w:val="18"/>
                                </w:rPr>
                                <w:t>All other risk factors</w:t>
                              </w:r>
                            </w:p>
                          </w:txbxContent>
                        </wps:txbx>
                        <wps:bodyPr rot="0" vert="horz" wrap="square" lIns="91440" tIns="45720" rIns="91440" bIns="45720" anchor="ctr" anchorCtr="0" upright="1">
                          <a:noAutofit/>
                        </wps:bodyPr>
                      </wps:wsp>
                      <wps:wsp>
                        <wps:cNvPr id="45" name="Text Box 108"/>
                        <wps:cNvSpPr txBox="1">
                          <a:spLocks/>
                        </wps:cNvSpPr>
                        <wps:spPr bwMode="auto">
                          <a:xfrm>
                            <a:off x="3086442" y="3275220"/>
                            <a:ext cx="1350218" cy="629204"/>
                          </a:xfrm>
                          <a:prstGeom prst="rect">
                            <a:avLst/>
                          </a:prstGeom>
                          <a:solidFill>
                            <a:srgbClr val="FFFFFF"/>
                          </a:solidFill>
                          <a:ln w="6350">
                            <a:solidFill>
                              <a:srgbClr val="000000"/>
                            </a:solidFill>
                            <a:miter lim="800000"/>
                            <a:headEnd/>
                            <a:tailEnd/>
                          </a:ln>
                        </wps:spPr>
                        <wps:txbx>
                          <w:txbxContent>
                            <w:p w:rsidR="009144E6" w:rsidRPr="001E763C" w:rsidRDefault="009144E6" w:rsidP="000C7705">
                              <w:pPr>
                                <w:pStyle w:val="NormalWeb"/>
                                <w:spacing w:before="0" w:beforeAutospacing="0" w:after="240" w:afterAutospacing="0" w:line="312" w:lineRule="auto"/>
                                <w:jc w:val="center"/>
                                <w:rPr>
                                  <w:rFonts w:ascii="Arial Narrow" w:hAnsi="Arial Narrow"/>
                                  <w:sz w:val="18"/>
                                  <w:szCs w:val="18"/>
                                </w:rPr>
                              </w:pPr>
                              <w:r w:rsidRPr="001E763C">
                                <w:rPr>
                                  <w:rFonts w:ascii="Arial Narrow" w:eastAsia="SimSun" w:hAnsi="Arial Narrow" w:cs="Tahoma"/>
                                  <w:sz w:val="18"/>
                                  <w:szCs w:val="18"/>
                                </w:rPr>
                                <w:t>Treat with anti-</w:t>
                              </w:r>
                              <w:proofErr w:type="spellStart"/>
                              <w:r w:rsidRPr="001E763C">
                                <w:rPr>
                                  <w:rFonts w:ascii="Arial Narrow" w:eastAsia="SimSun" w:hAnsi="Arial Narrow" w:cs="Tahoma"/>
                                  <w:sz w:val="18"/>
                                  <w:szCs w:val="18"/>
                                </w:rPr>
                                <w:t>resorptive</w:t>
                              </w:r>
                              <w:proofErr w:type="spellEnd"/>
                              <w:r w:rsidRPr="001E763C">
                                <w:rPr>
                                  <w:rFonts w:ascii="Arial Narrow" w:eastAsia="SimSun" w:hAnsi="Arial Narrow" w:cs="Tahoma"/>
                                  <w:sz w:val="18"/>
                                  <w:szCs w:val="18"/>
                                </w:rPr>
                                <w:t xml:space="preserve"> agents</w:t>
                              </w:r>
                              <w:r>
                                <w:rPr>
                                  <w:rFonts w:ascii="Arial Narrow" w:eastAsia="SimSun" w:hAnsi="Arial Narrow" w:cs="Tahoma"/>
                                  <w:sz w:val="18"/>
                                  <w:szCs w:val="18"/>
                                </w:rPr>
                                <w:t xml:space="preserve"> (eligible for PBS drugs)</w:t>
                              </w:r>
                            </w:p>
                          </w:txbxContent>
                        </wps:txbx>
                        <wps:bodyPr rot="0" vert="horz" wrap="square" lIns="91440" tIns="45720" rIns="91440" bIns="45720" anchor="t" anchorCtr="0" upright="1">
                          <a:noAutofit/>
                        </wps:bodyPr>
                      </wps:wsp>
                      <wps:wsp>
                        <wps:cNvPr id="46" name="Text Box 102"/>
                        <wps:cNvSpPr txBox="1">
                          <a:spLocks/>
                        </wps:cNvSpPr>
                        <wps:spPr bwMode="auto">
                          <a:xfrm>
                            <a:off x="2378532" y="1491509"/>
                            <a:ext cx="1117115" cy="325802"/>
                          </a:xfrm>
                          <a:prstGeom prst="rect">
                            <a:avLst/>
                          </a:prstGeom>
                          <a:solidFill>
                            <a:srgbClr val="FFFFFF"/>
                          </a:solidFill>
                          <a:ln w="6350">
                            <a:solidFill>
                              <a:srgbClr val="000000"/>
                            </a:solidFill>
                            <a:miter lim="800000"/>
                            <a:headEnd/>
                            <a:tailEnd/>
                          </a:ln>
                        </wps:spPr>
                        <wps:txbx>
                          <w:txbxContent>
                            <w:p w:rsidR="009144E6" w:rsidRPr="001E763C" w:rsidRDefault="009144E6" w:rsidP="000C7705">
                              <w:pPr>
                                <w:pStyle w:val="NormalWeb"/>
                                <w:spacing w:before="0" w:beforeAutospacing="0" w:after="240" w:afterAutospacing="0" w:line="312" w:lineRule="auto"/>
                                <w:jc w:val="both"/>
                                <w:rPr>
                                  <w:rFonts w:ascii="Arial Narrow" w:hAnsi="Arial Narrow"/>
                                  <w:sz w:val="18"/>
                                  <w:szCs w:val="18"/>
                                </w:rPr>
                              </w:pPr>
                              <w:r w:rsidRPr="001E763C">
                                <w:rPr>
                                  <w:rFonts w:ascii="Arial Narrow" w:eastAsia="SimSun" w:hAnsi="Arial Narrow" w:cs="Tahoma"/>
                                  <w:sz w:val="18"/>
                                  <w:szCs w:val="18"/>
                                </w:rPr>
                                <w:t>Skeletal metastases</w:t>
                              </w:r>
                            </w:p>
                          </w:txbxContent>
                        </wps:txbx>
                        <wps:bodyPr rot="0" vert="horz" wrap="square" lIns="91440" tIns="45720" rIns="91440" bIns="45720" anchor="t" anchorCtr="0" upright="1">
                          <a:noAutofit/>
                        </wps:bodyPr>
                      </wps:wsp>
                      <wps:wsp>
                        <wps:cNvPr id="47" name="Text Box 35"/>
                        <wps:cNvSpPr txBox="1">
                          <a:spLocks/>
                        </wps:cNvSpPr>
                        <wps:spPr bwMode="auto">
                          <a:xfrm>
                            <a:off x="133302" y="7003043"/>
                            <a:ext cx="1394719" cy="603104"/>
                          </a:xfrm>
                          <a:prstGeom prst="rect">
                            <a:avLst/>
                          </a:prstGeom>
                          <a:solidFill>
                            <a:srgbClr val="FFFFFF"/>
                          </a:solidFill>
                          <a:ln w="6350">
                            <a:solidFill>
                              <a:srgbClr val="000000"/>
                            </a:solidFill>
                            <a:miter lim="800000"/>
                            <a:headEnd/>
                            <a:tailEnd/>
                          </a:ln>
                        </wps:spPr>
                        <wps:txbx>
                          <w:txbxContent>
                            <w:p w:rsidR="009144E6" w:rsidRPr="001E763C" w:rsidRDefault="009144E6" w:rsidP="000C7705">
                              <w:pPr>
                                <w:pStyle w:val="NormalWeb"/>
                                <w:spacing w:before="0" w:beforeAutospacing="0" w:after="240" w:afterAutospacing="0" w:line="312" w:lineRule="auto"/>
                                <w:jc w:val="center"/>
                                <w:rPr>
                                  <w:rFonts w:ascii="Arial Narrow" w:hAnsi="Arial Narrow"/>
                                  <w:sz w:val="18"/>
                                  <w:szCs w:val="18"/>
                                </w:rPr>
                              </w:pPr>
                              <w:r>
                                <w:rPr>
                                  <w:rFonts w:ascii="Arial Narrow" w:eastAsia="SimSun" w:hAnsi="Arial Narrow" w:cs="Tahoma"/>
                                  <w:sz w:val="18"/>
                                  <w:szCs w:val="18"/>
                                </w:rPr>
                                <w:t>Risk of MTF</w:t>
                              </w:r>
                            </w:p>
                          </w:txbxContent>
                        </wps:txbx>
                        <wps:bodyPr rot="0" vert="horz" wrap="square" lIns="91440" tIns="45720" rIns="91440" bIns="45720" anchor="t" anchorCtr="0" upright="1">
                          <a:noAutofit/>
                        </wps:bodyPr>
                      </wps:wsp>
                      <wps:wsp>
                        <wps:cNvPr id="48" name="Straight Arrow Connector 3"/>
                        <wps:cNvCnPr/>
                        <wps:spPr bwMode="auto">
                          <a:xfrm>
                            <a:off x="2937940" y="571503"/>
                            <a:ext cx="0" cy="3048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Text Box 176"/>
                        <wps:cNvSpPr txBox="1">
                          <a:spLocks noChangeArrowheads="1"/>
                        </wps:cNvSpPr>
                        <wps:spPr bwMode="auto">
                          <a:xfrm>
                            <a:off x="1524021" y="876305"/>
                            <a:ext cx="2827838" cy="304802"/>
                          </a:xfrm>
                          <a:prstGeom prst="rect">
                            <a:avLst/>
                          </a:prstGeom>
                          <a:solidFill>
                            <a:srgbClr val="FFFFFF"/>
                          </a:solidFill>
                          <a:ln w="6350">
                            <a:solidFill>
                              <a:srgbClr val="000000"/>
                            </a:solidFill>
                            <a:miter lim="800000"/>
                            <a:headEnd/>
                            <a:tailEnd/>
                          </a:ln>
                        </wps:spPr>
                        <wps:txbx>
                          <w:txbxContent>
                            <w:p w:rsidR="009144E6" w:rsidRPr="001E763C" w:rsidRDefault="009144E6" w:rsidP="001E763C">
                              <w:pPr>
                                <w:jc w:val="center"/>
                                <w:rPr>
                                  <w:rFonts w:ascii="Arial Narrow" w:hAnsi="Arial Narrow"/>
                                  <w:sz w:val="18"/>
                                  <w:szCs w:val="18"/>
                                </w:rPr>
                              </w:pPr>
                              <w:r w:rsidRPr="001E763C">
                                <w:rPr>
                                  <w:rFonts w:ascii="Arial Narrow" w:hAnsi="Arial Narrow"/>
                                  <w:sz w:val="18"/>
                                  <w:szCs w:val="18"/>
                                </w:rPr>
                                <w:t>Women taking AIs not otherwise eligible for a DXA scan</w:t>
                              </w:r>
                            </w:p>
                          </w:txbxContent>
                        </wps:txbx>
                        <wps:bodyPr rot="0" vert="horz" wrap="square" lIns="91440" tIns="45720" rIns="91440" bIns="45720" anchor="t" anchorCtr="0" upright="1">
                          <a:noAutofit/>
                        </wps:bodyPr>
                      </wps:wsp>
                      <wps:wsp>
                        <wps:cNvPr id="50" name="Text Box 123"/>
                        <wps:cNvSpPr txBox="1">
                          <a:spLocks noChangeArrowheads="1"/>
                        </wps:cNvSpPr>
                        <wps:spPr bwMode="auto">
                          <a:xfrm>
                            <a:off x="1180116" y="4117225"/>
                            <a:ext cx="1015314" cy="591204"/>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 (a)</w:t>
                              </w:r>
                            </w:p>
                            <w:p w:rsidR="009144E6" w:rsidRDefault="009144E6" w:rsidP="00A9755F">
                              <w:pPr>
                                <w:pStyle w:val="NormalWeb"/>
                                <w:spacing w:before="0" w:beforeAutospacing="0" w:after="0" w:afterAutospacing="0" w:line="276" w:lineRule="auto"/>
                              </w:pPr>
                              <w:r>
                                <w:rPr>
                                  <w:rFonts w:ascii="Arial Narrow" w:hAnsi="Arial Narrow"/>
                                  <w:sz w:val="18"/>
                                  <w:szCs w:val="18"/>
                                </w:rPr>
                                <w:t>+/- Supplements (b)</w:t>
                              </w:r>
                            </w:p>
                            <w:p w:rsidR="009144E6" w:rsidRDefault="009144E6" w:rsidP="00F86991">
                              <w:pPr>
                                <w:pStyle w:val="NormalWeb"/>
                                <w:spacing w:before="0" w:beforeAutospacing="0" w:after="0" w:afterAutospacing="0" w:line="276" w:lineRule="auto"/>
                              </w:pPr>
                            </w:p>
                          </w:txbxContent>
                        </wps:txbx>
                        <wps:bodyPr rot="0" vert="horz" wrap="none" lIns="91440" tIns="45720" rIns="91440" bIns="45720" anchor="t" anchorCtr="0" upright="1">
                          <a:noAutofit/>
                        </wps:bodyPr>
                      </wps:wsp>
                      <wps:wsp>
                        <wps:cNvPr id="51" name="Straight Arrow Connector 178"/>
                        <wps:cNvCnPr/>
                        <wps:spPr bwMode="auto">
                          <a:xfrm>
                            <a:off x="1481720" y="3036119"/>
                            <a:ext cx="3800" cy="31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179"/>
                        <wps:cNvCnPr/>
                        <wps:spPr bwMode="auto">
                          <a:xfrm>
                            <a:off x="1608722" y="4705329"/>
                            <a:ext cx="600" cy="3069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Straight Arrow Connector 180"/>
                        <wps:cNvCnPr/>
                        <wps:spPr bwMode="auto">
                          <a:xfrm>
                            <a:off x="3762351" y="3035719"/>
                            <a:ext cx="0" cy="239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Straight Arrow Connector 9"/>
                        <wps:cNvCnPr/>
                        <wps:spPr bwMode="auto">
                          <a:xfrm flipH="1">
                            <a:off x="2937140" y="1181107"/>
                            <a:ext cx="800" cy="310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Text Box 10"/>
                        <wps:cNvSpPr txBox="1">
                          <a:spLocks noChangeArrowheads="1"/>
                        </wps:cNvSpPr>
                        <wps:spPr bwMode="auto">
                          <a:xfrm>
                            <a:off x="3543348" y="2759417"/>
                            <a:ext cx="351105" cy="276302"/>
                          </a:xfrm>
                          <a:prstGeom prst="rect">
                            <a:avLst/>
                          </a:prstGeom>
                          <a:solidFill>
                            <a:srgbClr val="FFFFFF"/>
                          </a:solidFill>
                          <a:ln w="6350">
                            <a:solidFill>
                              <a:srgbClr val="000000"/>
                            </a:solidFill>
                            <a:miter lim="800000"/>
                            <a:headEnd/>
                            <a:tailEnd/>
                          </a:ln>
                        </wps:spPr>
                        <wps:txbx>
                          <w:txbxContent>
                            <w:p w:rsidR="009144E6" w:rsidRPr="00755630" w:rsidRDefault="009144E6">
                              <w:pPr>
                                <w:rPr>
                                  <w:rFonts w:ascii="Arial Narrow" w:hAnsi="Arial Narrow"/>
                                  <w:sz w:val="18"/>
                                  <w:szCs w:val="18"/>
                                </w:rPr>
                              </w:pPr>
                              <w:r w:rsidRPr="00755630">
                                <w:rPr>
                                  <w:rFonts w:ascii="Arial Narrow" w:hAnsi="Arial Narrow"/>
                                  <w:sz w:val="18"/>
                                  <w:szCs w:val="18"/>
                                </w:rPr>
                                <w:t>Yes</w:t>
                              </w:r>
                            </w:p>
                          </w:txbxContent>
                        </wps:txbx>
                        <wps:bodyPr rot="0" vert="horz" wrap="none" lIns="91440" tIns="45720" rIns="91440" bIns="45720" anchor="t" anchorCtr="0" upright="1">
                          <a:noAutofit/>
                        </wps:bodyPr>
                      </wps:wsp>
                      <wps:wsp>
                        <wps:cNvPr id="56" name="Text Box 10"/>
                        <wps:cNvSpPr txBox="1">
                          <a:spLocks noChangeArrowheads="1"/>
                        </wps:cNvSpPr>
                        <wps:spPr bwMode="auto">
                          <a:xfrm>
                            <a:off x="1313418" y="2759817"/>
                            <a:ext cx="309304" cy="276302"/>
                          </a:xfrm>
                          <a:prstGeom prst="rect">
                            <a:avLst/>
                          </a:prstGeom>
                          <a:solidFill>
                            <a:srgbClr val="FFFFFF"/>
                          </a:solidFill>
                          <a:ln w="6350">
                            <a:solidFill>
                              <a:srgbClr val="000000"/>
                            </a:solidFill>
                            <a:miter lim="800000"/>
                            <a:headEnd/>
                            <a:tailEnd/>
                          </a:ln>
                        </wps:spPr>
                        <wps:txbx>
                          <w:txbxContent>
                            <w:p w:rsidR="009144E6" w:rsidRPr="00755630" w:rsidRDefault="009144E6" w:rsidP="00EB6EDC">
                              <w:pPr>
                                <w:pStyle w:val="NormalWeb"/>
                                <w:spacing w:before="0" w:beforeAutospacing="0" w:after="240" w:afterAutospacing="0" w:line="312" w:lineRule="auto"/>
                                <w:jc w:val="both"/>
                                <w:rPr>
                                  <w:rFonts w:ascii="Arial Narrow" w:hAnsi="Arial Narrow"/>
                                  <w:sz w:val="18"/>
                                  <w:szCs w:val="18"/>
                                </w:rPr>
                              </w:pPr>
                              <w:r w:rsidRPr="00755630">
                                <w:rPr>
                                  <w:rFonts w:ascii="Arial Narrow" w:eastAsia="SimSun" w:hAnsi="Arial Narrow" w:cs="Tahoma"/>
                                  <w:sz w:val="18"/>
                                  <w:szCs w:val="18"/>
                                </w:rPr>
                                <w:t>No</w:t>
                              </w:r>
                            </w:p>
                          </w:txbxContent>
                        </wps:txbx>
                        <wps:bodyPr rot="0" vert="horz" wrap="none" lIns="91440" tIns="45720" rIns="91440" bIns="45720" anchor="t" anchorCtr="0" upright="1">
                          <a:noAutofit/>
                        </wps:bodyPr>
                      </wps:wsp>
                      <wps:wsp>
                        <wps:cNvPr id="57" name="Straight Connector 12"/>
                        <wps:cNvCnPr/>
                        <wps:spPr bwMode="auto">
                          <a:xfrm>
                            <a:off x="1481120" y="2143113"/>
                            <a:ext cx="225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49"/>
                        <wps:cNvCnPr/>
                        <wps:spPr bwMode="auto">
                          <a:xfrm>
                            <a:off x="2937140" y="1817311"/>
                            <a:ext cx="800" cy="325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Arrow Connector 50"/>
                        <wps:cNvCnPr/>
                        <wps:spPr bwMode="auto">
                          <a:xfrm>
                            <a:off x="1481120" y="2143113"/>
                            <a:ext cx="4100" cy="6167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Straight Arrow Connector 53"/>
                        <wps:cNvCnPr/>
                        <wps:spPr bwMode="auto">
                          <a:xfrm>
                            <a:off x="3733850" y="2143113"/>
                            <a:ext cx="2500" cy="6163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Text Box 35"/>
                        <wps:cNvSpPr txBox="1">
                          <a:spLocks/>
                        </wps:cNvSpPr>
                        <wps:spPr bwMode="auto">
                          <a:xfrm>
                            <a:off x="876312" y="5012231"/>
                            <a:ext cx="1394419" cy="286802"/>
                          </a:xfrm>
                          <a:prstGeom prst="rect">
                            <a:avLst/>
                          </a:prstGeom>
                          <a:solidFill>
                            <a:srgbClr val="FFFFFF"/>
                          </a:solidFill>
                          <a:ln w="6350">
                            <a:solidFill>
                              <a:srgbClr val="000000"/>
                            </a:solidFill>
                            <a:miter lim="800000"/>
                            <a:headEnd/>
                            <a:tailEnd/>
                          </a:ln>
                        </wps:spPr>
                        <wps:txbx>
                          <w:txbxContent>
                            <w:p w:rsidR="009144E6" w:rsidRDefault="009144E6" w:rsidP="00755630">
                              <w:pPr>
                                <w:pStyle w:val="NormalWeb"/>
                                <w:spacing w:before="0" w:beforeAutospacing="0" w:after="240" w:afterAutospacing="0" w:line="312" w:lineRule="auto"/>
                                <w:jc w:val="center"/>
                              </w:pPr>
                              <w:r>
                                <w:rPr>
                                  <w:rFonts w:ascii="Arial Narrow" w:eastAsia="SimSun" w:hAnsi="Arial Narrow" w:cs="Tahoma"/>
                                  <w:sz w:val="18"/>
                                  <w:szCs w:val="18"/>
                                </w:rPr>
                                <w:t>Premature menopause</w:t>
                              </w:r>
                            </w:p>
                          </w:txbxContent>
                        </wps:txbx>
                        <wps:bodyPr rot="0" vert="horz" wrap="square" lIns="91440" tIns="45720" rIns="91440" bIns="45720" anchor="t" anchorCtr="0" upright="1">
                          <a:noAutofit/>
                        </wps:bodyPr>
                      </wps:wsp>
                      <wps:wsp>
                        <wps:cNvPr id="62" name="Text Box 10"/>
                        <wps:cNvSpPr txBox="1">
                          <a:spLocks noChangeArrowheads="1"/>
                        </wps:cNvSpPr>
                        <wps:spPr bwMode="auto">
                          <a:xfrm>
                            <a:off x="2167529" y="6230838"/>
                            <a:ext cx="351205" cy="276202"/>
                          </a:xfrm>
                          <a:prstGeom prst="rect">
                            <a:avLst/>
                          </a:prstGeom>
                          <a:solidFill>
                            <a:srgbClr val="FFFFFF"/>
                          </a:solidFill>
                          <a:ln w="6350">
                            <a:solidFill>
                              <a:srgbClr val="000000"/>
                            </a:solidFill>
                            <a:miter lim="800000"/>
                            <a:headEnd/>
                            <a:tailEnd/>
                          </a:ln>
                        </wps:spPr>
                        <wps:txbx>
                          <w:txbxContent>
                            <w:p w:rsidR="009144E6" w:rsidRDefault="009144E6" w:rsidP="00B146C6">
                              <w:pPr>
                                <w:pStyle w:val="NormalWeb"/>
                                <w:spacing w:before="0" w:beforeAutospacing="0" w:after="240" w:afterAutospacing="0" w:line="312" w:lineRule="auto"/>
                                <w:jc w:val="both"/>
                              </w:pPr>
                              <w:r>
                                <w:rPr>
                                  <w:rFonts w:ascii="Arial Narrow" w:eastAsia="SimSun" w:hAnsi="Arial Narrow"/>
                                  <w:sz w:val="18"/>
                                  <w:szCs w:val="18"/>
                                </w:rPr>
                                <w:t>Yes</w:t>
                              </w:r>
                            </w:p>
                          </w:txbxContent>
                        </wps:txbx>
                        <wps:bodyPr rot="0" vert="horz" wrap="none" lIns="91440" tIns="45720" rIns="91440" bIns="45720" anchor="t" anchorCtr="0" upright="1">
                          <a:noAutofit/>
                        </wps:bodyPr>
                      </wps:wsp>
                      <wps:wsp>
                        <wps:cNvPr id="63" name="Text Box 10"/>
                        <wps:cNvSpPr txBox="1">
                          <a:spLocks noChangeArrowheads="1"/>
                        </wps:cNvSpPr>
                        <wps:spPr bwMode="auto">
                          <a:xfrm>
                            <a:off x="665709" y="6231438"/>
                            <a:ext cx="309304" cy="276302"/>
                          </a:xfrm>
                          <a:prstGeom prst="rect">
                            <a:avLst/>
                          </a:prstGeom>
                          <a:solidFill>
                            <a:srgbClr val="FFFFFF"/>
                          </a:solidFill>
                          <a:ln w="6350">
                            <a:solidFill>
                              <a:srgbClr val="000000"/>
                            </a:solidFill>
                            <a:miter lim="800000"/>
                            <a:headEnd/>
                            <a:tailEnd/>
                          </a:ln>
                        </wps:spPr>
                        <wps:txbx>
                          <w:txbxContent>
                            <w:p w:rsidR="009144E6" w:rsidRDefault="009144E6" w:rsidP="00B146C6">
                              <w:pPr>
                                <w:pStyle w:val="NormalWeb"/>
                                <w:spacing w:before="0" w:beforeAutospacing="0" w:after="240" w:afterAutospacing="0" w:line="312" w:lineRule="auto"/>
                                <w:jc w:val="both"/>
                              </w:pPr>
                              <w:r>
                                <w:rPr>
                                  <w:rFonts w:ascii="Arial Narrow" w:eastAsia="SimSun" w:hAnsi="Arial Narrow" w:cs="Tahoma"/>
                                  <w:sz w:val="18"/>
                                  <w:szCs w:val="18"/>
                                </w:rPr>
                                <w:t>No</w:t>
                              </w:r>
                            </w:p>
                          </w:txbxContent>
                        </wps:txbx>
                        <wps:bodyPr rot="0" vert="horz" wrap="none" lIns="91440" tIns="45720" rIns="91440" bIns="45720" anchor="t" anchorCtr="0" upright="1">
                          <a:noAutofit/>
                        </wps:bodyPr>
                      </wps:wsp>
                      <wps:wsp>
                        <wps:cNvPr id="128" name="Straight Connector 159"/>
                        <wps:cNvCnPr/>
                        <wps:spPr bwMode="auto">
                          <a:xfrm>
                            <a:off x="834011" y="5614934"/>
                            <a:ext cx="15240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Straight Connector 160"/>
                        <wps:cNvCnPr/>
                        <wps:spPr bwMode="auto">
                          <a:xfrm>
                            <a:off x="1608722" y="5299032"/>
                            <a:ext cx="600" cy="315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Straight Arrow Connector 163"/>
                        <wps:cNvCnPr/>
                        <wps:spPr bwMode="auto">
                          <a:xfrm>
                            <a:off x="834011" y="5614934"/>
                            <a:ext cx="3800" cy="6165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Straight Arrow Connector 166"/>
                        <wps:cNvCnPr/>
                        <wps:spPr bwMode="auto">
                          <a:xfrm>
                            <a:off x="2358032" y="5614934"/>
                            <a:ext cx="2500" cy="6159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2" name="Text Box 35"/>
                        <wps:cNvSpPr txBox="1">
                          <a:spLocks/>
                        </wps:cNvSpPr>
                        <wps:spPr bwMode="auto">
                          <a:xfrm>
                            <a:off x="1675423" y="7003043"/>
                            <a:ext cx="1394419" cy="602604"/>
                          </a:xfrm>
                          <a:prstGeom prst="rect">
                            <a:avLst/>
                          </a:prstGeom>
                          <a:solidFill>
                            <a:srgbClr val="FFFFFF"/>
                          </a:solidFill>
                          <a:ln w="6350">
                            <a:solidFill>
                              <a:srgbClr val="000000"/>
                            </a:solidFill>
                            <a:miter lim="800000"/>
                            <a:headEnd/>
                            <a:tailEnd/>
                          </a:ln>
                        </wps:spPr>
                        <wps:txbx>
                          <w:txbxContent>
                            <w:p w:rsidR="009144E6" w:rsidRDefault="009144E6" w:rsidP="00B146C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DXA (MBS 12312)</w:t>
                              </w:r>
                            </w:p>
                            <w:p w:rsidR="009144E6" w:rsidRDefault="009144E6" w:rsidP="00B146C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QCT (MBS12318</w:t>
                              </w:r>
                            </w:p>
                            <w:p w:rsidR="009144E6" w:rsidRDefault="009144E6" w:rsidP="00B146C6">
                              <w:pPr>
                                <w:pStyle w:val="NormalWeb"/>
                                <w:spacing w:before="0" w:beforeAutospacing="0" w:after="0" w:afterAutospacing="0" w:line="276" w:lineRule="auto"/>
                                <w:jc w:val="center"/>
                              </w:pPr>
                              <w:r>
                                <w:rPr>
                                  <w:rFonts w:ascii="Arial Narrow" w:hAnsi="Arial Narrow"/>
                                  <w:sz w:val="18"/>
                                  <w:szCs w:val="18"/>
                                </w:rPr>
                                <w:t>1 per 12 months</w:t>
                              </w:r>
                            </w:p>
                          </w:txbxContent>
                        </wps:txbx>
                        <wps:bodyPr rot="0" vert="horz" wrap="square" lIns="91440" tIns="45720" rIns="91440" bIns="45720" anchor="t" anchorCtr="0" upright="1">
                          <a:noAutofit/>
                        </wps:bodyPr>
                      </wps:wsp>
                      <wps:wsp>
                        <wps:cNvPr id="133" name="Straight Arrow Connector 54"/>
                        <wps:cNvCnPr/>
                        <wps:spPr bwMode="auto">
                          <a:xfrm flipH="1">
                            <a:off x="811611" y="6507740"/>
                            <a:ext cx="8700" cy="4953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Straight Arrow Connector 55"/>
                        <wps:cNvCnPr/>
                        <wps:spPr bwMode="auto">
                          <a:xfrm>
                            <a:off x="2358032" y="6507740"/>
                            <a:ext cx="0" cy="4953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5" name="Text Box 123"/>
                        <wps:cNvSpPr txBox="1">
                          <a:spLocks noChangeArrowheads="1"/>
                        </wps:cNvSpPr>
                        <wps:spPr bwMode="auto">
                          <a:xfrm>
                            <a:off x="532407" y="3346620"/>
                            <a:ext cx="2169160" cy="563245"/>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jc w:val="center"/>
                              </w:pPr>
                              <w:r>
                                <w:rPr>
                                  <w:rFonts w:ascii="Arial Narrow" w:hAnsi="Arial Narrow"/>
                                  <w:sz w:val="18"/>
                                  <w:szCs w:val="18"/>
                                </w:rPr>
                                <w:t>Clinical assessment, test for vitamin D,</w:t>
                              </w:r>
                            </w:p>
                            <w:p w:rsidR="009144E6" w:rsidRDefault="009144E6" w:rsidP="00A9755F">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136" name="Straight Arrow Connector 169"/>
                        <wps:cNvCnPr/>
                        <wps:spPr bwMode="auto">
                          <a:xfrm>
                            <a:off x="1616622" y="3909624"/>
                            <a:ext cx="1000" cy="207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Text Box 123"/>
                        <wps:cNvSpPr txBox="1">
                          <a:spLocks noChangeArrowheads="1"/>
                        </wps:cNvSpPr>
                        <wps:spPr bwMode="auto">
                          <a:xfrm>
                            <a:off x="2700936" y="4195726"/>
                            <a:ext cx="2775037" cy="626404"/>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pPr>
                              <w:r>
                                <w:rPr>
                                  <w:rFonts w:ascii="Arial Narrow" w:hAnsi="Arial Narrow"/>
                                  <w:color w:val="000000"/>
                                  <w:sz w:val="16"/>
                                  <w:szCs w:val="16"/>
                                  <w:lang w:val="en-US"/>
                                </w:rPr>
                                <w:t>Notes: MTF: minimal trauma fracture</w:t>
                              </w:r>
                            </w:p>
                            <w:p w:rsidR="009144E6" w:rsidRDefault="009144E6" w:rsidP="00A9755F">
                              <w:pPr>
                                <w:pStyle w:val="NormalWeb"/>
                                <w:spacing w:before="0" w:beforeAutospacing="0" w:after="0" w:afterAutospacing="0" w:line="276" w:lineRule="auto"/>
                              </w:pPr>
                              <w:r>
                                <w:rPr>
                                  <w:rFonts w:ascii="Arial Narrow" w:hAnsi="Arial Narrow"/>
                                  <w:color w:val="000000"/>
                                  <w:sz w:val="16"/>
                                  <w:szCs w:val="16"/>
                                  <w:lang w:val="en-US"/>
                                </w:rPr>
                                <w:t>(a) Exercise, sunshine, general bone health awareness</w:t>
                              </w:r>
                            </w:p>
                            <w:p w:rsidR="009144E6" w:rsidRDefault="009144E6" w:rsidP="00A9755F">
                              <w:pPr>
                                <w:pStyle w:val="NormalWeb"/>
                                <w:spacing w:before="0" w:beforeAutospacing="0" w:after="0" w:afterAutospacing="0" w:line="276" w:lineRule="auto"/>
                              </w:pPr>
                              <w:r>
                                <w:rPr>
                                  <w:rFonts w:ascii="Arial Narrow" w:hAnsi="Arial Narrow"/>
                                  <w:color w:val="000000"/>
                                  <w:sz w:val="16"/>
                                  <w:szCs w:val="16"/>
                                  <w:lang w:val="en-US"/>
                                </w:rPr>
                                <w:t>(b) Calcium (1300mg/day), ensure replete vitamin D status &gt;60nmol/L</w:t>
                              </w:r>
                            </w:p>
                          </w:txbxContent>
                        </wps:txbx>
                        <wps:bodyPr rot="0" vert="horz" wrap="square" lIns="91440" tIns="45720" rIns="91440" bIns="45720" anchor="t" anchorCtr="0" upright="1">
                          <a:noAutofit/>
                        </wps:bodyPr>
                      </wps:wsp>
                    </wpc:wpc>
                  </a:graphicData>
                </a:graphic>
              </wp:inline>
            </w:drawing>
          </mc:Choice>
          <mc:Fallback>
            <w:pict>
              <v:group id="Canvas 2" o:spid="_x0000_s1126" editas="canvas" alt="Title: Figure 2 Current clinical management of breast cancer patients receiving aromatase inhibitor therapy  - Description: Figure 2 Current clinical management of breast cancer patients receiving aromatase inhibitor therapy " style="width:437.25pt;height:643.5pt;mso-position-horizontal-relative:char;mso-position-vertical-relative:line" coordsize="55530,8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">
                <v:shape id="_x0000_s1127" type="#_x0000_t75" alt="Figure 2 Current clinical management of breast cancer patients receiving aromatase inhibitor therapy " style="position:absolute;width:55530;height:81724;visibility:visible;mso-wrap-style:square">
                  <v:fill o:detectmouseclick="t"/>
                  <v:path o:connecttype="none"/>
                </v:shape>
                <v:shape id="Text Box 29" o:spid="_x0000_s1128" type="#_x0000_t202" style="position:absolute;left:14593;top:2329;width:28925;height:3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1c8MA&#10;AADbAAAADwAAAGRycy9kb3ducmV2LnhtbESPwWrDMBBE74X8g9hCb43cEkJxophgaGnJKanJeWNt&#10;bBNrpViKrf59FSj0OMzMG2ZdRNOLkQbfWVbwMs9AENdWd9woqL7fn99A+ICssbdMCn7IQ7GZPawx&#10;13biPY2H0IgEYZ+jgjYEl0vp65YM+rl1xMk728FgSHJopB5wSnDTy9csW0qDHaeFFh2VLdWXw80o&#10;uLmdu5bHKY7Lk9999MfMxa9KqafHuF2BCBTDf/iv/akVLBZw/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1c8MAAADbAAAADwAAAAAAAAAAAAAAAACYAgAAZHJzL2Rv&#10;d25yZXYueG1sUEsFBgAAAAAEAAQA9QAAAIgDAAAAAA==&#10;" strokeweight=".5pt">
                  <v:path arrowok="t"/>
                  <v:textbox>
                    <w:txbxContent>
                      <w:p w:rsidR="009144E6" w:rsidRPr="001E763C" w:rsidRDefault="009144E6" w:rsidP="000C7705">
                        <w:pPr>
                          <w:pStyle w:val="NormalWeb"/>
                          <w:spacing w:before="0" w:beforeAutospacing="0" w:after="240" w:afterAutospacing="0" w:line="312" w:lineRule="auto"/>
                          <w:jc w:val="center"/>
                          <w:rPr>
                            <w:rFonts w:ascii="Arial Narrow" w:hAnsi="Arial Narrow" w:cs="Arial"/>
                            <w:sz w:val="18"/>
                            <w:szCs w:val="18"/>
                          </w:rPr>
                        </w:pPr>
                        <w:r>
                          <w:rPr>
                            <w:rFonts w:ascii="Arial Narrow" w:eastAsia="SimSun" w:hAnsi="Arial Narrow" w:cs="Arial"/>
                            <w:sz w:val="18"/>
                            <w:szCs w:val="18"/>
                          </w:rPr>
                          <w:t>All other risk factors</w:t>
                        </w:r>
                      </w:p>
                    </w:txbxContent>
                  </v:textbox>
                </v:shape>
                <v:shape id="Text Box 108" o:spid="_x0000_s1129" type="#_x0000_t202" style="position:absolute;left:30864;top:32752;width:13502;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708YA&#10;AADbAAAADwAAAGRycy9kb3ducmV2LnhtbESPQWvCQBSE74L/YXlCb2ajtFZSVymK0ENLMSro7TX7&#10;TNJk34bsNsZ/3y0IPQ4z8w2zWPWmFh21rrSsYBLFIIgzq0vOFRz22/EchPPIGmvLpOBGDlbL4WCB&#10;ibZX3lGX+lwECLsEFRTeN4mULivIoItsQxy8i20N+iDbXOoWrwFuajmN45k0WHJYKLChdUFZlf4Y&#10;BdPu1HzcvqqLP27sufr+XL9PnlOlHkb96wsIT73/D9/bb1rB4xP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w708YAAADbAAAADwAAAAAAAAAAAAAAAACYAgAAZHJz&#10;L2Rvd25yZXYueG1sUEsFBgAAAAAEAAQA9QAAAIsDAAAAAA==&#10;" strokeweight=".5pt">
                  <v:path arrowok="t"/>
                  <v:textbox>
                    <w:txbxContent>
                      <w:p w:rsidR="009144E6" w:rsidRPr="001E763C" w:rsidRDefault="009144E6" w:rsidP="000C7705">
                        <w:pPr>
                          <w:pStyle w:val="NormalWeb"/>
                          <w:spacing w:before="0" w:beforeAutospacing="0" w:after="240" w:afterAutospacing="0" w:line="312" w:lineRule="auto"/>
                          <w:jc w:val="center"/>
                          <w:rPr>
                            <w:rFonts w:ascii="Arial Narrow" w:hAnsi="Arial Narrow"/>
                            <w:sz w:val="18"/>
                            <w:szCs w:val="18"/>
                          </w:rPr>
                        </w:pPr>
                        <w:r w:rsidRPr="001E763C">
                          <w:rPr>
                            <w:rFonts w:ascii="Arial Narrow" w:eastAsia="SimSun" w:hAnsi="Arial Narrow" w:cs="Tahoma"/>
                            <w:sz w:val="18"/>
                            <w:szCs w:val="18"/>
                          </w:rPr>
                          <w:t>Treat with anti-</w:t>
                        </w:r>
                        <w:proofErr w:type="spellStart"/>
                        <w:r w:rsidRPr="001E763C">
                          <w:rPr>
                            <w:rFonts w:ascii="Arial Narrow" w:eastAsia="SimSun" w:hAnsi="Arial Narrow" w:cs="Tahoma"/>
                            <w:sz w:val="18"/>
                            <w:szCs w:val="18"/>
                          </w:rPr>
                          <w:t>resorptive</w:t>
                        </w:r>
                        <w:proofErr w:type="spellEnd"/>
                        <w:r w:rsidRPr="001E763C">
                          <w:rPr>
                            <w:rFonts w:ascii="Arial Narrow" w:eastAsia="SimSun" w:hAnsi="Arial Narrow" w:cs="Tahoma"/>
                            <w:sz w:val="18"/>
                            <w:szCs w:val="18"/>
                          </w:rPr>
                          <w:t xml:space="preserve"> agents</w:t>
                        </w:r>
                        <w:r>
                          <w:rPr>
                            <w:rFonts w:ascii="Arial Narrow" w:eastAsia="SimSun" w:hAnsi="Arial Narrow" w:cs="Tahoma"/>
                            <w:sz w:val="18"/>
                            <w:szCs w:val="18"/>
                          </w:rPr>
                          <w:t xml:space="preserve"> (eligible for PBS drugs)</w:t>
                        </w:r>
                      </w:p>
                    </w:txbxContent>
                  </v:textbox>
                </v:shape>
                <v:shape id="Text Box 102" o:spid="_x0000_s1130" type="#_x0000_t202" style="position:absolute;left:23785;top:14915;width:11171;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lpMUA&#10;AADbAAAADwAAAGRycy9kb3ducmV2LnhtbESPQWvCQBSE74L/YXlCb7pRipbUVUQRemgRU4X29pp9&#10;JjHZtyG7jfHfu4LgcZiZb5j5sjOVaKlxhWUF41EEgji1uuBMweF7O3wD4TyyxsoyKbiSg+Wi35tj&#10;rO2F99QmPhMBwi5GBbn3dSylS3My6Ea2Jg7eyTYGfZBNJnWDlwA3lZxE0VQaLDgs5FjTOqe0TP6N&#10;gkn7U39d/8qTP27sb3nerT/Hs0Spl0G3egfhqfPP8KP9oRW8TuH+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WkxQAAANsAAAAPAAAAAAAAAAAAAAAAAJgCAABkcnMv&#10;ZG93bnJldi54bWxQSwUGAAAAAAQABAD1AAAAigMAAAAA&#10;" strokeweight=".5pt">
                  <v:path arrowok="t"/>
                  <v:textbox>
                    <w:txbxContent>
                      <w:p w:rsidR="009144E6" w:rsidRPr="001E763C" w:rsidRDefault="009144E6" w:rsidP="000C7705">
                        <w:pPr>
                          <w:pStyle w:val="NormalWeb"/>
                          <w:spacing w:before="0" w:beforeAutospacing="0" w:after="240" w:afterAutospacing="0" w:line="312" w:lineRule="auto"/>
                          <w:jc w:val="both"/>
                          <w:rPr>
                            <w:rFonts w:ascii="Arial Narrow" w:hAnsi="Arial Narrow"/>
                            <w:sz w:val="18"/>
                            <w:szCs w:val="18"/>
                          </w:rPr>
                        </w:pPr>
                        <w:r w:rsidRPr="001E763C">
                          <w:rPr>
                            <w:rFonts w:ascii="Arial Narrow" w:eastAsia="SimSun" w:hAnsi="Arial Narrow" w:cs="Tahoma"/>
                            <w:sz w:val="18"/>
                            <w:szCs w:val="18"/>
                          </w:rPr>
                          <w:t>Skeletal metastases</w:t>
                        </w:r>
                      </w:p>
                    </w:txbxContent>
                  </v:textbox>
                </v:shape>
                <v:shape id="Text Box 35" o:spid="_x0000_s1131" type="#_x0000_t202" style="position:absolute;left:1333;top:70030;width:13947;height:6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AP8UA&#10;AADbAAAADwAAAGRycy9kb3ducmV2LnhtbESPQWvCQBSE7wX/w/KE3upGEZXUVUQRPLRIo0J7e80+&#10;k5js25DdxvjvXUHocZiZb5j5sjOVaKlxhWUFw0EEgji1uuBMwfGwfZuBcB5ZY2WZFNzIwXLRe5lj&#10;rO2Vv6hNfCYChF2MCnLv61hKl+Zk0A1sTRy8s20M+iCbTOoGrwFuKjmKook0WHBYyLGmdU5pmfwZ&#10;BaP2u/68/ZZnf9rYn/KyX38Mp4lSr/1u9Q7CU+f/w8/2TisYT+H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A/xQAAANsAAAAPAAAAAAAAAAAAAAAAAJgCAABkcnMv&#10;ZG93bnJldi54bWxQSwUGAAAAAAQABAD1AAAAigMAAAAA&#10;" strokeweight=".5pt">
                  <v:path arrowok="t"/>
                  <v:textbox>
                    <w:txbxContent>
                      <w:p w:rsidR="009144E6" w:rsidRPr="001E763C" w:rsidRDefault="009144E6" w:rsidP="000C7705">
                        <w:pPr>
                          <w:pStyle w:val="NormalWeb"/>
                          <w:spacing w:before="0" w:beforeAutospacing="0" w:after="240" w:afterAutospacing="0" w:line="312" w:lineRule="auto"/>
                          <w:jc w:val="center"/>
                          <w:rPr>
                            <w:rFonts w:ascii="Arial Narrow" w:hAnsi="Arial Narrow"/>
                            <w:sz w:val="18"/>
                            <w:szCs w:val="18"/>
                          </w:rPr>
                        </w:pPr>
                        <w:r>
                          <w:rPr>
                            <w:rFonts w:ascii="Arial Narrow" w:eastAsia="SimSun" w:hAnsi="Arial Narrow" w:cs="Tahoma"/>
                            <w:sz w:val="18"/>
                            <w:szCs w:val="18"/>
                          </w:rPr>
                          <w:t>Risk of MTF</w:t>
                        </w:r>
                      </w:p>
                    </w:txbxContent>
                  </v:textbox>
                </v:shape>
                <v:shape id="Straight Arrow Connector 3" o:spid="_x0000_s1132" type="#_x0000_t32" style="position:absolute;left:29379;top:5715;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Text Box 176" o:spid="_x0000_s1133" type="#_x0000_t202" style="position:absolute;left:15240;top:8763;width:282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qcEA&#10;AADbAAAADwAAAGRycy9kb3ducmV2LnhtbESPT4vCMBTE74LfITxhb5r6B1lrU9ldWBBvai97ezTP&#10;tti8lCRr67c3guBxmJnfMNluMK24kfONZQXzWQKCuLS64UpBcf6dfoLwAVlja5kU3MnDLh+PMky1&#10;7flIt1OoRISwT1FBHUKXSunLmgz6me2Io3exzmCI0lVSO+wj3LRykSRrabDhuFBjRz81ldfTv1Gw&#10;X3+HPyr0QS8XS9sXsnSX1iv1MRm+tiACDeEdfrX3WsFq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V6nBAAAA2wAAAA8AAAAAAAAAAAAAAAAAmAIAAGRycy9kb3du&#10;cmV2LnhtbFBLBQYAAAAABAAEAPUAAACGAwAAAAA=&#10;" strokeweight=".5pt">
                  <v:textbox>
                    <w:txbxContent>
                      <w:p w:rsidR="009144E6" w:rsidRPr="001E763C" w:rsidRDefault="009144E6" w:rsidP="001E763C">
                        <w:pPr>
                          <w:jc w:val="center"/>
                          <w:rPr>
                            <w:rFonts w:ascii="Arial Narrow" w:hAnsi="Arial Narrow"/>
                            <w:sz w:val="18"/>
                            <w:szCs w:val="18"/>
                          </w:rPr>
                        </w:pPr>
                        <w:r w:rsidRPr="001E763C">
                          <w:rPr>
                            <w:rFonts w:ascii="Arial Narrow" w:hAnsi="Arial Narrow"/>
                            <w:sz w:val="18"/>
                            <w:szCs w:val="18"/>
                          </w:rPr>
                          <w:t>Women taking AIs not otherwise eligible for a DXA scan</w:t>
                        </w:r>
                      </w:p>
                    </w:txbxContent>
                  </v:textbox>
                </v:shape>
                <v:shape id="Text Box 123" o:spid="_x0000_s1134" type="#_x0000_t202" style="position:absolute;left:11801;top:41172;width:10153;height:5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B1cMA&#10;AADbAAAADwAAAGRycy9kb3ducmV2LnhtbERPy2rCQBTdF/yH4QpuSjNRU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MB1cMAAADbAAAADwAAAAAAAAAAAAAAAACYAgAAZHJzL2Rv&#10;d25yZXYueG1sUEsFBgAAAAAEAAQA9QAAAIgDAAAAAA==&#10;" strokeweight=".5pt">
                  <v:textbox>
                    <w:txbxContent>
                      <w:p w:rsidR="009144E6" w:rsidRDefault="009144E6" w:rsidP="00A9755F">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 (a)</w:t>
                        </w:r>
                      </w:p>
                      <w:p w:rsidR="009144E6" w:rsidRDefault="009144E6" w:rsidP="00A9755F">
                        <w:pPr>
                          <w:pStyle w:val="NormalWeb"/>
                          <w:spacing w:before="0" w:beforeAutospacing="0" w:after="0" w:afterAutospacing="0" w:line="276" w:lineRule="auto"/>
                        </w:pPr>
                        <w:r>
                          <w:rPr>
                            <w:rFonts w:ascii="Arial Narrow" w:hAnsi="Arial Narrow"/>
                            <w:sz w:val="18"/>
                            <w:szCs w:val="18"/>
                          </w:rPr>
                          <w:t>+/- Supplements (b)</w:t>
                        </w:r>
                      </w:p>
                      <w:p w:rsidR="009144E6" w:rsidRDefault="009144E6" w:rsidP="00F86991">
                        <w:pPr>
                          <w:pStyle w:val="NormalWeb"/>
                          <w:spacing w:before="0" w:beforeAutospacing="0" w:after="0" w:afterAutospacing="0" w:line="276" w:lineRule="auto"/>
                        </w:pPr>
                      </w:p>
                    </w:txbxContent>
                  </v:textbox>
                </v:shape>
                <v:shape id="Straight Arrow Connector 178" o:spid="_x0000_s1135" type="#_x0000_t32" style="position:absolute;left:14817;top:30361;width:38;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shape id="Straight Arrow Connector 179" o:spid="_x0000_s1136" type="#_x0000_t32" style="position:absolute;left:16087;top:47053;width:6;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 id="Straight Arrow Connector 180" o:spid="_x0000_s1137" type="#_x0000_t32" style="position:absolute;left:37623;top:30357;width:0;height:2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KvsQAAADbAAAADwAAAGRycy9kb3ducmV2LnhtbESPQWvCQBSE7wX/w/IKXkrdGLGV1I2I&#10;oC30VBW8PrIv2ZDs25BdY/z3bqHQ4zAz3zDrzWhbMVDva8cK5rMEBHHhdM2VgvNp/7oC4QOyxtYx&#10;KbiTh00+eVpjpt2Nf2g4hkpECPsMFZgQukxKXxiy6GeuI45e6XqLIcq+krrHW4TbVqZJ8iYt1hwX&#10;DHa0M1Q0x6tVUKaa5i/NxXy+L7HcfS/SYWgPSk2fx+0HiEBj+A//tb+0guUC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8q+xAAAANsAAAAPAAAAAAAAAAAA&#10;AAAAAKECAABkcnMvZG93bnJldi54bWxQSwUGAAAAAAQABAD5AAAAkgMAAAAA&#10;">
                  <v:stroke endarrow="open"/>
                </v:shape>
                <v:shape id="Straight Arrow Connector 9" o:spid="_x0000_s1138" type="#_x0000_t32" style="position:absolute;left:29371;top:11811;width:8;height:3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JrcYAAADbAAAADwAAAGRycy9kb3ducmV2LnhtbESPQWvCQBSE74L/YXmCF2k2tbVImlWk&#10;IEgpiNpLb4/sSzY0+zZm1xj767uFgsdhZr5h8vVgG9FT52vHCh6TFARx4XTNlYLP0/ZhCcIHZI2N&#10;Y1JwIw/r1XiUY6bdlQ/UH0MlIoR9hgpMCG0mpS8MWfSJa4mjV7rOYoiyq6Tu8BrhtpHzNH2RFmuO&#10;CwZbejNUfB8vVsHs8FVXZXn5uPmnn/0yfd+fTdErNZ0Mm1cQgYZwD/+3d1rB4hn+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Ca3GAAAA2wAAAA8AAAAAAAAA&#10;AAAAAAAAoQIAAGRycy9kb3ducmV2LnhtbFBLBQYAAAAABAAEAPkAAACUAwAAAAA=&#10;">
                  <v:stroke endarrow="open"/>
                </v:shape>
                <v:shape id="Text Box 10" o:spid="_x0000_s1139" type="#_x0000_t202" style="position:absolute;left:35433;top:27594;width:3511;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iTcUA&#10;AADbAAAADwAAAGRycy9kb3ducmV2LnhtbESPQWvCQBSE7wX/w/IEL0U3FiySZiMiLYoHQW09P3df&#10;k2D2bZpdNfrruwWhx2FmvmGyWWdrcaHWV44VjEcJCGLtTMWFgs/9x3AKwgdkg7VjUnAjD7O895Rh&#10;atyVt3TZhUJECPsUFZQhNKmUXpdk0Y9cQxy9b9daDFG2hTQtXiPc1vIlSV6lxYrjQokNLUrSp93Z&#10;Kliuj+P7+utdL3/4WMvt4VnbxUapQb+bv4EI1IX/8KO9Mgo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KJNxQAAANsAAAAPAAAAAAAAAAAAAAAAAJgCAABkcnMv&#10;ZG93bnJldi54bWxQSwUGAAAAAAQABAD1AAAAigMAAAAA&#10;" strokeweight=".5pt">
                  <v:textbox>
                    <w:txbxContent>
                      <w:p w:rsidR="009144E6" w:rsidRPr="00755630" w:rsidRDefault="009144E6">
                        <w:pPr>
                          <w:rPr>
                            <w:rFonts w:ascii="Arial Narrow" w:hAnsi="Arial Narrow"/>
                            <w:sz w:val="18"/>
                            <w:szCs w:val="18"/>
                          </w:rPr>
                        </w:pPr>
                        <w:r w:rsidRPr="00755630">
                          <w:rPr>
                            <w:rFonts w:ascii="Arial Narrow" w:hAnsi="Arial Narrow"/>
                            <w:sz w:val="18"/>
                            <w:szCs w:val="18"/>
                          </w:rPr>
                          <w:t>Yes</w:t>
                        </w:r>
                      </w:p>
                    </w:txbxContent>
                  </v:textbox>
                </v:shape>
                <v:shape id="Text Box 10" o:spid="_x0000_s1140" type="#_x0000_t202" style="position:absolute;left:13134;top:27598;width:3093;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8OsUA&#10;AADbAAAADwAAAGRycy9kb3ducmV2LnhtbESPQWvCQBSE70L/w/IKvYjZWFBK6iYUsSgeCtrW83P3&#10;NQnNvo3ZrUZ/vVsQPA4z8w0zK3rbiCN1vnasYJykIIi1MzWXCr4+30cvIHxANtg4JgVn8lDkD4MZ&#10;ZsadeEPHbShFhLDPUEEVQptJ6XVFFn3iWuLo/bjOYoiyK6Xp8BThtpHPaTqVFmuOCxW2NK9I/27/&#10;rILlej++rL8XenngfSM3u6G28w+lnh77t1cQgfpwD9/aK6NgMoX/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jw6xQAAANsAAAAPAAAAAAAAAAAAAAAAAJgCAABkcnMv&#10;ZG93bnJldi54bWxQSwUGAAAAAAQABAD1AAAAigMAAAAA&#10;" strokeweight=".5pt">
                  <v:textbox>
                    <w:txbxContent>
                      <w:p w:rsidR="009144E6" w:rsidRPr="00755630" w:rsidRDefault="009144E6" w:rsidP="00EB6EDC">
                        <w:pPr>
                          <w:pStyle w:val="NormalWeb"/>
                          <w:spacing w:before="0" w:beforeAutospacing="0" w:after="240" w:afterAutospacing="0" w:line="312" w:lineRule="auto"/>
                          <w:jc w:val="both"/>
                          <w:rPr>
                            <w:rFonts w:ascii="Arial Narrow" w:hAnsi="Arial Narrow"/>
                            <w:sz w:val="18"/>
                            <w:szCs w:val="18"/>
                          </w:rPr>
                        </w:pPr>
                        <w:r w:rsidRPr="00755630">
                          <w:rPr>
                            <w:rFonts w:ascii="Arial Narrow" w:eastAsia="SimSun" w:hAnsi="Arial Narrow" w:cs="Tahoma"/>
                            <w:sz w:val="18"/>
                            <w:szCs w:val="18"/>
                          </w:rPr>
                          <w:t>No</w:t>
                        </w:r>
                      </w:p>
                    </w:txbxContent>
                  </v:textbox>
                </v:shape>
                <v:line id="Straight Connector 12" o:spid="_x0000_s1141" style="position:absolute;visibility:visible;mso-wrap-style:square" from="14811,21431" to="37338,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Straight Connector 49" o:spid="_x0000_s1142" style="position:absolute;visibility:visible;mso-wrap-style:square" from="29371,18173" to="29379,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Straight Arrow Connector 50" o:spid="_x0000_s1143" type="#_x0000_t32" style="position:absolute;left:14811;top:21431;width:41;height:6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Straight Arrow Connector 53" o:spid="_x0000_s1144" type="#_x0000_t32" style="position:absolute;left:37338;top:21431;width:25;height:6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Text Box 35" o:spid="_x0000_s1145" type="#_x0000_t202" style="position:absolute;left:8763;top:50122;width:13944;height:2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sMUA&#10;AADbAAAADwAAAGRycy9kb3ducmV2LnhtbESPQWvCQBSE70L/w/IKvekmHlRSVykWwUNFjBba22v2&#10;maTJvg3ZNcZ/7wqCx2FmvmHmy97UoqPWlZYVxKMIBHFmdcm5guNhPZyBcB5ZY22ZFFzJwXLxMphj&#10;ou2F99SlPhcBwi5BBYX3TSKlywoy6Ea2IQ7eybYGfZBtLnWLlwA3tRxH0UQaLDksFNjQqqCsSs9G&#10;wbj7abbXv+rkvz/tb/W/W33F01Spt9f+4x2Ep94/w4/2RiuYxH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mGwxQAAANsAAAAPAAAAAAAAAAAAAAAAAJgCAABkcnMv&#10;ZG93bnJldi54bWxQSwUGAAAAAAQABAD1AAAAigMAAAAA&#10;" strokeweight=".5pt">
                  <v:path arrowok="t"/>
                  <v:textbox>
                    <w:txbxContent>
                      <w:p w:rsidR="009144E6" w:rsidRDefault="009144E6" w:rsidP="00755630">
                        <w:pPr>
                          <w:pStyle w:val="NormalWeb"/>
                          <w:spacing w:before="0" w:beforeAutospacing="0" w:after="240" w:afterAutospacing="0" w:line="312" w:lineRule="auto"/>
                          <w:jc w:val="center"/>
                        </w:pPr>
                        <w:r>
                          <w:rPr>
                            <w:rFonts w:ascii="Arial Narrow" w:eastAsia="SimSun" w:hAnsi="Arial Narrow" w:cs="Tahoma"/>
                            <w:sz w:val="18"/>
                            <w:szCs w:val="18"/>
                          </w:rPr>
                          <w:t>Premature menopause</w:t>
                        </w:r>
                      </w:p>
                    </w:txbxContent>
                  </v:textbox>
                </v:shape>
                <v:shape id="Text Box 10" o:spid="_x0000_s1146" type="#_x0000_t202" style="position:absolute;left:21675;top:62308;width:3512;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hMUA&#10;AADbAAAADwAAAGRycy9kb3ducmV2LnhtbESPzWrDMBCE74W8g9hALyWR7UMoTpRQQoqLD4X8njfS&#10;xja1Vo6lJm6fvioUehxm5htmsRpsK27U+8axgnSagCDWzjRcKTjsXyfPIHxANtg6JgVf5GG1HD0s&#10;MDfuzlu67UIlIoR9jgrqELpcSq9rsuinriOO3sX1FkOUfSVNj/cIt63MkmQmLTYcF2rsaF2T/th9&#10;WgVFeU6/y+NGF1c+t3J7etJ2/a7U43h4mYMINIT/8F/7zSiYZf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fCExQAAANsAAAAPAAAAAAAAAAAAAAAAAJgCAABkcnMv&#10;ZG93bnJldi54bWxQSwUGAAAAAAQABAD1AAAAigMAAAAA&#10;" strokeweight=".5pt">
                  <v:textbox>
                    <w:txbxContent>
                      <w:p w:rsidR="009144E6" w:rsidRDefault="009144E6" w:rsidP="00B146C6">
                        <w:pPr>
                          <w:pStyle w:val="NormalWeb"/>
                          <w:spacing w:before="0" w:beforeAutospacing="0" w:after="240" w:afterAutospacing="0" w:line="312" w:lineRule="auto"/>
                          <w:jc w:val="both"/>
                        </w:pPr>
                        <w:r>
                          <w:rPr>
                            <w:rFonts w:ascii="Arial Narrow" w:eastAsia="SimSun" w:hAnsi="Arial Narrow"/>
                            <w:sz w:val="18"/>
                            <w:szCs w:val="18"/>
                          </w:rPr>
                          <w:t>Yes</w:t>
                        </w:r>
                      </w:p>
                    </w:txbxContent>
                  </v:textbox>
                </v:shape>
                <v:shape id="Text Box 10" o:spid="_x0000_s1147" type="#_x0000_t202" style="position:absolute;left:6657;top:62314;width:3093;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VH8UA&#10;AADbAAAADwAAAGRycy9kb3ducmV2LnhtbESPQWvCQBSE70L/w/IKvYjZWEF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VUfxQAAANsAAAAPAAAAAAAAAAAAAAAAAJgCAABkcnMv&#10;ZG93bnJldi54bWxQSwUGAAAAAAQABAD1AAAAigMAAAAA&#10;" strokeweight=".5pt">
                  <v:textbox>
                    <w:txbxContent>
                      <w:p w:rsidR="009144E6" w:rsidRDefault="009144E6" w:rsidP="00B146C6">
                        <w:pPr>
                          <w:pStyle w:val="NormalWeb"/>
                          <w:spacing w:before="0" w:beforeAutospacing="0" w:after="240" w:afterAutospacing="0" w:line="312" w:lineRule="auto"/>
                          <w:jc w:val="both"/>
                        </w:pPr>
                        <w:r>
                          <w:rPr>
                            <w:rFonts w:ascii="Arial Narrow" w:eastAsia="SimSun" w:hAnsi="Arial Narrow" w:cs="Tahoma"/>
                            <w:sz w:val="18"/>
                            <w:szCs w:val="18"/>
                          </w:rPr>
                          <w:t>No</w:t>
                        </w:r>
                      </w:p>
                    </w:txbxContent>
                  </v:textbox>
                </v:shape>
                <v:line id="Straight Connector 159" o:spid="_x0000_s1148" style="position:absolute;visibility:visible;mso-wrap-style:square" from="8340,56149" to="23580,5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Straight Connector 160" o:spid="_x0000_s1149" style="position:absolute;visibility:visible;mso-wrap-style:square" from="16087,52990" to="16093,5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shape id="Straight Arrow Connector 163" o:spid="_x0000_s1150" type="#_x0000_t32" style="position:absolute;left:8340;top:56149;width:38;height:6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Z/sUAAADcAAAADwAAAGRycy9kb3ducmV2LnhtbESPQWvCQBCF70L/wzKFXkQ3RtSSukoR&#10;bAuetIVeh+wkG8zOhuwa03/fORR6m+G9ee+b7X70rRqoj01gA4t5Boq4DLbh2sDX53H2DComZItt&#10;YDLwQxH2u4fJFgsb7nym4ZJqJSEcCzTgUuoKrWPpyGOch45YtCr0HpOsfa1tj3cJ963Os2ytPTYs&#10;DQ47Ojgqr5ebN1DllhbT67d736ywOpyW+TC0b8Y8PY6vL6ASjenf/Hf9YQV/Kfj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SZ/sUAAADcAAAADwAAAAAAAAAA&#10;AAAAAAChAgAAZHJzL2Rvd25yZXYueG1sUEsFBgAAAAAEAAQA+QAAAJMDAAAAAA==&#10;">
                  <v:stroke endarrow="open"/>
                </v:shape>
                <v:shape id="Straight Arrow Connector 166" o:spid="_x0000_s1151" type="#_x0000_t32" style="position:absolute;left:23580;top:56149;width:25;height:6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8ZcIAAADcAAAADwAAAGRycy9kb3ducmV2LnhtbERPS2vCQBC+F/wPywi9FN0kUpXoKiLU&#10;FnryAV6H7CQbzM6G7Brjv+8WCr3Nx/ec9Xawjeip87VjBek0AUFcOF1zpeBy/pgsQfiArLFxTAqe&#10;5GG7Gb2sMdfuwUfqT6ESMYR9jgpMCG0upS8MWfRT1xJHrnSdxRBhV0nd4SOG20ZmSTKXFmuODQZb&#10;2hsqbqe7VVBmmtK329V8Lt6x3H/Psr5vDkq9jofdCkSgIfyL/9xfOs6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g8ZcIAAADcAAAADwAAAAAAAAAAAAAA&#10;AAChAgAAZHJzL2Rvd25yZXYueG1sUEsFBgAAAAAEAAQA+QAAAJADAAAAAA==&#10;">
                  <v:stroke endarrow="open"/>
                </v:shape>
                <v:shape id="Text Box 35" o:spid="_x0000_s1152" type="#_x0000_t202" style="position:absolute;left:16754;top:70030;width:13944;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y58QA&#10;AADcAAAADwAAAGRycy9kb3ducmV2LnhtbERPTWvCQBC9F/oflhF6MxtTqCW6ilgEDy2lsYLexuyY&#10;xGRnQ3Yb47/vFoTe5vE+Z74cTCN66lxlWcEkikEQ51ZXXCj43m3GryCcR9bYWCYFN3KwXDw+zDHV&#10;9spf1Ge+ECGEXYoKSu/bVEqXl2TQRbYlDtzZdgZ9gF0hdYfXEG4amcTxizRYcWgosaV1SXmd/RgF&#10;SX9oP26n+uz3b/ZYXz7X75NpptTTaFjNQHga/L/47t7qMP85gb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8ufEAAAA3AAAAA8AAAAAAAAAAAAAAAAAmAIAAGRycy9k&#10;b3ducmV2LnhtbFBLBQYAAAAABAAEAPUAAACJAwAAAAA=&#10;" strokeweight=".5pt">
                  <v:path arrowok="t"/>
                  <v:textbox>
                    <w:txbxContent>
                      <w:p w:rsidR="009144E6" w:rsidRDefault="009144E6" w:rsidP="00B146C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DXA (MBS 12312)</w:t>
                        </w:r>
                      </w:p>
                      <w:p w:rsidR="009144E6" w:rsidRDefault="009144E6" w:rsidP="00B146C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QCT (MBS12318</w:t>
                        </w:r>
                      </w:p>
                      <w:p w:rsidR="009144E6" w:rsidRDefault="009144E6" w:rsidP="00B146C6">
                        <w:pPr>
                          <w:pStyle w:val="NormalWeb"/>
                          <w:spacing w:before="0" w:beforeAutospacing="0" w:after="0" w:afterAutospacing="0" w:line="276" w:lineRule="auto"/>
                          <w:jc w:val="center"/>
                        </w:pPr>
                        <w:r>
                          <w:rPr>
                            <w:rFonts w:ascii="Arial Narrow" w:hAnsi="Arial Narrow"/>
                            <w:sz w:val="18"/>
                            <w:szCs w:val="18"/>
                          </w:rPr>
                          <w:t>1 per 12 months</w:t>
                        </w:r>
                      </w:p>
                    </w:txbxContent>
                  </v:textbox>
                </v:shape>
                <v:shape id="Straight Arrow Connector 54" o:spid="_x0000_s1153" type="#_x0000_t32" style="position:absolute;left:8116;top:65077;width:87;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0fcQAAADcAAAADwAAAGRycy9kb3ducmV2LnhtbERPTWvCQBC9F/oflhG8lLrRgEh0E6RQ&#10;EBFE20tvQ3aSDWZn0+waY399t1DwNo/3OZtitK0YqPeNYwXzWQKCuHS64VrB58f76wqED8gaW8ek&#10;4E4eivz5aYOZdjc+0XAOtYgh7DNUYELoMil9aciin7mOOHKV6y2GCPta6h5vMdy2cpEkS2mx4dhg&#10;sKM3Q+XlfLUKXk5fTV1V18Pdpz/HVbI/fptyUGo6GbdrEIHG8BD/u3c6zk9T+Hs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R9xAAAANwAAAAPAAAAAAAAAAAA&#10;AAAAAKECAABkcnMvZG93bnJldi54bWxQSwUGAAAAAAQABAD5AAAAkgMAAAAA&#10;">
                  <v:stroke endarrow="open"/>
                </v:shape>
                <v:shape id="Straight Arrow Connector 55" o:spid="_x0000_s1154" type="#_x0000_t32" style="position:absolute;left:23580;top:65077;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cIAAADcAAAADwAAAGRycy9kb3ducmV2LnhtbERPTWvCQBC9C/6HZQpepG6M2pbUVURQ&#10;Cz1VC70O2Uk2mJ0N2TXGf+8KBW/zeJ+zXPe2Fh21vnKsYDpJQBDnTldcKvg97V4/QPiArLF2TApu&#10;5GG9Gg6WmGl35R/qjqEUMYR9hgpMCE0mpc8NWfQT1xBHrnCtxRBhW0rd4jWG21qmSfImLVYcGww2&#10;tDWUn48Xq6BINU3H5z9zeF9gsf2epV1X75UavfSbTxCB+vAU/7u/dJw/m8P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f/cIAAADcAAAADwAAAAAAAAAAAAAA&#10;AAChAgAAZHJzL2Rvd25yZXYueG1sUEsFBgAAAAAEAAQA+QAAAJADAAAAAA==&#10;">
                  <v:stroke endarrow="open"/>
                </v:shape>
                <v:shape id="Text Box 123" o:spid="_x0000_s1155" type="#_x0000_t202" style="position:absolute;left:5324;top:33466;width:21691;height:56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Gs8QA&#10;AADcAAAADwAAAGRycy9kb3ducmV2LnhtbERPS2vCQBC+C/6HZYReRDdpaZHUNYhYLB4KPtrzuDtN&#10;gtnZmN1q9Nd3hUJv8/E9Z5p3thZnan3lWEE6TkAQa2cqLhTsd2+jCQgfkA3WjknBlTzks35viplx&#10;F97QeRsKEUPYZ6igDKHJpPS6JIt+7BriyH271mKIsC2kafESw20tH5PkRVqsODaU2NCiJH3c/lgF&#10;q/Uhva0/l3p14kMtN19DbRcfSj0MuvkriEBd+Bf/ud9NnP/0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RrPEAAAA3AAAAA8AAAAAAAAAAAAAAAAAmAIAAGRycy9k&#10;b3ducmV2LnhtbFBLBQYAAAAABAAEAPUAAACJAwAAAAA=&#10;" strokeweight=".5pt">
                  <v:textbox>
                    <w:txbxContent>
                      <w:p w:rsidR="009144E6" w:rsidRDefault="009144E6" w:rsidP="00A9755F">
                        <w:pPr>
                          <w:pStyle w:val="NormalWeb"/>
                          <w:spacing w:before="0" w:beforeAutospacing="0" w:after="0" w:afterAutospacing="0" w:line="276" w:lineRule="auto"/>
                          <w:jc w:val="center"/>
                        </w:pPr>
                        <w:r>
                          <w:rPr>
                            <w:rFonts w:ascii="Arial Narrow" w:hAnsi="Arial Narrow"/>
                            <w:sz w:val="18"/>
                            <w:szCs w:val="18"/>
                          </w:rPr>
                          <w:t>Clinical assessment, test for vitamin D,</w:t>
                        </w:r>
                      </w:p>
                      <w:p w:rsidR="009144E6" w:rsidRDefault="009144E6" w:rsidP="00A9755F">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Straight Arrow Connector 169" o:spid="_x0000_s1156" type="#_x0000_t32" style="position:absolute;left:16166;top:39096;width:1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EcMAAADcAAAADwAAAGRycy9kb3ducmV2LnhtbERPTWvCQBC9F/oflil4Kbox0lRiVimC&#10;tdCTWvA6ZCfZkOxsyG5j+u/dQqG3ebzPKXaT7cRIg28cK1guEhDEpdMN1wq+Lof5GoQPyBo7x6Tg&#10;hzzsto8PBeba3fhE4znUIoawz1GBCaHPpfSlIYt+4XriyFVusBgiHGqpB7zFcNvJNEkyabHh2GCw&#10;p72hsj1/WwVVqmn53F7N8fUFq/3nKh3H7l2p2dP0tgERaAr/4j/3h47zVxn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hpBHDAAAA3AAAAA8AAAAAAAAAAAAA&#10;AAAAoQIAAGRycy9kb3ducmV2LnhtbFBLBQYAAAAABAAEAPkAAACRAwAAAAA=&#10;">
                  <v:stroke endarrow="open"/>
                </v:shape>
                <v:shape id="Text Box 123" o:spid="_x0000_s1157" type="#_x0000_t202" style="position:absolute;left:27009;top:41957;width:27750;height:6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XAMEA&#10;AADcAAAADwAAAGRycy9kb3ducmV2LnhtbESPQYvCMBCF74L/IYywN021IEvXKCoI4m3dXvY2NGNb&#10;bCYlibb+e+ewsLcZ3pv3vtnsRtepJ4XYejawXGSgiCtvW64NlD+n+SeomJAtdp7JwIsi7LbTyQYL&#10;6wf+puc11UpCOBZooEmpL7SOVUMO48L3xKLdfHCYZA21tgEHCXedXmXZWjtsWRoa7OnYUHW/PpyB&#10;8/qQfqm0F5uvcj+Uugq3LhrzMRv3X6ASjenf/Hd9toKfC608IxPo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g1wDBAAAA3AAAAA8AAAAAAAAAAAAAAAAAmAIAAGRycy9kb3du&#10;cmV2LnhtbFBLBQYAAAAABAAEAPUAAACGAwAAAAA=&#10;" strokeweight=".5pt">
                  <v:textbox>
                    <w:txbxContent>
                      <w:p w:rsidR="009144E6" w:rsidRDefault="009144E6" w:rsidP="00A9755F">
                        <w:pPr>
                          <w:pStyle w:val="NormalWeb"/>
                          <w:spacing w:before="0" w:beforeAutospacing="0" w:after="0" w:afterAutospacing="0" w:line="276" w:lineRule="auto"/>
                        </w:pPr>
                        <w:r>
                          <w:rPr>
                            <w:rFonts w:ascii="Arial Narrow" w:hAnsi="Arial Narrow"/>
                            <w:color w:val="000000"/>
                            <w:sz w:val="16"/>
                            <w:szCs w:val="16"/>
                            <w:lang w:val="en-US"/>
                          </w:rPr>
                          <w:t>Notes: MTF: minimal trauma fracture</w:t>
                        </w:r>
                      </w:p>
                      <w:p w:rsidR="009144E6" w:rsidRDefault="009144E6" w:rsidP="00A9755F">
                        <w:pPr>
                          <w:pStyle w:val="NormalWeb"/>
                          <w:spacing w:before="0" w:beforeAutospacing="0" w:after="0" w:afterAutospacing="0" w:line="276" w:lineRule="auto"/>
                        </w:pPr>
                        <w:r>
                          <w:rPr>
                            <w:rFonts w:ascii="Arial Narrow" w:hAnsi="Arial Narrow"/>
                            <w:color w:val="000000"/>
                            <w:sz w:val="16"/>
                            <w:szCs w:val="16"/>
                            <w:lang w:val="en-US"/>
                          </w:rPr>
                          <w:t>(a) Exercise, sunshine, general bone health awareness</w:t>
                        </w:r>
                      </w:p>
                      <w:p w:rsidR="009144E6" w:rsidRDefault="009144E6" w:rsidP="00A9755F">
                        <w:pPr>
                          <w:pStyle w:val="NormalWeb"/>
                          <w:spacing w:before="0" w:beforeAutospacing="0" w:after="0" w:afterAutospacing="0" w:line="276" w:lineRule="auto"/>
                        </w:pPr>
                        <w:r>
                          <w:rPr>
                            <w:rFonts w:ascii="Arial Narrow" w:hAnsi="Arial Narrow"/>
                            <w:color w:val="000000"/>
                            <w:sz w:val="16"/>
                            <w:szCs w:val="16"/>
                            <w:lang w:val="en-US"/>
                          </w:rPr>
                          <w:t>(b) Calcium (1300mg/day), ensure replete vitamin D status &gt;60nmol/L</w:t>
                        </w:r>
                      </w:p>
                    </w:txbxContent>
                  </v:textbox>
                </v:shape>
                <w10:anchorlock/>
              </v:group>
            </w:pict>
          </mc:Fallback>
        </mc:AlternateContent>
      </w:r>
    </w:p>
    <w:p w:rsidR="00D8067A" w:rsidRDefault="00D8067A" w:rsidP="000371CA">
      <w:pPr>
        <w:pStyle w:val="Caption"/>
      </w:pPr>
      <w:r>
        <w:lastRenderedPageBreak/>
        <w:t>Figure 3</w:t>
      </w:r>
      <w:r w:rsidRPr="000371CA">
        <w:t xml:space="preserve"> Proposed clinical management algorithm </w:t>
      </w:r>
      <w:r>
        <w:t>of breast cancer patients receiving aromatase inhibitor therapy</w:t>
      </w:r>
    </w:p>
    <w:p w:rsidR="00D8067A" w:rsidRDefault="00D00E85">
      <w:pPr>
        <w:spacing w:after="0" w:line="240" w:lineRule="auto"/>
        <w:jc w:val="left"/>
        <w:rPr>
          <w:rFonts w:ascii="Cambria" w:hAnsi="Cambria" w:cs="Times New Roman"/>
          <w:b/>
          <w:bCs/>
          <w:color w:val="365F91"/>
          <w:sz w:val="28"/>
          <w:szCs w:val="28"/>
          <w:lang w:eastAsia="en-US"/>
        </w:rPr>
      </w:pPr>
      <w:r>
        <w:rPr>
          <w:rFonts w:ascii="Cambria" w:hAnsi="Cambria" w:cs="Times New Roman"/>
          <w:b/>
          <w:bCs/>
          <w:noProof/>
          <w:color w:val="365F91"/>
          <w:sz w:val="28"/>
          <w:szCs w:val="28"/>
          <w:lang w:eastAsia="en-AU"/>
        </w:rPr>
        <mc:AlternateContent>
          <mc:Choice Requires="wpc">
            <w:drawing>
              <wp:inline distT="0" distB="0" distL="0" distR="0" wp14:anchorId="32281C08" wp14:editId="47C82B55">
                <wp:extent cx="5486400" cy="7839075"/>
                <wp:effectExtent l="0" t="0" r="0" b="9525"/>
                <wp:docPr id="137" name="Canvas 74" descr="Figure 3 Proposed clinical management algorithm of breast cancer patients receiving aromatase inhibitor therapy" title="Figure 3 Proposed clinical management algorithm of breast cancer patients receiving aromatase inhibitor therap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descr="Figure 3 Proposed clinical management algorithm of breast cancer patients receiving aromatase inhibitor therapy" title="Figure 3 Proposed clinical management algorithm of breast cancer patients receiving aromatase inhibitor therapy"/>
                        <wps:cNvSpPr txBox="1">
                          <a:spLocks/>
                        </wps:cNvSpPr>
                        <wps:spPr bwMode="auto">
                          <a:xfrm>
                            <a:off x="1080800" y="59501"/>
                            <a:ext cx="2769400" cy="645306"/>
                          </a:xfrm>
                          <a:prstGeom prst="rect">
                            <a:avLst/>
                          </a:prstGeom>
                          <a:solidFill>
                            <a:srgbClr val="FFFFFF"/>
                          </a:solidFill>
                          <a:ln w="6350">
                            <a:solidFill>
                              <a:srgbClr val="000000"/>
                            </a:solidFill>
                            <a:miter lim="800000"/>
                            <a:headEnd/>
                            <a:tailEnd/>
                          </a:ln>
                        </wps:spPr>
                        <wps:txbx>
                          <w:txbxContent>
                            <w:p w:rsidR="009144E6" w:rsidRPr="005E19F7" w:rsidRDefault="009144E6" w:rsidP="00BE0ADD">
                              <w:pPr>
                                <w:pStyle w:val="NormalWeb"/>
                                <w:spacing w:before="0" w:beforeAutospacing="0" w:after="0" w:afterAutospacing="0" w:line="312" w:lineRule="auto"/>
                                <w:jc w:val="center"/>
                                <w:rPr>
                                  <w:rFonts w:ascii="Arial Narrow" w:hAnsi="Arial Narrow"/>
                                  <w:sz w:val="18"/>
                                  <w:szCs w:val="18"/>
                                </w:rPr>
                              </w:pPr>
                              <w:r w:rsidRPr="005E19F7">
                                <w:rPr>
                                  <w:rFonts w:ascii="Arial Narrow" w:eastAsia="SimSun" w:hAnsi="Arial Narrow" w:cs="Tahoma"/>
                                  <w:sz w:val="18"/>
                                  <w:szCs w:val="18"/>
                                </w:rPr>
                                <w:t>Women with hormone receptor positive breast cancer</w:t>
                              </w:r>
                            </w:p>
                            <w:p w:rsidR="009144E6" w:rsidRPr="005E19F7" w:rsidRDefault="009144E6" w:rsidP="00BE0ADD">
                              <w:pPr>
                                <w:pStyle w:val="NormalWeb"/>
                                <w:spacing w:before="0" w:beforeAutospacing="0" w:after="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taking</w:t>
                              </w:r>
                              <w:proofErr w:type="gramEnd"/>
                              <w:r w:rsidRPr="005E19F7">
                                <w:rPr>
                                  <w:rFonts w:ascii="Arial Narrow" w:eastAsia="SimSun" w:hAnsi="Arial Narrow" w:cs="Tahoma"/>
                                  <w:sz w:val="18"/>
                                  <w:szCs w:val="18"/>
                                </w:rPr>
                                <w:t xml:space="preserve"> Aromatase inhibitors, not otherwise eligible for DXA</w:t>
                              </w:r>
                            </w:p>
                          </w:txbxContent>
                        </wps:txbx>
                        <wps:bodyPr rot="0" vert="horz" wrap="square" lIns="91440" tIns="45720" rIns="91440" bIns="45720" anchor="ctr" anchorCtr="0" upright="1">
                          <a:noAutofit/>
                        </wps:bodyPr>
                      </wps:wsp>
                      <wps:wsp>
                        <wps:cNvPr id="2" name="Text Box 13"/>
                        <wps:cNvSpPr txBox="1">
                          <a:spLocks/>
                        </wps:cNvSpPr>
                        <wps:spPr bwMode="auto">
                          <a:xfrm>
                            <a:off x="1950400" y="2054320"/>
                            <a:ext cx="1176400" cy="448904"/>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Baseline BMD measurement</w:t>
                              </w:r>
                              <w:r>
                                <w:rPr>
                                  <w:rFonts w:ascii="Arial Narrow" w:eastAsia="SimSun" w:hAnsi="Arial Narrow" w:cs="Tahoma"/>
                                  <w:sz w:val="18"/>
                                  <w:szCs w:val="18"/>
                                </w:rPr>
                                <w:t xml:space="preserve"> by DXA</w:t>
                              </w:r>
                            </w:p>
                            <w:p w:rsidR="009144E6" w:rsidRPr="005E19F7" w:rsidRDefault="009144E6" w:rsidP="00EC41A8">
                              <w:pPr>
                                <w:pStyle w:val="NormalWeb"/>
                                <w:spacing w:before="0" w:beforeAutospacing="0" w:after="240" w:afterAutospacing="0" w:line="312" w:lineRule="auto"/>
                                <w:jc w:val="both"/>
                                <w:rPr>
                                  <w:rFonts w:ascii="Arial Narrow" w:hAnsi="Arial Narrow"/>
                                  <w:sz w:val="18"/>
                                  <w:szCs w:val="18"/>
                                </w:rPr>
                              </w:pPr>
                              <w:r w:rsidRPr="005E19F7">
                                <w:rPr>
                                  <w:rFonts w:ascii="Arial Narrow" w:eastAsia="SimSun" w:hAnsi="Arial Narrow" w:cs="Tahoma"/>
                                  <w:sz w:val="18"/>
                                  <w:szCs w:val="18"/>
                                </w:rPr>
                                <w:t> </w:t>
                              </w:r>
                            </w:p>
                          </w:txbxContent>
                        </wps:txbx>
                        <wps:bodyPr rot="0" vert="horz" wrap="square" lIns="91440" tIns="45720" rIns="91440" bIns="45720" anchor="t" anchorCtr="0" upright="1">
                          <a:noAutofit/>
                        </wps:bodyPr>
                      </wps:wsp>
                      <wps:wsp>
                        <wps:cNvPr id="3" name="Text Box 14"/>
                        <wps:cNvSpPr txBox="1">
                          <a:spLocks/>
                        </wps:cNvSpPr>
                        <wps:spPr bwMode="auto">
                          <a:xfrm>
                            <a:off x="3200" y="2922128"/>
                            <a:ext cx="1144400" cy="561005"/>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Pr>
                                  <w:rFonts w:ascii="Arial Narrow" w:eastAsia="SimSun" w:hAnsi="Arial Narrow" w:cs="Tahoma"/>
                                  <w:sz w:val="18"/>
                                  <w:szCs w:val="18"/>
                                </w:rPr>
                                <w:t xml:space="preserve">≤ -2.5 </w:t>
                              </w:r>
                            </w:p>
                          </w:txbxContent>
                        </wps:txbx>
                        <wps:bodyPr rot="0" vert="horz" wrap="square" lIns="91440" tIns="45720" rIns="91440" bIns="45720" anchor="t" anchorCtr="0" upright="1">
                          <a:noAutofit/>
                        </wps:bodyPr>
                      </wps:wsp>
                      <wps:wsp>
                        <wps:cNvPr id="4" name="Text Box 15"/>
                        <wps:cNvSpPr txBox="1">
                          <a:spLocks/>
                        </wps:cNvSpPr>
                        <wps:spPr bwMode="auto">
                          <a:xfrm>
                            <a:off x="3696700" y="2909828"/>
                            <a:ext cx="1151600" cy="347903"/>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T-score &gt;-2.5</w:t>
                              </w:r>
                            </w:p>
                          </w:txbxContent>
                        </wps:txbx>
                        <wps:bodyPr rot="0" vert="horz" wrap="square" lIns="91440" tIns="45720" rIns="91440" bIns="45720" anchor="t" anchorCtr="0" upright="1">
                          <a:noAutofit/>
                        </wps:bodyPr>
                      </wps:wsp>
                      <wps:wsp>
                        <wps:cNvPr id="5" name="Text Box 17"/>
                        <wps:cNvSpPr txBox="1">
                          <a:spLocks/>
                        </wps:cNvSpPr>
                        <wps:spPr bwMode="auto">
                          <a:xfrm>
                            <a:off x="2003500" y="1512914"/>
                            <a:ext cx="1123300" cy="389804"/>
                          </a:xfrm>
                          <a:prstGeom prst="rect">
                            <a:avLst/>
                          </a:prstGeom>
                          <a:solidFill>
                            <a:srgbClr val="FFFFFF"/>
                          </a:solidFill>
                          <a:ln w="6350">
                            <a:solidFill>
                              <a:srgbClr val="000000"/>
                            </a:solidFill>
                            <a:miter lim="800000"/>
                            <a:headEnd/>
                            <a:tailEnd/>
                          </a:ln>
                        </wps:spPr>
                        <wps:txbx>
                          <w:txbxContent>
                            <w:p w:rsidR="009144E6" w:rsidRPr="00A9755F" w:rsidRDefault="009144E6" w:rsidP="00A9755F">
                              <w:pPr>
                                <w:spacing w:after="200" w:line="276" w:lineRule="auto"/>
                                <w:jc w:val="left"/>
                                <w:rPr>
                                  <w:rFonts w:ascii="Arial Narrow" w:hAnsi="Arial Narrow" w:cs="Times New Roman"/>
                                  <w:sz w:val="18"/>
                                  <w:szCs w:val="18"/>
                                  <w:lang w:eastAsia="en-AU"/>
                                </w:rPr>
                              </w:pPr>
                              <w:r w:rsidRPr="00A9755F">
                                <w:rPr>
                                  <w:rFonts w:ascii="Arial Narrow" w:hAnsi="Arial Narrow" w:cs="Times New Roman"/>
                                  <w:sz w:val="18"/>
                                  <w:szCs w:val="18"/>
                                  <w:lang w:eastAsia="en-AU"/>
                                </w:rPr>
                                <w:t>Lifestyle advice (a), +/- supplements (b)</w:t>
                              </w:r>
                            </w:p>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
                          </w:txbxContent>
                        </wps:txbx>
                        <wps:bodyPr rot="0" vert="horz" wrap="square" lIns="91440" tIns="45720" rIns="91440" bIns="45720" anchor="t" anchorCtr="0" upright="1">
                          <a:noAutofit/>
                        </wps:bodyPr>
                      </wps:wsp>
                      <wps:wsp>
                        <wps:cNvPr id="6" name="Straight Connector 136"/>
                        <wps:cNvCnPr/>
                        <wps:spPr bwMode="auto">
                          <a:xfrm>
                            <a:off x="575400" y="2756526"/>
                            <a:ext cx="369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traight Arrow Connector 137"/>
                        <wps:cNvCnPr/>
                        <wps:spPr bwMode="auto">
                          <a:xfrm>
                            <a:off x="575400" y="2756526"/>
                            <a:ext cx="0" cy="165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139"/>
                        <wps:cNvCnPr/>
                        <wps:spPr bwMode="auto">
                          <a:xfrm>
                            <a:off x="4272500" y="2756526"/>
                            <a:ext cx="0" cy="153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Text Box 32"/>
                        <wps:cNvSpPr txBox="1">
                          <a:spLocks/>
                        </wps:cNvSpPr>
                        <wps:spPr bwMode="auto">
                          <a:xfrm>
                            <a:off x="66600" y="4078139"/>
                            <a:ext cx="1012000" cy="636106"/>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Treat with anti-</w:t>
                              </w:r>
                              <w:proofErr w:type="spellStart"/>
                              <w:r w:rsidRPr="005E19F7">
                                <w:rPr>
                                  <w:rFonts w:ascii="Arial Narrow" w:eastAsia="SimSun" w:hAnsi="Arial Narrow" w:cs="Tahoma"/>
                                  <w:sz w:val="18"/>
                                  <w:szCs w:val="18"/>
                                </w:rPr>
                                <w:t>resorptives</w:t>
                              </w:r>
                              <w:proofErr w:type="spellEnd"/>
                              <w:r w:rsidRPr="005E19F7">
                                <w:rPr>
                                  <w:rFonts w:ascii="Arial Narrow" w:eastAsia="SimSun" w:hAnsi="Arial Narrow" w:cs="Tahoma"/>
                                  <w:sz w:val="18"/>
                                  <w:szCs w:val="18"/>
                                </w:rPr>
                                <w:t xml:space="preserve"> at osteoporosis doses </w:t>
                              </w:r>
                            </w:p>
                          </w:txbxContent>
                        </wps:txbx>
                        <wps:bodyPr rot="0" vert="horz" wrap="square" lIns="91440" tIns="45720" rIns="91440" bIns="45720" anchor="t" anchorCtr="0" upright="1">
                          <a:noAutofit/>
                        </wps:bodyPr>
                      </wps:wsp>
                      <wps:wsp>
                        <wps:cNvPr id="10" name="Text Box 36"/>
                        <wps:cNvSpPr txBox="1">
                          <a:spLocks/>
                        </wps:cNvSpPr>
                        <wps:spPr bwMode="auto">
                          <a:xfrm>
                            <a:off x="76100" y="5046148"/>
                            <a:ext cx="1131500" cy="396104"/>
                          </a:xfrm>
                          <a:prstGeom prst="rect">
                            <a:avLst/>
                          </a:prstGeom>
                          <a:solidFill>
                            <a:srgbClr val="FFFFFF"/>
                          </a:solidFill>
                          <a:ln w="6350">
                            <a:solidFill>
                              <a:srgbClr val="000000"/>
                            </a:solidFill>
                            <a:miter lim="800000"/>
                            <a:headEnd/>
                            <a:tailEnd/>
                          </a:ln>
                        </wps:spPr>
                        <wps:txbx>
                          <w:txbxContent>
                            <w:p w:rsidR="009144E6" w:rsidRDefault="009144E6" w:rsidP="002D4092">
                              <w:pPr>
                                <w:pStyle w:val="NormalWeb"/>
                                <w:spacing w:before="0" w:beforeAutospacing="0" w:after="0" w:afterAutospacing="0" w:line="276" w:lineRule="auto"/>
                                <w:rPr>
                                  <w:rFonts w:ascii="Arial Narrow" w:hAnsi="Arial Narrow"/>
                                  <w:sz w:val="18"/>
                                  <w:szCs w:val="18"/>
                                </w:rPr>
                              </w:pPr>
                              <w:r w:rsidRPr="005E19F7">
                                <w:rPr>
                                  <w:rFonts w:ascii="Arial Narrow" w:eastAsia="SimSun" w:hAnsi="Arial Narrow" w:cs="Tahoma"/>
                                  <w:sz w:val="18"/>
                                  <w:szCs w:val="18"/>
                                </w:rPr>
                                <w:t xml:space="preserve">Repeat DXA after 24 months </w:t>
                              </w:r>
                              <w:r>
                                <w:rPr>
                                  <w:rFonts w:ascii="Arial Narrow" w:eastAsia="SimSun" w:hAnsi="Arial Narrow" w:cs="Tahoma"/>
                                  <w:sz w:val="18"/>
                                  <w:szCs w:val="18"/>
                                </w:rPr>
                                <w:t>(</w:t>
                              </w:r>
                              <w:r>
                                <w:rPr>
                                  <w:rFonts w:ascii="Arial Narrow" w:hAnsi="Arial Narrow"/>
                                  <w:sz w:val="18"/>
                                  <w:szCs w:val="18"/>
                                </w:rPr>
                                <w:t>MBS 12306)</w:t>
                              </w:r>
                            </w:p>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
                          </w:txbxContent>
                        </wps:txbx>
                        <wps:bodyPr rot="0" vert="horz" wrap="square" lIns="91440" tIns="45720" rIns="91440" bIns="45720" anchor="t" anchorCtr="0" upright="1">
                          <a:noAutofit/>
                        </wps:bodyPr>
                      </wps:wsp>
                      <wps:wsp>
                        <wps:cNvPr id="11" name="Text Box 39"/>
                        <wps:cNvSpPr txBox="1">
                          <a:spLocks/>
                        </wps:cNvSpPr>
                        <wps:spPr bwMode="auto">
                          <a:xfrm>
                            <a:off x="3792700" y="3740236"/>
                            <a:ext cx="1004700" cy="629206"/>
                          </a:xfrm>
                          <a:prstGeom prst="rect">
                            <a:avLst/>
                          </a:prstGeom>
                          <a:solidFill>
                            <a:srgbClr val="FFFFFF"/>
                          </a:solidFill>
                          <a:ln w="6350">
                            <a:solidFill>
                              <a:srgbClr val="000000"/>
                            </a:solidFill>
                            <a:miter lim="800000"/>
                            <a:headEnd/>
                            <a:tailEnd/>
                          </a:ln>
                        </wps:spPr>
                        <wps:txbx>
                          <w:txbxContent>
                            <w:p w:rsidR="009144E6" w:rsidRPr="005E19F7" w:rsidRDefault="009144E6" w:rsidP="0036720C">
                              <w:pPr>
                                <w:pStyle w:val="NormalWeb"/>
                                <w:spacing w:before="0" w:beforeAutospacing="0" w:after="240" w:afterAutospacing="0" w:line="312" w:lineRule="auto"/>
                                <w:jc w:val="center"/>
                                <w:rPr>
                                  <w:rFonts w:ascii="Arial Narrow" w:eastAsia="SimSun" w:hAnsi="Arial Narrow" w:cs="Tahoma"/>
                                  <w:sz w:val="18"/>
                                  <w:szCs w:val="18"/>
                                </w:rPr>
                              </w:pPr>
                              <w:r>
                                <w:rPr>
                                  <w:rFonts w:ascii="Arial Narrow" w:eastAsia="SimSun" w:hAnsi="Arial Narrow" w:cs="Tahoma"/>
                                  <w:sz w:val="18"/>
                                  <w:szCs w:val="18"/>
                                </w:rPr>
                                <w:t>Repeat BMD scan after 24 months</w:t>
                              </w:r>
                            </w:p>
                          </w:txbxContent>
                        </wps:txbx>
                        <wps:bodyPr rot="0" vert="horz" wrap="square" lIns="91440" tIns="45720" rIns="91440" bIns="45720" anchor="t" anchorCtr="0" upright="1">
                          <a:noAutofit/>
                        </wps:bodyPr>
                      </wps:wsp>
                      <wps:wsp>
                        <wps:cNvPr id="12" name="Text Box 40"/>
                        <wps:cNvSpPr txBox="1">
                          <a:spLocks/>
                        </wps:cNvSpPr>
                        <wps:spPr bwMode="auto">
                          <a:xfrm>
                            <a:off x="3772000" y="4714245"/>
                            <a:ext cx="1044700" cy="331903"/>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sidRPr="00C57D90">
                                <w:rPr>
                                  <w:rFonts w:ascii="Arial Narrow" w:eastAsia="SimSun" w:hAnsi="Arial Narrow" w:cs="Tahoma"/>
                                  <w:sz w:val="18"/>
                                  <w:szCs w:val="18"/>
                                </w:rPr>
                                <w:t>≤</w:t>
                              </w:r>
                              <w:r w:rsidRPr="005E19F7">
                                <w:rPr>
                                  <w:rFonts w:ascii="Arial Narrow" w:eastAsia="SimSun" w:hAnsi="Arial Narrow" w:cs="Tahoma"/>
                                  <w:sz w:val="18"/>
                                  <w:szCs w:val="18"/>
                                </w:rPr>
                                <w:t>-2.5</w:t>
                              </w:r>
                            </w:p>
                          </w:txbxContent>
                        </wps:txbx>
                        <wps:bodyPr rot="0" vert="horz" wrap="square" lIns="91440" tIns="45720" rIns="91440" bIns="45720" anchor="t" anchorCtr="0" upright="1">
                          <a:noAutofit/>
                        </wps:bodyPr>
                      </wps:wsp>
                      <wps:wsp>
                        <wps:cNvPr id="13" name="Text Box 41"/>
                        <wps:cNvSpPr txBox="1">
                          <a:spLocks/>
                        </wps:cNvSpPr>
                        <wps:spPr bwMode="auto">
                          <a:xfrm>
                            <a:off x="3608000" y="5564053"/>
                            <a:ext cx="448900" cy="284103"/>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yes</w:t>
                              </w:r>
                              <w:proofErr w:type="gramEnd"/>
                            </w:p>
                          </w:txbxContent>
                        </wps:txbx>
                        <wps:bodyPr rot="0" vert="horz" wrap="square" lIns="91440" tIns="45720" rIns="91440" bIns="45720" anchor="t" anchorCtr="0" upright="1">
                          <a:noAutofit/>
                        </wps:bodyPr>
                      </wps:wsp>
                      <wps:wsp>
                        <wps:cNvPr id="14" name="Text Box 42"/>
                        <wps:cNvSpPr txBox="1">
                          <a:spLocks/>
                        </wps:cNvSpPr>
                        <wps:spPr bwMode="auto">
                          <a:xfrm>
                            <a:off x="4558500" y="5575753"/>
                            <a:ext cx="448800" cy="284103"/>
                          </a:xfrm>
                          <a:prstGeom prst="rect">
                            <a:avLst/>
                          </a:prstGeom>
                          <a:solidFill>
                            <a:srgbClr val="FFFFFF"/>
                          </a:solidFill>
                          <a:ln w="6350">
                            <a:solidFill>
                              <a:srgbClr val="000000"/>
                            </a:solidFill>
                            <a:miter lim="800000"/>
                            <a:headEnd/>
                            <a:tailEnd/>
                          </a:ln>
                        </wps:spPr>
                        <wps:txb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no</w:t>
                              </w:r>
                              <w:proofErr w:type="gramEnd"/>
                            </w:p>
                          </w:txbxContent>
                        </wps:txbx>
                        <wps:bodyPr rot="0" vert="horz" wrap="square" lIns="91440" tIns="45720" rIns="91440" bIns="45720" anchor="t" anchorCtr="0" upright="1">
                          <a:noAutofit/>
                        </wps:bodyPr>
                      </wps:wsp>
                      <wps:wsp>
                        <wps:cNvPr id="15" name="Text Box 72"/>
                        <wps:cNvSpPr txBox="1">
                          <a:spLocks/>
                        </wps:cNvSpPr>
                        <wps:spPr bwMode="auto">
                          <a:xfrm>
                            <a:off x="478621" y="6205298"/>
                            <a:ext cx="2910000" cy="686118"/>
                          </a:xfrm>
                          <a:prstGeom prst="rect">
                            <a:avLst/>
                          </a:prstGeom>
                          <a:solidFill>
                            <a:srgbClr val="FFFFFF"/>
                          </a:solidFill>
                          <a:ln w="6350">
                            <a:solidFill>
                              <a:srgbClr val="000000"/>
                            </a:solidFill>
                            <a:miter lim="800000"/>
                            <a:headEnd/>
                            <a:tailEnd/>
                          </a:ln>
                        </wps:spPr>
                        <wps:txbx>
                          <w:txbxContent>
                            <w:p w:rsidR="009144E6" w:rsidRPr="0078387F" w:rsidRDefault="009144E6" w:rsidP="00A9755F">
                              <w:pPr>
                                <w:pStyle w:val="NormalWeb"/>
                                <w:spacing w:before="0" w:beforeAutospacing="0" w:after="0" w:afterAutospacing="0" w:line="276" w:lineRule="auto"/>
                                <w:rPr>
                                  <w:rFonts w:ascii="Arial Narrow" w:hAnsi="Arial Narrow"/>
                                  <w:sz w:val="18"/>
                                  <w:szCs w:val="18"/>
                                </w:rPr>
                              </w:pPr>
                              <w:r w:rsidRPr="0078387F">
                                <w:rPr>
                                  <w:rFonts w:ascii="Arial Narrow" w:hAnsi="Arial Narrow"/>
                                  <w:sz w:val="18"/>
                                  <w:szCs w:val="18"/>
                                </w:rPr>
                                <w:t>Note: MTF: minimal trauma fracture</w:t>
                              </w:r>
                              <w:r>
                                <w:rPr>
                                  <w:rFonts w:ascii="Arial Narrow" w:hAnsi="Arial Narrow"/>
                                  <w:sz w:val="18"/>
                                  <w:szCs w:val="18"/>
                                </w:rPr>
                                <w:t xml:space="preserve">; ARs: </w:t>
                              </w:r>
                              <w:proofErr w:type="spellStart"/>
                              <w:r>
                                <w:rPr>
                                  <w:rFonts w:ascii="Arial Narrow" w:hAnsi="Arial Narrow"/>
                                  <w:sz w:val="18"/>
                                  <w:szCs w:val="18"/>
                                </w:rPr>
                                <w:t>antiresorptives</w:t>
                              </w:r>
                              <w:proofErr w:type="spellEnd"/>
                            </w:p>
                            <w:p w:rsidR="009144E6" w:rsidRPr="0078387F" w:rsidRDefault="009144E6" w:rsidP="00615E23">
                              <w:pPr>
                                <w:pStyle w:val="NormalWeb"/>
                                <w:numPr>
                                  <w:ilvl w:val="0"/>
                                  <w:numId w:val="36"/>
                                </w:numPr>
                                <w:spacing w:before="0" w:beforeAutospacing="0" w:after="0" w:afterAutospacing="0" w:line="276" w:lineRule="auto"/>
                                <w:rPr>
                                  <w:sz w:val="18"/>
                                  <w:szCs w:val="18"/>
                                </w:rPr>
                              </w:pPr>
                              <w:r w:rsidRPr="0078387F">
                                <w:rPr>
                                  <w:rFonts w:ascii="Arial Narrow" w:hAnsi="Arial Narrow"/>
                                  <w:color w:val="000000"/>
                                  <w:sz w:val="18"/>
                                  <w:szCs w:val="18"/>
                                  <w:lang w:val="en-US"/>
                                </w:rPr>
                                <w:t>Exercise, sunshine, general bone health awareness</w:t>
                              </w:r>
                            </w:p>
                            <w:p w:rsidR="009144E6" w:rsidRPr="002D4092" w:rsidRDefault="009144E6" w:rsidP="00615E23">
                              <w:pPr>
                                <w:pStyle w:val="NormalWeb"/>
                                <w:numPr>
                                  <w:ilvl w:val="0"/>
                                  <w:numId w:val="36"/>
                                </w:numPr>
                                <w:spacing w:before="0" w:beforeAutospacing="0" w:after="0" w:afterAutospacing="0" w:line="276" w:lineRule="auto"/>
                                <w:rPr>
                                  <w:sz w:val="18"/>
                                  <w:szCs w:val="18"/>
                                </w:rPr>
                              </w:pPr>
                              <w:r w:rsidRPr="0078387F">
                                <w:rPr>
                                  <w:rFonts w:ascii="Arial Narrow" w:hAnsi="Arial Narrow"/>
                                  <w:color w:val="000000"/>
                                  <w:sz w:val="18"/>
                                  <w:szCs w:val="18"/>
                                  <w:lang w:val="en-US"/>
                                </w:rPr>
                                <w:t>Calcium (1300mg/day), ensure replete vitamin D status &gt;60nmol/L</w:t>
                              </w:r>
                            </w:p>
                          </w:txbxContent>
                        </wps:txbx>
                        <wps:bodyPr rot="0" vert="horz" wrap="square" lIns="91440" tIns="45720" rIns="91440" bIns="45720" anchor="t" anchorCtr="0" upright="1">
                          <a:noAutofit/>
                        </wps:bodyPr>
                      </wps:wsp>
                      <wps:wsp>
                        <wps:cNvPr id="16" name="Straight Arrow Connector 157"/>
                        <wps:cNvCnPr/>
                        <wps:spPr bwMode="auto">
                          <a:xfrm>
                            <a:off x="2527100" y="1902718"/>
                            <a:ext cx="0" cy="151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75"/>
                        <wps:cNvCnPr/>
                        <wps:spPr bwMode="auto">
                          <a:xfrm>
                            <a:off x="2527100" y="1234712"/>
                            <a:ext cx="0" cy="2782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76"/>
                        <wps:cNvCnPr/>
                        <wps:spPr bwMode="auto">
                          <a:xfrm>
                            <a:off x="572600" y="3483133"/>
                            <a:ext cx="0" cy="5634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77"/>
                        <wps:cNvCnPr/>
                        <wps:spPr bwMode="auto">
                          <a:xfrm>
                            <a:off x="572600" y="4714245"/>
                            <a:ext cx="0" cy="331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162"/>
                        <wps:cNvCnPr/>
                        <wps:spPr bwMode="auto">
                          <a:xfrm flipH="1">
                            <a:off x="4294400" y="4369442"/>
                            <a:ext cx="700" cy="344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Elbow Connector 164"/>
                        <wps:cNvCnPr/>
                        <wps:spPr bwMode="auto">
                          <a:xfrm rot="16200000" flipH="1">
                            <a:off x="4286898" y="5053651"/>
                            <a:ext cx="517905" cy="50300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 name="Elbow Connector 165"/>
                        <wps:cNvCnPr/>
                        <wps:spPr bwMode="auto">
                          <a:xfrm rot="5400000">
                            <a:off x="3813298" y="5083051"/>
                            <a:ext cx="517905" cy="44420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 name="Elbow Connector 168"/>
                        <wps:cNvCnPr/>
                        <wps:spPr bwMode="auto">
                          <a:xfrm rot="10800000">
                            <a:off x="1078600" y="4396142"/>
                            <a:ext cx="2529400" cy="1309913"/>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 name="Straight Connector 174"/>
                        <wps:cNvCnPr/>
                        <wps:spPr bwMode="auto">
                          <a:xfrm>
                            <a:off x="2538600" y="2503224"/>
                            <a:ext cx="0" cy="253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Arrow Connector 60"/>
                        <wps:cNvCnPr/>
                        <wps:spPr bwMode="auto">
                          <a:xfrm>
                            <a:off x="4272500" y="3257731"/>
                            <a:ext cx="22600" cy="482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Text Box 123"/>
                        <wps:cNvSpPr txBox="1">
                          <a:spLocks noChangeArrowheads="1"/>
                        </wps:cNvSpPr>
                        <wps:spPr bwMode="auto">
                          <a:xfrm>
                            <a:off x="4125900" y="7409971"/>
                            <a:ext cx="476300" cy="379704"/>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pPr>
                              <w:r>
                                <w:rPr>
                                  <w:rFonts w:ascii="Arial Narrow" w:hAnsi="Arial Narrow"/>
                                  <w:sz w:val="18"/>
                                  <w:szCs w:val="18"/>
                                </w:rPr>
                                <w:t>Risk of</w:t>
                              </w:r>
                            </w:p>
                            <w:p w:rsidR="009144E6" w:rsidRDefault="009144E6" w:rsidP="00A9755F">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7" name="Straight Arrow Connector 173"/>
                        <wps:cNvCnPr/>
                        <wps:spPr bwMode="auto">
                          <a:xfrm flipH="1">
                            <a:off x="4816700" y="5855856"/>
                            <a:ext cx="0" cy="145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Text Box 123"/>
                        <wps:cNvSpPr txBox="1">
                          <a:spLocks noChangeArrowheads="1"/>
                        </wps:cNvSpPr>
                        <wps:spPr bwMode="auto">
                          <a:xfrm>
                            <a:off x="3534700" y="6025158"/>
                            <a:ext cx="476200" cy="379704"/>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pPr>
                              <w:r>
                                <w:rPr>
                                  <w:rFonts w:ascii="Arial Narrow" w:hAnsi="Arial Narrow"/>
                                  <w:sz w:val="18"/>
                                  <w:szCs w:val="18"/>
                                </w:rPr>
                                <w:t>Risk of</w:t>
                              </w:r>
                            </w:p>
                            <w:p w:rsidR="009144E6" w:rsidRDefault="009144E6" w:rsidP="00A9755F">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9" name="Straight Arrow Connector 181"/>
                        <wps:cNvCnPr/>
                        <wps:spPr bwMode="auto">
                          <a:xfrm>
                            <a:off x="3850200" y="5853756"/>
                            <a:ext cx="0" cy="16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123"/>
                        <wps:cNvSpPr txBox="1">
                          <a:spLocks noChangeArrowheads="1"/>
                        </wps:cNvSpPr>
                        <wps:spPr bwMode="auto">
                          <a:xfrm>
                            <a:off x="351400" y="5780755"/>
                            <a:ext cx="476300" cy="379704"/>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pPr>
                              <w:r>
                                <w:rPr>
                                  <w:rFonts w:ascii="Arial Narrow" w:hAnsi="Arial Narrow"/>
                                  <w:sz w:val="18"/>
                                  <w:szCs w:val="18"/>
                                </w:rPr>
                                <w:t>Risk of</w:t>
                              </w:r>
                            </w:p>
                            <w:p w:rsidR="009144E6" w:rsidRDefault="009144E6" w:rsidP="00A9755F">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31" name="Straight Arrow Connector 183"/>
                        <wps:cNvCnPr/>
                        <wps:spPr bwMode="auto">
                          <a:xfrm flipH="1">
                            <a:off x="583800" y="5442252"/>
                            <a:ext cx="0" cy="337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Text Box 123"/>
                        <wps:cNvSpPr txBox="1">
                          <a:spLocks noChangeArrowheads="1"/>
                        </wps:cNvSpPr>
                        <wps:spPr bwMode="auto">
                          <a:xfrm>
                            <a:off x="1323000" y="818108"/>
                            <a:ext cx="2169160" cy="416560"/>
                          </a:xfrm>
                          <a:prstGeom prst="rect">
                            <a:avLst/>
                          </a:prstGeom>
                          <a:solidFill>
                            <a:srgbClr val="FFFFFF"/>
                          </a:solidFill>
                          <a:ln w="6350">
                            <a:solidFill>
                              <a:srgbClr val="000000"/>
                            </a:solidFill>
                            <a:miter lim="800000"/>
                            <a:headEnd/>
                            <a:tailEnd/>
                          </a:ln>
                        </wps:spPr>
                        <wps:txbx>
                          <w:txbxContent>
                            <w:p w:rsidR="009144E6" w:rsidRDefault="009144E6" w:rsidP="00A9755F">
                              <w:pPr>
                                <w:pStyle w:val="NormalWeb"/>
                                <w:spacing w:before="0" w:beforeAutospacing="0" w:after="0" w:afterAutospacing="0" w:line="276" w:lineRule="auto"/>
                                <w:jc w:val="center"/>
                              </w:pPr>
                              <w:r>
                                <w:rPr>
                                  <w:rFonts w:ascii="Arial Narrow" w:hAnsi="Arial Narrow"/>
                                  <w:sz w:val="18"/>
                                  <w:szCs w:val="18"/>
                                </w:rPr>
                                <w:t>Clinical assessment, test for vitamin D,</w:t>
                              </w:r>
                            </w:p>
                            <w:p w:rsidR="009144E6" w:rsidRDefault="009144E6" w:rsidP="00A9755F">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33" name="Straight Arrow Connector 187"/>
                        <wps:cNvCnPr/>
                        <wps:spPr bwMode="auto">
                          <a:xfrm>
                            <a:off x="2407500" y="704807"/>
                            <a:ext cx="0" cy="113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Text Box 35"/>
                        <wps:cNvSpPr txBox="1">
                          <a:spLocks/>
                        </wps:cNvSpPr>
                        <wps:spPr bwMode="auto">
                          <a:xfrm>
                            <a:off x="4056900" y="6007957"/>
                            <a:ext cx="1394500" cy="433104"/>
                          </a:xfrm>
                          <a:prstGeom prst="rect">
                            <a:avLst/>
                          </a:prstGeom>
                          <a:solidFill>
                            <a:srgbClr val="FFFFFF"/>
                          </a:solidFill>
                          <a:ln w="6350">
                            <a:solidFill>
                              <a:srgbClr val="000000"/>
                            </a:solidFill>
                            <a:miter lim="800000"/>
                            <a:headEnd/>
                            <a:tailEnd/>
                          </a:ln>
                        </wps:spPr>
                        <wps:txbx>
                          <w:txbxContent>
                            <w:p w:rsidR="009144E6" w:rsidRDefault="009144E6" w:rsidP="002D4092">
                              <w:pPr>
                                <w:pStyle w:val="NormalWeb"/>
                                <w:spacing w:before="0" w:beforeAutospacing="0" w:after="240" w:afterAutospacing="0" w:line="312" w:lineRule="auto"/>
                                <w:jc w:val="center"/>
                              </w:pPr>
                              <w:r>
                                <w:rPr>
                                  <w:rFonts w:ascii="Arial Narrow" w:eastAsia="SimSun" w:hAnsi="Arial Narrow" w:cs="Tahoma"/>
                                  <w:sz w:val="18"/>
                                  <w:szCs w:val="18"/>
                                </w:rPr>
                                <w:t>Skeletal metastases or premature menopause</w:t>
                              </w:r>
                            </w:p>
                          </w:txbxContent>
                        </wps:txbx>
                        <wps:bodyPr rot="0" vert="horz" wrap="square" lIns="91440" tIns="45720" rIns="91440" bIns="45720" anchor="t" anchorCtr="0" upright="1">
                          <a:noAutofit/>
                        </wps:bodyPr>
                      </wps:wsp>
                      <wps:wsp>
                        <wps:cNvPr id="35" name="Straight Arrow Connector 185"/>
                        <wps:cNvCnPr/>
                        <wps:spPr bwMode="auto">
                          <a:xfrm>
                            <a:off x="4360200" y="6443962"/>
                            <a:ext cx="0" cy="1352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188"/>
                        <wps:cNvCnPr/>
                        <wps:spPr bwMode="auto">
                          <a:xfrm>
                            <a:off x="5117800" y="6444462"/>
                            <a:ext cx="0" cy="134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Text Box 41"/>
                        <wps:cNvSpPr txBox="1">
                          <a:spLocks/>
                        </wps:cNvSpPr>
                        <wps:spPr bwMode="auto">
                          <a:xfrm>
                            <a:off x="4125900" y="6570463"/>
                            <a:ext cx="448300" cy="283903"/>
                          </a:xfrm>
                          <a:prstGeom prst="rect">
                            <a:avLst/>
                          </a:prstGeom>
                          <a:solidFill>
                            <a:srgbClr val="FFFFFF"/>
                          </a:solidFill>
                          <a:ln w="6350">
                            <a:solidFill>
                              <a:srgbClr val="000000"/>
                            </a:solidFill>
                            <a:miter lim="800000"/>
                            <a:headEnd/>
                            <a:tailEnd/>
                          </a:ln>
                        </wps:spPr>
                        <wps:txbx>
                          <w:txbxContent>
                            <w:p w:rsidR="009144E6" w:rsidRDefault="009144E6" w:rsidP="002D4092">
                              <w:pPr>
                                <w:pStyle w:val="NormalWeb"/>
                                <w:spacing w:before="0" w:beforeAutospacing="0" w:after="240" w:afterAutospacing="0" w:line="312" w:lineRule="auto"/>
                                <w:jc w:val="center"/>
                              </w:pPr>
                              <w:proofErr w:type="gramStart"/>
                              <w:r>
                                <w:rPr>
                                  <w:rFonts w:ascii="Arial Narrow" w:eastAsia="SimSun" w:hAnsi="Arial Narrow" w:cs="Tahoma"/>
                                  <w:sz w:val="18"/>
                                  <w:szCs w:val="18"/>
                                </w:rPr>
                                <w:t>yes</w:t>
                              </w:r>
                              <w:proofErr w:type="gramEnd"/>
                            </w:p>
                          </w:txbxContent>
                        </wps:txbx>
                        <wps:bodyPr rot="0" vert="horz" wrap="square" lIns="91440" tIns="45720" rIns="91440" bIns="45720" anchor="t" anchorCtr="0" upright="1">
                          <a:noAutofit/>
                        </wps:bodyPr>
                      </wps:wsp>
                      <wps:wsp>
                        <wps:cNvPr id="38" name="Text Box 42"/>
                        <wps:cNvSpPr txBox="1">
                          <a:spLocks/>
                        </wps:cNvSpPr>
                        <wps:spPr bwMode="auto">
                          <a:xfrm>
                            <a:off x="4951300" y="6570463"/>
                            <a:ext cx="448300" cy="283903"/>
                          </a:xfrm>
                          <a:prstGeom prst="rect">
                            <a:avLst/>
                          </a:prstGeom>
                          <a:solidFill>
                            <a:srgbClr val="FFFFFF"/>
                          </a:solidFill>
                          <a:ln w="6350">
                            <a:solidFill>
                              <a:srgbClr val="000000"/>
                            </a:solidFill>
                            <a:miter lim="800000"/>
                            <a:headEnd/>
                            <a:tailEnd/>
                          </a:ln>
                        </wps:spPr>
                        <wps:txbx>
                          <w:txbxContent>
                            <w:p w:rsidR="009144E6" w:rsidRDefault="009144E6" w:rsidP="002D4092">
                              <w:pPr>
                                <w:pStyle w:val="NormalWeb"/>
                                <w:spacing w:before="0" w:beforeAutospacing="0" w:after="240" w:afterAutospacing="0" w:line="312" w:lineRule="auto"/>
                                <w:jc w:val="center"/>
                              </w:pPr>
                              <w:proofErr w:type="gramStart"/>
                              <w:r>
                                <w:rPr>
                                  <w:rFonts w:ascii="Arial Narrow" w:eastAsia="SimSun" w:hAnsi="Arial Narrow" w:cs="Tahoma"/>
                                  <w:sz w:val="18"/>
                                  <w:szCs w:val="18"/>
                                </w:rPr>
                                <w:t>no</w:t>
                              </w:r>
                              <w:proofErr w:type="gramEnd"/>
                            </w:p>
                          </w:txbxContent>
                        </wps:txbx>
                        <wps:bodyPr rot="0" vert="horz" wrap="square" lIns="91440" tIns="45720" rIns="91440" bIns="45720" anchor="t" anchorCtr="0" upright="1">
                          <a:noAutofit/>
                        </wps:bodyPr>
                      </wps:wsp>
                      <wps:wsp>
                        <wps:cNvPr id="39" name="Text Box 1"/>
                        <wps:cNvSpPr txBox="1">
                          <a:spLocks noChangeArrowheads="1"/>
                        </wps:cNvSpPr>
                        <wps:spPr bwMode="auto">
                          <a:xfrm>
                            <a:off x="3126800" y="6961567"/>
                            <a:ext cx="1732600" cy="359403"/>
                          </a:xfrm>
                          <a:prstGeom prst="rect">
                            <a:avLst/>
                          </a:prstGeom>
                          <a:solidFill>
                            <a:srgbClr val="FFFFFF"/>
                          </a:solidFill>
                          <a:ln w="6350">
                            <a:solidFill>
                              <a:srgbClr val="000000"/>
                            </a:solidFill>
                            <a:miter lim="800000"/>
                            <a:headEnd/>
                            <a:tailEnd/>
                          </a:ln>
                        </wps:spPr>
                        <wps:txbx>
                          <w:txbxContent>
                            <w:p w:rsidR="009144E6" w:rsidRPr="002D4092" w:rsidRDefault="009144E6" w:rsidP="002D4092">
                              <w:pPr>
                                <w:jc w:val="center"/>
                                <w:rPr>
                                  <w:rFonts w:ascii="Arial Narrow" w:hAnsi="Arial Narrow"/>
                                  <w:sz w:val="18"/>
                                </w:rPr>
                              </w:pPr>
                              <w:r w:rsidRPr="002D4092">
                                <w:rPr>
                                  <w:rFonts w:ascii="Arial Narrow" w:hAnsi="Arial Narrow"/>
                                  <w:sz w:val="18"/>
                                </w:rPr>
                                <w:t>Access</w:t>
                              </w:r>
                              <w:r>
                                <w:rPr>
                                  <w:rFonts w:ascii="Arial Narrow" w:hAnsi="Arial Narrow"/>
                                  <w:sz w:val="18"/>
                                </w:rPr>
                                <w:t xml:space="preserve"> to</w:t>
                              </w:r>
                              <w:r w:rsidRPr="002D4092">
                                <w:rPr>
                                  <w:rFonts w:ascii="Arial Narrow" w:hAnsi="Arial Narrow"/>
                                  <w:sz w:val="18"/>
                                </w:rPr>
                                <w:t xml:space="preserve"> </w:t>
                              </w:r>
                              <w:r>
                                <w:rPr>
                                  <w:rFonts w:ascii="Arial Narrow" w:hAnsi="Arial Narrow"/>
                                  <w:sz w:val="18"/>
                                </w:rPr>
                                <w:t>DXA (MBS) or ARs (PBS)</w:t>
                              </w:r>
                            </w:p>
                          </w:txbxContent>
                        </wps:txbx>
                        <wps:bodyPr rot="0" vert="horz" wrap="square" lIns="91440" tIns="45720" rIns="91440" bIns="45720" anchor="t" anchorCtr="0" upright="1">
                          <a:noAutofit/>
                        </wps:bodyPr>
                      </wps:wsp>
                      <wps:wsp>
                        <wps:cNvPr id="40" name="Text Box 123"/>
                        <wps:cNvSpPr txBox="1">
                          <a:spLocks noChangeArrowheads="1"/>
                        </wps:cNvSpPr>
                        <wps:spPr bwMode="auto">
                          <a:xfrm>
                            <a:off x="4975100" y="6987467"/>
                            <a:ext cx="476300" cy="379704"/>
                          </a:xfrm>
                          <a:prstGeom prst="rect">
                            <a:avLst/>
                          </a:prstGeom>
                          <a:solidFill>
                            <a:srgbClr val="FFFFFF"/>
                          </a:solidFill>
                          <a:ln w="6350">
                            <a:solidFill>
                              <a:srgbClr val="000000"/>
                            </a:solidFill>
                            <a:miter lim="800000"/>
                            <a:headEnd/>
                            <a:tailEnd/>
                          </a:ln>
                        </wps:spPr>
                        <wps:txbx>
                          <w:txbxContent>
                            <w:p w:rsidR="009144E6" w:rsidRDefault="009144E6" w:rsidP="002D4092">
                              <w:pPr>
                                <w:pStyle w:val="NormalWeb"/>
                                <w:spacing w:before="0" w:beforeAutospacing="0" w:after="0" w:afterAutospacing="0" w:line="276" w:lineRule="auto"/>
                              </w:pPr>
                              <w:r>
                                <w:rPr>
                                  <w:rFonts w:ascii="Arial Narrow" w:hAnsi="Arial Narrow"/>
                                  <w:sz w:val="18"/>
                                  <w:szCs w:val="18"/>
                                </w:rPr>
                                <w:t>Risk of</w:t>
                              </w:r>
                            </w:p>
                            <w:p w:rsidR="009144E6" w:rsidRDefault="009144E6" w:rsidP="002D4092">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1" name="Straight Arrow Connector 193"/>
                        <wps:cNvCnPr/>
                        <wps:spPr bwMode="auto">
                          <a:xfrm>
                            <a:off x="4337500" y="6854366"/>
                            <a:ext cx="0" cy="1072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94"/>
                        <wps:cNvCnPr/>
                        <wps:spPr bwMode="auto">
                          <a:xfrm>
                            <a:off x="5195200" y="6869866"/>
                            <a:ext cx="0" cy="115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5"/>
                        <wps:cNvCnPr/>
                        <wps:spPr bwMode="auto">
                          <a:xfrm>
                            <a:off x="4360200" y="7312570"/>
                            <a:ext cx="0" cy="94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4" o:spid="_x0000_s1158" editas="canvas" alt="Title: Figure 3 Proposed clinical management algorithm of breast cancer patients receiving aromatase inhibitor therapy - Description: Figure 3 Proposed clinical management algorithm of breast cancer patients receiving aromatase inhibitor therapy" style="width:6in;height:617.25pt;mso-position-horizontal-relative:char;mso-position-vertical-relative:line" coordsize="54864,7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">
                <v:shape id="_x0000_s1159" type="#_x0000_t75" alt="Figure 3 Proposed clinical management algorithm of breast cancer patients receiving aromatase inhibitor therapy" style="position:absolute;width:54864;height:78390;visibility:visible;mso-wrap-style:square">
                  <v:fill o:detectmouseclick="t"/>
                  <v:path o:connecttype="none"/>
                </v:shape>
                <v:shape id="Text Box 4" o:spid="_x0000_s1160" type="#_x0000_t202" alt="Figure 3 Proposed clinical management algorithm of breast cancer patients receiving aromatase inhibitor therapy" style="position:absolute;left:10808;top:595;width:27694;height:6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AMr4A&#10;AADaAAAADwAAAGRycy9kb3ducmV2LnhtbERPS4vCMBC+L/gfwgje1lQPIl2jLMKK4skHnmeb2bZs&#10;M4lNbOO/N4Lgafj4nrNYRdOIjlpfW1YwGWcgiAuray4VnE8/n3MQPiBrbCyTgjt5WC0HHwvMte35&#10;QN0xlCKFsM9RQRWCy6X0RUUG/dg64sT92dZgSLAtpW6xT+GmkdMsm0mDNaeGCh2tKyr+jzej4Ob2&#10;7rq+9LGb/fr9prlkLu7OSo2G8fsLRKAY3uKXe6vTfHi+8rx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EwDK+AAAA2gAAAA8AAAAAAAAAAAAAAAAAmAIAAGRycy9kb3ducmV2&#10;LnhtbFBLBQYAAAAABAAEAPUAAACDAwAAAAA=&#10;" strokeweight=".5pt">
                  <v:path arrowok="t"/>
                  <v:textbox>
                    <w:txbxContent>
                      <w:p w:rsidR="009144E6" w:rsidRPr="005E19F7" w:rsidRDefault="009144E6" w:rsidP="00BE0ADD">
                        <w:pPr>
                          <w:pStyle w:val="NormalWeb"/>
                          <w:spacing w:before="0" w:beforeAutospacing="0" w:after="0" w:afterAutospacing="0" w:line="312" w:lineRule="auto"/>
                          <w:jc w:val="center"/>
                          <w:rPr>
                            <w:rFonts w:ascii="Arial Narrow" w:hAnsi="Arial Narrow"/>
                            <w:sz w:val="18"/>
                            <w:szCs w:val="18"/>
                          </w:rPr>
                        </w:pPr>
                        <w:r w:rsidRPr="005E19F7">
                          <w:rPr>
                            <w:rFonts w:ascii="Arial Narrow" w:eastAsia="SimSun" w:hAnsi="Arial Narrow" w:cs="Tahoma"/>
                            <w:sz w:val="18"/>
                            <w:szCs w:val="18"/>
                          </w:rPr>
                          <w:t>Women with hormone receptor positive breast cancer</w:t>
                        </w:r>
                      </w:p>
                      <w:p w:rsidR="009144E6" w:rsidRPr="005E19F7" w:rsidRDefault="009144E6" w:rsidP="00BE0ADD">
                        <w:pPr>
                          <w:pStyle w:val="NormalWeb"/>
                          <w:spacing w:before="0" w:beforeAutospacing="0" w:after="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taking</w:t>
                        </w:r>
                        <w:proofErr w:type="gramEnd"/>
                        <w:r w:rsidRPr="005E19F7">
                          <w:rPr>
                            <w:rFonts w:ascii="Arial Narrow" w:eastAsia="SimSun" w:hAnsi="Arial Narrow" w:cs="Tahoma"/>
                            <w:sz w:val="18"/>
                            <w:szCs w:val="18"/>
                          </w:rPr>
                          <w:t xml:space="preserve"> Aromatase inhibitors, not otherwise eligible for DXA</w:t>
                        </w:r>
                      </w:p>
                    </w:txbxContent>
                  </v:textbox>
                </v:shape>
                <v:shape id="Text Box 13" o:spid="_x0000_s1161" type="#_x0000_t202" style="position:absolute;left:19504;top:20543;width:11764;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MQA&#10;AADaAAAADwAAAGRycy9kb3ducmV2LnhtbESPQWvCQBSE70L/w/IKvZmNHqpEVxFLoYcWMbagt2f2&#10;mcRk34bsNsZ/7wqCx2Hmm2Hmy97UoqPWlZYVjKIYBHFmdcm5gt/d53AKwnlkjbVlUnAlB8vFy2CO&#10;ibYX3lKX+lyEEnYJKii8bxIpXVaQQRfZhjh4J9sa9EG2udQtXkK5qeU4jt+lwZLDQoENrQvKqvTf&#10;KBh3++bneqxO/u/DHqrzZv09mqRKvb32qxkIT71/hh/0lw4c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PkDEAAAA2gAAAA8AAAAAAAAAAAAAAAAAmAIAAGRycy9k&#10;b3ducmV2LnhtbFBLBQYAAAAABAAEAPUAAACJAw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Baseline BMD measurement</w:t>
                        </w:r>
                        <w:r>
                          <w:rPr>
                            <w:rFonts w:ascii="Arial Narrow" w:eastAsia="SimSun" w:hAnsi="Arial Narrow" w:cs="Tahoma"/>
                            <w:sz w:val="18"/>
                            <w:szCs w:val="18"/>
                          </w:rPr>
                          <w:t xml:space="preserve"> by DXA</w:t>
                        </w:r>
                      </w:p>
                      <w:p w:rsidR="009144E6" w:rsidRPr="005E19F7" w:rsidRDefault="009144E6" w:rsidP="00EC41A8">
                        <w:pPr>
                          <w:pStyle w:val="NormalWeb"/>
                          <w:spacing w:before="0" w:beforeAutospacing="0" w:after="240" w:afterAutospacing="0" w:line="312" w:lineRule="auto"/>
                          <w:jc w:val="both"/>
                          <w:rPr>
                            <w:rFonts w:ascii="Arial Narrow" w:hAnsi="Arial Narrow"/>
                            <w:sz w:val="18"/>
                            <w:szCs w:val="18"/>
                          </w:rPr>
                        </w:pPr>
                        <w:r w:rsidRPr="005E19F7">
                          <w:rPr>
                            <w:rFonts w:ascii="Arial Narrow" w:eastAsia="SimSun" w:hAnsi="Arial Narrow" w:cs="Tahoma"/>
                            <w:sz w:val="18"/>
                            <w:szCs w:val="18"/>
                          </w:rPr>
                          <w:t> </w:t>
                        </w:r>
                      </w:p>
                    </w:txbxContent>
                  </v:textbox>
                </v:shape>
                <v:shape id="Text Box 14" o:spid="_x0000_s1162" type="#_x0000_t202" style="position:absolute;left:32;top:29221;width:11444;height: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28QA&#10;AADaAAAADwAAAGRycy9kb3ducmV2LnhtbESPQWvCQBSE70L/w/KE3nSjhVqiq4hF8GAR0wp6e80+&#10;kzTZtyG7xvjvXaHgcZiZb5jZojOVaKlxhWUFo2EEgji1uuBMwc/3evABwnlkjZVlUnAjB4v5S2+G&#10;sbZX3lOb+EwECLsYFeTe17GULs3JoBvamjh4Z9sY9EE2mdQNXgPcVHIcRe/SYMFhIceaVjmlZXIx&#10;Csbtsf66/ZZnf/i0p/Jvt9qOJolSr/1uOQXhqfPP8H97oxW8weN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m9vEAAAA2gAAAA8AAAAAAAAAAAAAAAAAmAIAAGRycy9k&#10;b3ducmV2LnhtbFBLBQYAAAAABAAEAPUAAACJAw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Pr>
                            <w:rFonts w:ascii="Arial Narrow" w:eastAsia="SimSun" w:hAnsi="Arial Narrow" w:cs="Tahoma"/>
                            <w:sz w:val="18"/>
                            <w:szCs w:val="18"/>
                          </w:rPr>
                          <w:t xml:space="preserve">≤ -2.5 </w:t>
                        </w:r>
                      </w:p>
                    </w:txbxContent>
                  </v:textbox>
                </v:shape>
                <v:shape id="Text Box 15" o:spid="_x0000_s1163" type="#_x0000_t202" style="position:absolute;left:36967;top:29098;width:11516;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Dr8QA&#10;AADaAAAADwAAAGRycy9kb3ducmV2LnhtbESPQWvCQBSE70L/w/KE3nSjlFqiq4hF8GAR0wp6e80+&#10;kzTZtyG7xvjvXaHgcZiZb5jZojOVaKlxhWUFo2EEgji1uuBMwc/3evABwnlkjZVlUnAjB4v5S2+G&#10;sbZX3lOb+EwECLsYFeTe17GULs3JoBvamjh4Z9sY9EE2mdQNXgPcVHIcRe/SYMFhIceaVjmlZXIx&#10;Csbtsf66/ZZnf/i0p/Jvt9qOJolSr/1uOQXhqfPP8H97oxW8weN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A6/EAAAA2gAAAA8AAAAAAAAAAAAAAAAAmAIAAGRycy9k&#10;b3ducmV2LnhtbFBLBQYAAAAABAAEAPUAAACJAw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T-score &gt;-2.5</w:t>
                        </w:r>
                      </w:p>
                    </w:txbxContent>
                  </v:textbox>
                </v:shape>
                <v:shape id="Text Box 17" o:spid="_x0000_s1164" type="#_x0000_t202" style="position:absolute;left:20035;top:15129;width:11233;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NMQA&#10;AADaAAAADwAAAGRycy9kb3ducmV2LnhtbESPQWvCQBSE70L/w/KE3nSj0Fqiq4hF8GAR0wp6e80+&#10;kzTZtyG7xvjvXaHgcZiZb5jZojOVaKlxhWUFo2EEgji1uuBMwc/3evABwnlkjZVlUnAjB4v5S2+G&#10;sbZX3lOb+EwECLsYFeTe17GULs3JoBvamjh4Z9sY9EE2mdQNXgPcVHIcRe/SYMFhIceaVjmlZXIx&#10;Csbtsf66/ZZnf/i0p/Jvt9qOJolSr/1uOQXhqfPP8H97oxW8weN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pjTEAAAA2gAAAA8AAAAAAAAAAAAAAAAAmAIAAGRycy9k&#10;b3ducmV2LnhtbFBLBQYAAAAABAAEAPUAAACJAwAAAAA=&#10;" strokeweight=".5pt">
                  <v:path arrowok="t"/>
                  <v:textbox>
                    <w:txbxContent>
                      <w:p w:rsidR="009144E6" w:rsidRPr="00A9755F" w:rsidRDefault="009144E6" w:rsidP="00A9755F">
                        <w:pPr>
                          <w:spacing w:after="200" w:line="276" w:lineRule="auto"/>
                          <w:jc w:val="left"/>
                          <w:rPr>
                            <w:rFonts w:ascii="Arial Narrow" w:hAnsi="Arial Narrow" w:cs="Times New Roman"/>
                            <w:sz w:val="18"/>
                            <w:szCs w:val="18"/>
                            <w:lang w:eastAsia="en-AU"/>
                          </w:rPr>
                        </w:pPr>
                        <w:r w:rsidRPr="00A9755F">
                          <w:rPr>
                            <w:rFonts w:ascii="Arial Narrow" w:hAnsi="Arial Narrow" w:cs="Times New Roman"/>
                            <w:sz w:val="18"/>
                            <w:szCs w:val="18"/>
                            <w:lang w:eastAsia="en-AU"/>
                          </w:rPr>
                          <w:t>Lifestyle advice (a), +/- supplements (b)</w:t>
                        </w:r>
                      </w:p>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
                    </w:txbxContent>
                  </v:textbox>
                </v:shape>
                <v:line id="Straight Connector 136" o:spid="_x0000_s1165" style="position:absolute;visibility:visible;mso-wrap-style:square" from="5754,27565" to="42725,2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Straight Arrow Connector 137" o:spid="_x0000_s1166" type="#_x0000_t32" style="position:absolute;left:5754;top:27565;width:0;height:1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v:shape id="Straight Arrow Connector 139" o:spid="_x0000_s1167" type="#_x0000_t32" style="position:absolute;left:42725;top:27565;width:0;height:1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shape id="Text Box 32" o:spid="_x0000_s1168" type="#_x0000_t202" style="position:absolute;left:666;top:40781;width:10120;height: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sMcQA&#10;AADaAAAADwAAAGRycy9kb3ducmV2LnhtbESPQWvCQBSE70L/w/KE3nSjh9ZGVxGL4MEiphX09pp9&#10;Jmmyb0N2jfHfu0LB4zAz3zCzRWcq0VLjCssKRsMIBHFqdcGZgp/v9WACwnlkjZVlUnAjB4v5S2+G&#10;sbZX3lOb+EwECLsYFeTe17GULs3JoBvamjh4Z9sY9EE2mdQNXgPcVHIcRW/SYMFhIceaVjmlZXIx&#10;Csbtsf66/ZZnf/i0p/Jvt9qO3hOlXvvdcgrCU+ef4f/2Riv4gMeVc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rDHEAAAA2gAAAA8AAAAAAAAAAAAAAAAAmAIAAGRycy9k&#10;b3ducmV2LnhtbFBLBQYAAAAABAAEAPUAAACJAw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Treat with anti-</w:t>
                        </w:r>
                        <w:proofErr w:type="spellStart"/>
                        <w:r w:rsidRPr="005E19F7">
                          <w:rPr>
                            <w:rFonts w:ascii="Arial Narrow" w:eastAsia="SimSun" w:hAnsi="Arial Narrow" w:cs="Tahoma"/>
                            <w:sz w:val="18"/>
                            <w:szCs w:val="18"/>
                          </w:rPr>
                          <w:t>resorptives</w:t>
                        </w:r>
                        <w:proofErr w:type="spellEnd"/>
                        <w:r w:rsidRPr="005E19F7">
                          <w:rPr>
                            <w:rFonts w:ascii="Arial Narrow" w:eastAsia="SimSun" w:hAnsi="Arial Narrow" w:cs="Tahoma"/>
                            <w:sz w:val="18"/>
                            <w:szCs w:val="18"/>
                          </w:rPr>
                          <w:t xml:space="preserve"> at osteoporosis doses </w:t>
                        </w:r>
                      </w:p>
                    </w:txbxContent>
                  </v:textbox>
                </v:shape>
                <v:shape id="Text Box 36" o:spid="_x0000_s1169" type="#_x0000_t202" style="position:absolute;left:761;top:50461;width:11315;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3VsYA&#10;AADbAAAADwAAAGRycy9kb3ducmV2LnhtbESPQWvCQBCF7wX/wzKF3upGD7VEVxFF8NBSTFuotzE7&#10;JmmysyG7jfHfOwehtxnem/e+WawG16ieulB5NjAZJ6CIc28rLgx8fe6eX0GFiGyx8UwGrhRgtRw9&#10;LDC1/sIH6rNYKAnhkKKBMsY21TrkJTkMY98Si3b2ncMoa1do2+FFwl2jp0nyoh1WLA0ltrQpKa+z&#10;P2dg2v+079dTfY7fW3+sfz82b5NZZszT47Ceg4o0xH/z/XpvBV/o5Rc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i3VsYAAADbAAAADwAAAAAAAAAAAAAAAACYAgAAZHJz&#10;L2Rvd25yZXYueG1sUEsFBgAAAAAEAAQA9QAAAIsDAAAAAA==&#10;" strokeweight=".5pt">
                  <v:path arrowok="t"/>
                  <v:textbox>
                    <w:txbxContent>
                      <w:p w:rsidR="009144E6" w:rsidRDefault="009144E6" w:rsidP="002D4092">
                        <w:pPr>
                          <w:pStyle w:val="NormalWeb"/>
                          <w:spacing w:before="0" w:beforeAutospacing="0" w:after="0" w:afterAutospacing="0" w:line="276" w:lineRule="auto"/>
                          <w:rPr>
                            <w:rFonts w:ascii="Arial Narrow" w:hAnsi="Arial Narrow"/>
                            <w:sz w:val="18"/>
                            <w:szCs w:val="18"/>
                          </w:rPr>
                        </w:pPr>
                        <w:r w:rsidRPr="005E19F7">
                          <w:rPr>
                            <w:rFonts w:ascii="Arial Narrow" w:eastAsia="SimSun" w:hAnsi="Arial Narrow" w:cs="Tahoma"/>
                            <w:sz w:val="18"/>
                            <w:szCs w:val="18"/>
                          </w:rPr>
                          <w:t xml:space="preserve">Repeat DXA after 24 months </w:t>
                        </w:r>
                        <w:r>
                          <w:rPr>
                            <w:rFonts w:ascii="Arial Narrow" w:eastAsia="SimSun" w:hAnsi="Arial Narrow" w:cs="Tahoma"/>
                            <w:sz w:val="18"/>
                            <w:szCs w:val="18"/>
                          </w:rPr>
                          <w:t>(</w:t>
                        </w:r>
                        <w:r>
                          <w:rPr>
                            <w:rFonts w:ascii="Arial Narrow" w:hAnsi="Arial Narrow"/>
                            <w:sz w:val="18"/>
                            <w:szCs w:val="18"/>
                          </w:rPr>
                          <w:t>MBS 12306)</w:t>
                        </w:r>
                      </w:p>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
                    </w:txbxContent>
                  </v:textbox>
                </v:shape>
                <v:shape id="Text Box 39" o:spid="_x0000_s1170" type="#_x0000_t202" style="position:absolute;left:37927;top:37402;width:10047;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SzcMA&#10;AADbAAAADwAAAGRycy9kb3ducmV2LnhtbERPS2vCQBC+C/0PyxS81U08qKRupFgKHixibKG9TbOT&#10;R5OdDdltjP/eFQre5uN7znozmlYM1LvasoJ4FoEgzq2uuVTwcXp7WoFwHllja5kUXMjBJn2YrDHR&#10;9sxHGjJfihDCLkEFlfddIqXLKzLoZrYjDlxhe4M+wL6UusdzCDetnEfRQhqsOTRU2NG2orzJ/oyC&#10;+fDVvV9+msJ/vtrv5vew3cfLTKnp4/jyDMLT6O/if/dOh/kx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QSzcMAAADbAAAADwAAAAAAAAAAAAAAAACYAgAAZHJzL2Rv&#10;d25yZXYueG1sUEsFBgAAAAAEAAQA9QAAAIgDAAAAAA==&#10;" strokeweight=".5pt">
                  <v:path arrowok="t"/>
                  <v:textbox>
                    <w:txbxContent>
                      <w:p w:rsidR="009144E6" w:rsidRPr="005E19F7" w:rsidRDefault="009144E6" w:rsidP="0036720C">
                        <w:pPr>
                          <w:pStyle w:val="NormalWeb"/>
                          <w:spacing w:before="0" w:beforeAutospacing="0" w:after="240" w:afterAutospacing="0" w:line="312" w:lineRule="auto"/>
                          <w:jc w:val="center"/>
                          <w:rPr>
                            <w:rFonts w:ascii="Arial Narrow" w:eastAsia="SimSun" w:hAnsi="Arial Narrow" w:cs="Tahoma"/>
                            <w:sz w:val="18"/>
                            <w:szCs w:val="18"/>
                          </w:rPr>
                        </w:pPr>
                        <w:r>
                          <w:rPr>
                            <w:rFonts w:ascii="Arial Narrow" w:eastAsia="SimSun" w:hAnsi="Arial Narrow" w:cs="Tahoma"/>
                            <w:sz w:val="18"/>
                            <w:szCs w:val="18"/>
                          </w:rPr>
                          <w:t>Repeat BMD scan after 24 months</w:t>
                        </w:r>
                      </w:p>
                    </w:txbxContent>
                  </v:textbox>
                </v:shape>
                <v:shape id="Text Box 40" o:spid="_x0000_s1171" type="#_x0000_t202" style="position:absolute;left:37720;top:47142;width:10447;height:3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MusMA&#10;AADbAAAADwAAAGRycy9kb3ducmV2LnhtbERPTWvCQBC9F/wPywjedGMOtkRXKYrgQSmNCvY2zY5J&#10;muxsyK4x/vtuQehtHu9zFqve1KKj1pWWFUwnEQjizOqScwWn43b8BsJ5ZI21ZVLwIAer5eBlgYm2&#10;d/6kLvW5CCHsElRQeN8kUrqsIINuYhviwF1ta9AH2OZSt3gP4aaWcRTNpMGSQ0OBDa0Lyqr0ZhTE&#10;3aU5PL6rqz9v7Ff187HeT19TpUbD/n0OwlPv/8VP906H+TH8/R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aMusMAAADbAAAADwAAAAAAAAAAAAAAAACYAgAAZHJzL2Rv&#10;d25yZXYueG1sUEsFBgAAAAAEAAQA9QAAAIgDA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sidRPr="00C57D90">
                          <w:rPr>
                            <w:rFonts w:ascii="Arial Narrow" w:eastAsia="SimSun" w:hAnsi="Arial Narrow" w:cs="Tahoma"/>
                            <w:sz w:val="18"/>
                            <w:szCs w:val="18"/>
                          </w:rPr>
                          <w:t>≤</w:t>
                        </w:r>
                        <w:r w:rsidRPr="005E19F7">
                          <w:rPr>
                            <w:rFonts w:ascii="Arial Narrow" w:eastAsia="SimSun" w:hAnsi="Arial Narrow" w:cs="Tahoma"/>
                            <w:sz w:val="18"/>
                            <w:szCs w:val="18"/>
                          </w:rPr>
                          <w:t>-2.5</w:t>
                        </w:r>
                      </w:p>
                    </w:txbxContent>
                  </v:textbox>
                </v:shape>
                <v:shape id="Text Box 41" o:spid="_x0000_s1172" type="#_x0000_t202" style="position:absolute;left:36080;top:55640;width:4489;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pIcMA&#10;AADbAAAADwAAAGRycy9kb3ducmV2LnhtbERPTWvCQBC9C/0Pywi96UYLtURXEYvgwSKmFfQ2zY5J&#10;muxsyK4x/ntXKHibx/uc2aIzlWipcYVlBaNhBII4tbrgTMHP93rwAcJ5ZI2VZVJwIweL+UtvhrG2&#10;V95Tm/hMhBB2MSrIva9jKV2ak0E3tDVx4M62MegDbDKpG7yGcFPJcRS9S4MFh4Yca1rllJbJxSgY&#10;t8f66/Zbnv3h057Kv91qO5okSr32u+UUhKfOP8X/7o0O89/g8U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opIcMAAADbAAAADwAAAAAAAAAAAAAAAACYAgAAZHJzL2Rv&#10;d25yZXYueG1sUEsFBgAAAAAEAAQA9QAAAIgDA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yes</w:t>
                        </w:r>
                        <w:proofErr w:type="gramEnd"/>
                      </w:p>
                    </w:txbxContent>
                  </v:textbox>
                </v:shape>
                <v:shape id="Text Box 42" o:spid="_x0000_s1173" type="#_x0000_t202" style="position:absolute;left:45585;top:55757;width:4488;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xVcMA&#10;AADbAAAADwAAAGRycy9kb3ducmV2LnhtbERPTWvCQBC9C/0Pywi96UYptURXEYvgwSKmFfQ2zY5J&#10;muxsyK4x/ntXKHibx/uc2aIzlWipcYVlBaNhBII4tbrgTMHP93rwAcJ5ZI2VZVJwIweL+UtvhrG2&#10;V95Tm/hMhBB2MSrIva9jKV2ak0E3tDVx4M62MegDbDKpG7yGcFPJcRS9S4MFh4Yca1rllJbJxSgY&#10;t8f66/Zbnv3h057Kv91qO5okSr32u+UUhKfOP8X/7o0O89/g8U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OxVcMAAADbAAAADwAAAAAAAAAAAAAAAACYAgAAZHJzL2Rv&#10;d25yZXYueG1sUEsFBgAAAAAEAAQA9QAAAIgDAAAAAA==&#10;" strokeweight=".5pt">
                  <v:path arrowok="t"/>
                  <v:textbox>
                    <w:txbxContent>
                      <w:p w:rsidR="009144E6" w:rsidRPr="005E19F7" w:rsidRDefault="009144E6" w:rsidP="00EC41A8">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no</w:t>
                        </w:r>
                        <w:proofErr w:type="gramEnd"/>
                      </w:p>
                    </w:txbxContent>
                  </v:textbox>
                </v:shape>
                <v:shape id="Text Box 72" o:spid="_x0000_s1174" type="#_x0000_t202" style="position:absolute;left:4786;top:62052;width:29100;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UzsMA&#10;AADbAAAADwAAAGRycy9kb3ducmV2LnhtbERPTWvCQBC9C/0Pywi96UahtURXEYvgwSKmFfQ2zY5J&#10;muxsyK4x/ntXKHibx/uc2aIzlWipcYVlBaNhBII4tbrgTMHP93rwAcJ5ZI2VZVJwIweL+UtvhrG2&#10;V95Tm/hMhBB2MSrIva9jKV2ak0E3tDVx4M62MegDbDKpG7yGcFPJcRS9S4MFh4Yca1rllJbJxSgY&#10;t8f66/Zbnv3h057Kv91qO5okSr32u+UUhKfOP8X/7o0O89/g8U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UzsMAAADbAAAADwAAAAAAAAAAAAAAAACYAgAAZHJzL2Rv&#10;d25yZXYueG1sUEsFBgAAAAAEAAQA9QAAAIgDAAAAAA==&#10;" strokeweight=".5pt">
                  <v:path arrowok="t"/>
                  <v:textbox>
                    <w:txbxContent>
                      <w:p w:rsidR="009144E6" w:rsidRPr="0078387F" w:rsidRDefault="009144E6" w:rsidP="00A9755F">
                        <w:pPr>
                          <w:pStyle w:val="NormalWeb"/>
                          <w:spacing w:before="0" w:beforeAutospacing="0" w:after="0" w:afterAutospacing="0" w:line="276" w:lineRule="auto"/>
                          <w:rPr>
                            <w:rFonts w:ascii="Arial Narrow" w:hAnsi="Arial Narrow"/>
                            <w:sz w:val="18"/>
                            <w:szCs w:val="18"/>
                          </w:rPr>
                        </w:pPr>
                        <w:r w:rsidRPr="0078387F">
                          <w:rPr>
                            <w:rFonts w:ascii="Arial Narrow" w:hAnsi="Arial Narrow"/>
                            <w:sz w:val="18"/>
                            <w:szCs w:val="18"/>
                          </w:rPr>
                          <w:t>Note: MTF: minimal trauma fracture</w:t>
                        </w:r>
                        <w:r>
                          <w:rPr>
                            <w:rFonts w:ascii="Arial Narrow" w:hAnsi="Arial Narrow"/>
                            <w:sz w:val="18"/>
                            <w:szCs w:val="18"/>
                          </w:rPr>
                          <w:t xml:space="preserve">; ARs: </w:t>
                        </w:r>
                        <w:proofErr w:type="spellStart"/>
                        <w:r>
                          <w:rPr>
                            <w:rFonts w:ascii="Arial Narrow" w:hAnsi="Arial Narrow"/>
                            <w:sz w:val="18"/>
                            <w:szCs w:val="18"/>
                          </w:rPr>
                          <w:t>antiresorptives</w:t>
                        </w:r>
                        <w:proofErr w:type="spellEnd"/>
                      </w:p>
                      <w:p w:rsidR="009144E6" w:rsidRPr="0078387F" w:rsidRDefault="009144E6" w:rsidP="00615E23">
                        <w:pPr>
                          <w:pStyle w:val="NormalWeb"/>
                          <w:numPr>
                            <w:ilvl w:val="0"/>
                            <w:numId w:val="36"/>
                          </w:numPr>
                          <w:spacing w:before="0" w:beforeAutospacing="0" w:after="0" w:afterAutospacing="0" w:line="276" w:lineRule="auto"/>
                          <w:rPr>
                            <w:sz w:val="18"/>
                            <w:szCs w:val="18"/>
                          </w:rPr>
                        </w:pPr>
                        <w:r w:rsidRPr="0078387F">
                          <w:rPr>
                            <w:rFonts w:ascii="Arial Narrow" w:hAnsi="Arial Narrow"/>
                            <w:color w:val="000000"/>
                            <w:sz w:val="18"/>
                            <w:szCs w:val="18"/>
                            <w:lang w:val="en-US"/>
                          </w:rPr>
                          <w:t>Exercise, sunshine, general bone health awareness</w:t>
                        </w:r>
                      </w:p>
                      <w:p w:rsidR="009144E6" w:rsidRPr="002D4092" w:rsidRDefault="009144E6" w:rsidP="00615E23">
                        <w:pPr>
                          <w:pStyle w:val="NormalWeb"/>
                          <w:numPr>
                            <w:ilvl w:val="0"/>
                            <w:numId w:val="36"/>
                          </w:numPr>
                          <w:spacing w:before="0" w:beforeAutospacing="0" w:after="0" w:afterAutospacing="0" w:line="276" w:lineRule="auto"/>
                          <w:rPr>
                            <w:sz w:val="18"/>
                            <w:szCs w:val="18"/>
                          </w:rPr>
                        </w:pPr>
                        <w:r w:rsidRPr="0078387F">
                          <w:rPr>
                            <w:rFonts w:ascii="Arial Narrow" w:hAnsi="Arial Narrow"/>
                            <w:color w:val="000000"/>
                            <w:sz w:val="18"/>
                            <w:szCs w:val="18"/>
                            <w:lang w:val="en-US"/>
                          </w:rPr>
                          <w:t>Calcium (1300mg/day), ensure replete vitamin D status &gt;60nmol/L</w:t>
                        </w:r>
                      </w:p>
                    </w:txbxContent>
                  </v:textbox>
                </v:shape>
                <v:shape id="Straight Arrow Connector 157" o:spid="_x0000_s1175" type="#_x0000_t32" style="position:absolute;left:25271;top:19027;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Straight Arrow Connector 75" o:spid="_x0000_s1176" type="#_x0000_t32" style="position:absolute;left:25271;top:12347;width:0;height:2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Straight Arrow Connector 76" o:spid="_x0000_s1177" type="#_x0000_t32" style="position:absolute;left:5726;top:34831;width:0;height:5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Straight Arrow Connector 77" o:spid="_x0000_s1178" type="#_x0000_t32" style="position:absolute;left:5726;top:47142;width:0;height:3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162" o:spid="_x0000_s1179" type="#_x0000_t32" style="position:absolute;left:42944;top:43694;width:7;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4" o:spid="_x0000_s1180" type="#_x0000_t34" style="position:absolute;left:42868;top:50536;width:5180;height:50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6K8IAAADbAAAADwAAAGRycy9kb3ducmV2LnhtbESPzWrDMBCE74W+g9hCb83agZbiRgkh&#10;UOilhPwYclysrW1irWxJjZ23jwKFHoeZ+YZZrCbbqQv70DrRkM8yUCyVM63UGo6Hz5d3UCGSGOqc&#10;sIYrB1gtHx8WVBg3yo4v+1irBJFQkIYmxr5ADFXDlsLM9SzJ+3HeUkzS12g8jQluO5xn2RtaaiUt&#10;NNTzpuHqvP+1GrZhOw7RI+bfZXl6xcEPvPFaPz9N6w9Qkaf4H/5rfxkN8xzuX9IPw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Z6K8IAAADbAAAADwAAAAAAAAAAAAAA&#10;AAChAgAAZHJzL2Rvd25yZXYueG1sUEsFBgAAAAAEAAQA+QAAAJADAAAAAA==&#10;">
                  <v:stroke endarrow="open"/>
                </v:shape>
                <v:shape id="Elbow Connector 165" o:spid="_x0000_s1181" type="#_x0000_t34" style="position:absolute;left:38132;top:50830;width:5180;height:44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nkqsYAAADbAAAADwAAAGRycy9kb3ducmV2LnhtbESPQWvCQBSE70L/w/IKvYjZGMRKdBVb&#10;KHgQatJCe3xmX5Ng9m3MbmP8925B6HGYmW+Y1WYwjeipc7VlBdMoBkFcWF1zqeDz422yAOE8ssbG&#10;Mim4koPN+mG0wlTbC2fU574UAcIuRQWV920qpSsqMugi2xIH78d2Bn2QXSl1h5cAN41M4nguDdYc&#10;Fips6bWi4pT/GgXnQzbezmxdPh+z90PefxXfL6e9Uk+Pw3YJwtPg/8P39k4rSBL4+xJ+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Z5KrGAAAA2wAAAA8AAAAAAAAA&#10;AAAAAAAAoQIAAGRycy9kb3ducmV2LnhtbFBLBQYAAAAABAAEAPkAAACUAwAAAAA=&#10;">
                  <v:stroke endarrow="open"/>
                </v:shape>
                <v:shape id="Elbow Connector 168" o:spid="_x0000_s1182" type="#_x0000_t34" style="position:absolute;left:10786;top:43961;width:25294;height:1309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0sqMQAAADbAAAADwAAAGRycy9kb3ducmV2LnhtbESPQWvCQBSE7wX/w/KE3ppNUhGJriKC&#10;ILRQTCvx+Mg+s8Hs25Ddavrvu0Khx2FmvmFWm9F24kaDbx0ryJIUBHHtdMuNgq/P/csChA/IGjvH&#10;pOCHPGzWk6cVFtrd+Ui3MjQiQtgXqMCE0BdS+tqQRZ+4njh6FzdYDFEOjdQD3iPcdjJP07m02HJc&#10;MNjTzlB9Lb+tgn2XHSitLvWp+piX5vw2s++LmVLP03G7BBFoDP/hv/ZBK8hf4fE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SyoxAAAANsAAAAPAAAAAAAAAAAA&#10;AAAAAKECAABkcnMvZG93bnJldi54bWxQSwUGAAAAAAQABAD5AAAAkgMAAAAA&#10;">
                  <v:stroke endarrow="open"/>
                </v:shape>
                <v:line id="Straight Connector 174" o:spid="_x0000_s1183" style="position:absolute;visibility:visible;mso-wrap-style:square" from="25386,25032" to="25386,2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Straight Arrow Connector 60" o:spid="_x0000_s1184" type="#_x0000_t32" style="position:absolute;left:42725;top:32577;width:226;height:4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Text Box 123" o:spid="_x0000_s1185" type="#_x0000_t202" style="position:absolute;left:41259;top:74099;width:4763;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PR8UA&#10;AADbAAAADwAAAGRycy9kb3ducmV2LnhtbESPzWrDMBCE74W8g9hALyWR7UMoTpRQQoqLD4X8njfS&#10;xja1Vo6lJm6fvioUehxm5htmsRpsK27U+8axgnSagCDWzjRcKTjsXyfPIHxANtg6JgVf5GG1HD0s&#10;MDfuzlu67UIlIoR9jgrqELpcSq9rsuinriOO3sX1FkOUfSVNj/cIt63MkmQmLTYcF2rsaF2T/th9&#10;WgVFeU6/y+NGF1c+t3J7etJ2/a7U43h4mYMINIT/8F/7zSjIZ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E9HxQAAANsAAAAPAAAAAAAAAAAAAAAAAJgCAABkcnMv&#10;ZG93bnJldi54bWxQSwUGAAAAAAQABAD1AAAAigMAAAAA&#10;" strokeweight=".5pt">
                  <v:textbox>
                    <w:txbxContent>
                      <w:p w:rsidR="009144E6" w:rsidRDefault="009144E6" w:rsidP="00A9755F">
                        <w:pPr>
                          <w:pStyle w:val="NormalWeb"/>
                          <w:spacing w:before="0" w:beforeAutospacing="0" w:after="0" w:afterAutospacing="0" w:line="276" w:lineRule="auto"/>
                        </w:pPr>
                        <w:r>
                          <w:rPr>
                            <w:rFonts w:ascii="Arial Narrow" w:hAnsi="Arial Narrow"/>
                            <w:sz w:val="18"/>
                            <w:szCs w:val="18"/>
                          </w:rPr>
                          <w:t>Risk of</w:t>
                        </w:r>
                      </w:p>
                      <w:p w:rsidR="009144E6" w:rsidRDefault="009144E6" w:rsidP="00A9755F">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73" o:spid="_x0000_s1186" type="#_x0000_t32" style="position:absolute;left:48167;top:58558;width:0;height:14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kp8UAAADbAAAADwAAAGRycy9kb3ducmV2LnhtbESPQWvCQBSE70L/w/IKXqRuVLAhdZUi&#10;CCKCaHvp7ZF9yYZm38bsGqO/vlsQPA4z8w2zWPW2Fh21vnKsYDJOQBDnTldcKvj+2rylIHxA1lg7&#10;JgU38rBavgwWmGl35SN1p1CKCGGfoQITQpNJ6XNDFv3YNcTRK1xrMUTZllK3eI1wW8tpksylxYrj&#10;gsGG1oby39PFKhgdf6qyKC77m5/dD2myO5xN3ik1fO0/P0AE6sMz/GhvtYLpO/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Pkp8UAAADbAAAADwAAAAAAAAAA&#10;AAAAAAChAgAAZHJzL2Rvd25yZXYueG1sUEsFBgAAAAAEAAQA+QAAAJMDAAAAAA==&#10;">
                  <v:stroke endarrow="open"/>
                </v:shape>
                <v:shape id="Text Box 123" o:spid="_x0000_s1187" type="#_x0000_t202" style="position:absolute;left:35347;top:60251;width:4762;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rsAA&#10;AADbAAAADwAAAGRycy9kb3ducmV2LnhtbERPy4rCMBTdC/5DuIKbQVNdyFCNIuKguBjwub4m17bY&#10;3NQmox2/3iwEl4fznswaW4o71b5wrGDQT0AQa2cKzhQc9j+9bxA+IBssHZOCf/Iwm7ZbE0yNe/CW&#10;7ruQiRjCPkUFeQhVKqXXOVn0fVcRR+7iaoshwjqTpsZHDLelHCbJSFosODbkWNEiJ33d/VkFq815&#10;8Nwcl3p143Mpt6cvbRe/SnU7zXwMIlATPuK3e20UDOPY+C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N+rsAAAADbAAAADwAAAAAAAAAAAAAAAACYAgAAZHJzL2Rvd25y&#10;ZXYueG1sUEsFBgAAAAAEAAQA9QAAAIUDAAAAAA==&#10;" strokeweight=".5pt">
                  <v:textbox>
                    <w:txbxContent>
                      <w:p w:rsidR="009144E6" w:rsidRDefault="009144E6" w:rsidP="00A9755F">
                        <w:pPr>
                          <w:pStyle w:val="NormalWeb"/>
                          <w:spacing w:before="0" w:beforeAutospacing="0" w:after="0" w:afterAutospacing="0" w:line="276" w:lineRule="auto"/>
                        </w:pPr>
                        <w:r>
                          <w:rPr>
                            <w:rFonts w:ascii="Arial Narrow" w:hAnsi="Arial Narrow"/>
                            <w:sz w:val="18"/>
                            <w:szCs w:val="18"/>
                          </w:rPr>
                          <w:t>Risk of</w:t>
                        </w:r>
                      </w:p>
                      <w:p w:rsidR="009144E6" w:rsidRDefault="009144E6" w:rsidP="00A9755F">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81" o:spid="_x0000_s1188" type="#_x0000_t32" style="position:absolute;left:38502;top:58537;width:0;height:1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Text Box 123" o:spid="_x0000_s1189" type="#_x0000_t202" style="position:absolute;left:3514;top:57807;width:4763;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kdcMA&#10;AADbAAAADwAAAGRycy9kb3ducmV2LnhtbERPy2rCQBTdF/yH4QpuSjNRQU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zkdcMAAADbAAAADwAAAAAAAAAAAAAAAACYAgAAZHJzL2Rv&#10;d25yZXYueG1sUEsFBgAAAAAEAAQA9QAAAIgDAAAAAA==&#10;" strokeweight=".5pt">
                  <v:textbox>
                    <w:txbxContent>
                      <w:p w:rsidR="009144E6" w:rsidRDefault="009144E6" w:rsidP="00A9755F">
                        <w:pPr>
                          <w:pStyle w:val="NormalWeb"/>
                          <w:spacing w:before="0" w:beforeAutospacing="0" w:after="0" w:afterAutospacing="0" w:line="276" w:lineRule="auto"/>
                        </w:pPr>
                        <w:r>
                          <w:rPr>
                            <w:rFonts w:ascii="Arial Narrow" w:hAnsi="Arial Narrow"/>
                            <w:sz w:val="18"/>
                            <w:szCs w:val="18"/>
                          </w:rPr>
                          <w:t>Risk of</w:t>
                        </w:r>
                      </w:p>
                      <w:p w:rsidR="009144E6" w:rsidRDefault="009144E6" w:rsidP="00A9755F">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83" o:spid="_x0000_s1190" type="#_x0000_t32" style="position:absolute;left:5838;top:54422;width:0;height:3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Text Box 123" o:spid="_x0000_s1191" type="#_x0000_t202" style="position:absolute;left:13230;top:8181;width:21691;height:4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fmcQA&#10;AADbAAAADwAAAGRycy9kb3ducmV2LnhtbESPT2sCMRTE7wW/Q3hCL6JZLYi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35nEAAAA2wAAAA8AAAAAAAAAAAAAAAAAmAIAAGRycy9k&#10;b3ducmV2LnhtbFBLBQYAAAAABAAEAPUAAACJAwAAAAA=&#10;" strokeweight=".5pt">
                  <v:textbox>
                    <w:txbxContent>
                      <w:p w:rsidR="009144E6" w:rsidRDefault="009144E6" w:rsidP="00A9755F">
                        <w:pPr>
                          <w:pStyle w:val="NormalWeb"/>
                          <w:spacing w:before="0" w:beforeAutospacing="0" w:after="0" w:afterAutospacing="0" w:line="276" w:lineRule="auto"/>
                          <w:jc w:val="center"/>
                        </w:pPr>
                        <w:r>
                          <w:rPr>
                            <w:rFonts w:ascii="Arial Narrow" w:hAnsi="Arial Narrow"/>
                            <w:sz w:val="18"/>
                            <w:szCs w:val="18"/>
                          </w:rPr>
                          <w:t>Clinical assessment, test for vitamin D,</w:t>
                        </w:r>
                      </w:p>
                      <w:p w:rsidR="009144E6" w:rsidRDefault="009144E6" w:rsidP="00A9755F">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Straight Arrow Connector 187" o:spid="_x0000_s1192" type="#_x0000_t32" style="position:absolute;left:24075;top:7048;width:0;height: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Text Box 35" o:spid="_x0000_s1193" type="#_x0000_t202" style="position:absolute;left:40569;top:60079;width:13945;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tNcYA&#10;AADbAAAADwAAAGRycy9kb3ducmV2LnhtbESPQWvCQBSE74L/YXlCb2ajLVZSVymK0ENLMSro7TX7&#10;TNJk34bsNsZ/3y0IPQ4z8w2zWPWmFh21rrSsYBLFIIgzq0vOFRz22/EchPPIGmvLpOBGDlbL4WCB&#10;ibZX3lGX+lwECLsEFRTeN4mULivIoItsQxy8i20N+iDbXOoWrwFuajmN45k0WHJYKLChdUFZlf4Y&#10;BdPu1HzcvqqLP27sufr+XL9PnlOlHkb96wsIT73/D9/bb1rB4xP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tNcYAAADbAAAADwAAAAAAAAAAAAAAAACYAgAAZHJz&#10;L2Rvd25yZXYueG1sUEsFBgAAAAAEAAQA9QAAAIsDAAAAAA==&#10;" strokeweight=".5pt">
                  <v:path arrowok="t"/>
                  <v:textbox>
                    <w:txbxContent>
                      <w:p w:rsidR="009144E6" w:rsidRDefault="009144E6" w:rsidP="002D4092">
                        <w:pPr>
                          <w:pStyle w:val="NormalWeb"/>
                          <w:spacing w:before="0" w:beforeAutospacing="0" w:after="240" w:afterAutospacing="0" w:line="312" w:lineRule="auto"/>
                          <w:jc w:val="center"/>
                        </w:pPr>
                        <w:r>
                          <w:rPr>
                            <w:rFonts w:ascii="Arial Narrow" w:eastAsia="SimSun" w:hAnsi="Arial Narrow" w:cs="Tahoma"/>
                            <w:sz w:val="18"/>
                            <w:szCs w:val="18"/>
                          </w:rPr>
                          <w:t>Skeletal metastases or premature menopause</w:t>
                        </w:r>
                      </w:p>
                    </w:txbxContent>
                  </v:textbox>
                </v:shape>
                <v:shape id="Straight Arrow Connector 185" o:spid="_x0000_s1194" type="#_x0000_t32" style="position:absolute;left:43602;top:64439;width:0;height:1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0S8cQAAADbAAAADwAAAGRycy9kb3ducmV2LnhtbESPQWvCQBSE7wX/w/IKXkrdGLGV1I2I&#10;oC30VBW8PrIv2ZDs25BdY/z3bqHQ4zAz3zDrzWhbMVDva8cK5rMEBHHhdM2VgvNp/7oC4QOyxtYx&#10;KbiTh00+eVpjpt2Nf2g4hkpECPsMFZgQukxKXxiy6GeuI45e6XqLIcq+krrHW4TbVqZJ8iYt1hwX&#10;DHa0M1Q0x6tVUKaa5i/NxXy+L7HcfS/SYWgPSk2fx+0HiEBj+A//tb+0gsUS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RLxxAAAANsAAAAPAAAAAAAAAAAA&#10;AAAAAKECAABkcnMvZG93bnJldi54bWxQSwUGAAAAAAQABAD5AAAAkgMAAAAA&#10;">
                  <v:stroke endarrow="open"/>
                </v:shape>
                <v:shape id="Straight Arrow Connector 188" o:spid="_x0000_s1195" type="#_x0000_t32" style="position:absolute;left:51178;top:64444;width:0;height:1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Text Box 41" o:spid="_x0000_s1196" type="#_x0000_t202" style="position:absolute;left:41259;top:65704;width:448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zQsUA&#10;AADbAAAADwAAAGRycy9kb3ducmV2LnhtbESPQWvCQBSE7wX/w/KE3upGBZXUVUQRPLRIo0J7e80+&#10;k5js25DdxvjvXUHocZiZb5j5sjOVaKlxhWUFw0EEgji1uuBMwfGwfZuBcB5ZY2WZFNzIwXLRe5lj&#10;rO2Vv6hNfCYChF2MCnLv61hKl+Zk0A1sTRy8s20M+iCbTOoGrwFuKjmKook0WHBYyLGmdU5pmfwZ&#10;BaP2u/68/ZZnf9rYn/KyX38Mp4lSr/1u9Q7CU+f/w8/2TisYT+H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HNCxQAAANsAAAAPAAAAAAAAAAAAAAAAAJgCAABkcnMv&#10;ZG93bnJldi54bWxQSwUGAAAAAAQABAD1AAAAigMAAAAA&#10;" strokeweight=".5pt">
                  <v:path arrowok="t"/>
                  <v:textbox>
                    <w:txbxContent>
                      <w:p w:rsidR="009144E6" w:rsidRDefault="009144E6" w:rsidP="002D4092">
                        <w:pPr>
                          <w:pStyle w:val="NormalWeb"/>
                          <w:spacing w:before="0" w:beforeAutospacing="0" w:after="240" w:afterAutospacing="0" w:line="312" w:lineRule="auto"/>
                          <w:jc w:val="center"/>
                        </w:pPr>
                        <w:proofErr w:type="gramStart"/>
                        <w:r>
                          <w:rPr>
                            <w:rFonts w:ascii="Arial Narrow" w:eastAsia="SimSun" w:hAnsi="Arial Narrow" w:cs="Tahoma"/>
                            <w:sz w:val="18"/>
                            <w:szCs w:val="18"/>
                          </w:rPr>
                          <w:t>yes</w:t>
                        </w:r>
                        <w:proofErr w:type="gramEnd"/>
                      </w:p>
                    </w:txbxContent>
                  </v:textbox>
                </v:shape>
                <v:shape id="Text Box 42" o:spid="_x0000_s1197" type="#_x0000_t202" style="position:absolute;left:49513;top:65704;width:448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nMMIA&#10;AADbAAAADwAAAGRycy9kb3ducmV2LnhtbERPTWvCQBC9F/wPywi91Y0KrURXEUXwoJRGBb2N2TGJ&#10;yc6G7DbGf989FDw+3vds0ZlKtNS4wrKC4SACQZxaXXCm4HjYfExAOI+ssbJMCp7kYDHvvc0w1vbB&#10;P9QmPhMhhF2MCnLv61hKl+Zk0A1sTRy4m20M+gCbTOoGHyHcVHIURZ/SYMGhIceaVjmlZfJrFIza&#10;c71/XsubP63tpbx/r3bDr0Sp9363nILw1PmX+N+91QrGYWz4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cwwgAAANsAAAAPAAAAAAAAAAAAAAAAAJgCAABkcnMvZG93&#10;bnJldi54bWxQSwUGAAAAAAQABAD1AAAAhwMAAAAA&#10;" strokeweight=".5pt">
                  <v:path arrowok="t"/>
                  <v:textbox>
                    <w:txbxContent>
                      <w:p w:rsidR="009144E6" w:rsidRDefault="009144E6" w:rsidP="002D4092">
                        <w:pPr>
                          <w:pStyle w:val="NormalWeb"/>
                          <w:spacing w:before="0" w:beforeAutospacing="0" w:after="240" w:afterAutospacing="0" w:line="312" w:lineRule="auto"/>
                          <w:jc w:val="center"/>
                        </w:pPr>
                        <w:proofErr w:type="gramStart"/>
                        <w:r>
                          <w:rPr>
                            <w:rFonts w:ascii="Arial Narrow" w:eastAsia="SimSun" w:hAnsi="Arial Narrow" w:cs="Tahoma"/>
                            <w:sz w:val="18"/>
                            <w:szCs w:val="18"/>
                          </w:rPr>
                          <w:t>no</w:t>
                        </w:r>
                        <w:proofErr w:type="gramEnd"/>
                      </w:p>
                    </w:txbxContent>
                  </v:textbox>
                </v:shape>
                <v:shape id="Text Box 1" o:spid="_x0000_s1198" type="#_x0000_t202" style="position:absolute;left:31268;top:69615;width:1732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rsidR="009144E6" w:rsidRPr="002D4092" w:rsidRDefault="009144E6" w:rsidP="002D4092">
                        <w:pPr>
                          <w:jc w:val="center"/>
                          <w:rPr>
                            <w:rFonts w:ascii="Arial Narrow" w:hAnsi="Arial Narrow"/>
                            <w:sz w:val="18"/>
                          </w:rPr>
                        </w:pPr>
                        <w:r w:rsidRPr="002D4092">
                          <w:rPr>
                            <w:rFonts w:ascii="Arial Narrow" w:hAnsi="Arial Narrow"/>
                            <w:sz w:val="18"/>
                          </w:rPr>
                          <w:t>Access</w:t>
                        </w:r>
                        <w:r>
                          <w:rPr>
                            <w:rFonts w:ascii="Arial Narrow" w:hAnsi="Arial Narrow"/>
                            <w:sz w:val="18"/>
                          </w:rPr>
                          <w:t xml:space="preserve"> to</w:t>
                        </w:r>
                        <w:r w:rsidRPr="002D4092">
                          <w:rPr>
                            <w:rFonts w:ascii="Arial Narrow" w:hAnsi="Arial Narrow"/>
                            <w:sz w:val="18"/>
                          </w:rPr>
                          <w:t xml:space="preserve"> </w:t>
                        </w:r>
                        <w:r>
                          <w:rPr>
                            <w:rFonts w:ascii="Arial Narrow" w:hAnsi="Arial Narrow"/>
                            <w:sz w:val="18"/>
                          </w:rPr>
                          <w:t>DXA (MBS) or ARs (PBS)</w:t>
                        </w:r>
                      </w:p>
                    </w:txbxContent>
                  </v:textbox>
                </v:shape>
                <v:shape id="Text Box 123" o:spid="_x0000_s1199" type="#_x0000_t202" style="position:absolute;left:49751;top:69874;width:4763;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XCMMA&#10;AADbAAAADwAAAGRycy9kb3ducmV2LnhtbERPy2rCQBTdF/yH4QpuSjNRR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qXCMMAAADbAAAADwAAAAAAAAAAAAAAAACYAgAAZHJzL2Rv&#10;d25yZXYueG1sUEsFBgAAAAAEAAQA9QAAAIgDAAAAAA==&#10;" strokeweight=".5pt">
                  <v:textbox>
                    <w:txbxContent>
                      <w:p w:rsidR="009144E6" w:rsidRDefault="009144E6" w:rsidP="002D4092">
                        <w:pPr>
                          <w:pStyle w:val="NormalWeb"/>
                          <w:spacing w:before="0" w:beforeAutospacing="0" w:after="0" w:afterAutospacing="0" w:line="276" w:lineRule="auto"/>
                        </w:pPr>
                        <w:r>
                          <w:rPr>
                            <w:rFonts w:ascii="Arial Narrow" w:hAnsi="Arial Narrow"/>
                            <w:sz w:val="18"/>
                            <w:szCs w:val="18"/>
                          </w:rPr>
                          <w:t>Risk of</w:t>
                        </w:r>
                      </w:p>
                      <w:p w:rsidR="009144E6" w:rsidRDefault="009144E6" w:rsidP="002D4092">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93" o:spid="_x0000_s1200" type="#_x0000_t32" style="position:absolute;left:43375;top:68543;width:0;height:1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shape id="Straight Arrow Connector 194" o:spid="_x0000_s1201" type="#_x0000_t32" style="position:absolute;left:51952;top:68698;width:0;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Straight Arrow Connector 195" o:spid="_x0000_s1202" type="#_x0000_t32" style="position:absolute;left:43602;top:73125;width:0;height: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w10:anchorlock/>
              </v:group>
            </w:pict>
          </mc:Fallback>
        </mc:AlternateContent>
      </w:r>
    </w:p>
    <w:p w:rsidR="00D8067A" w:rsidRDefault="00D8067A" w:rsidP="00442DE9">
      <w:pPr>
        <w:pStyle w:val="Caption"/>
      </w:pPr>
      <w:r w:rsidRPr="000371CA">
        <w:rPr>
          <w:b w:val="0"/>
        </w:rPr>
        <w:t xml:space="preserve">(Adapted from information provided by the applicant and Reid DM, Doughty J, </w:t>
      </w:r>
      <w:proofErr w:type="spellStart"/>
      <w:r w:rsidRPr="000371CA">
        <w:rPr>
          <w:b w:val="0"/>
        </w:rPr>
        <w:t>Eastell</w:t>
      </w:r>
      <w:proofErr w:type="spellEnd"/>
      <w:r w:rsidRPr="000371CA">
        <w:rPr>
          <w:b w:val="0"/>
        </w:rPr>
        <w:t xml:space="preserve"> R, </w:t>
      </w:r>
      <w:proofErr w:type="spellStart"/>
      <w:r w:rsidRPr="000371CA">
        <w:rPr>
          <w:b w:val="0"/>
        </w:rPr>
        <w:t>Heys</w:t>
      </w:r>
      <w:proofErr w:type="spellEnd"/>
      <w:r w:rsidRPr="000371CA">
        <w:rPr>
          <w:b w:val="0"/>
        </w:rPr>
        <w:t xml:space="preserve"> SD, Howell A, McCloskey EV, </w:t>
      </w:r>
      <w:proofErr w:type="spellStart"/>
      <w:r w:rsidRPr="000371CA">
        <w:rPr>
          <w:b w:val="0"/>
        </w:rPr>
        <w:t>Powles</w:t>
      </w:r>
      <w:proofErr w:type="spellEnd"/>
      <w:r w:rsidRPr="000371CA">
        <w:rPr>
          <w:b w:val="0"/>
        </w:rPr>
        <w:t xml:space="preserve"> T, Selby P, Coleman RE. Guidance for the management of breast cancer treatment-induced bone loss: a consensus position statement from a UK Expert Group. Cancer Treat Rev 2008</w:t>
      </w:r>
      <w:proofErr w:type="gramStart"/>
      <w:r w:rsidRPr="000371CA">
        <w:rPr>
          <w:b w:val="0"/>
        </w:rPr>
        <w:t>;34:S1</w:t>
      </w:r>
      <w:proofErr w:type="gramEnd"/>
      <w:r w:rsidRPr="000371CA">
        <w:rPr>
          <w:b w:val="0"/>
        </w:rPr>
        <w:t>–S18)</w:t>
      </w:r>
    </w:p>
    <w:p w:rsidR="00D8067A" w:rsidRDefault="00D8067A" w:rsidP="009D0C37">
      <w:pPr>
        <w:rPr>
          <w:lang w:eastAsia="en-US"/>
        </w:rPr>
      </w:pPr>
      <w:r>
        <w:rPr>
          <w:lang w:eastAsia="en-US"/>
        </w:rPr>
        <w:br w:type="page"/>
      </w:r>
    </w:p>
    <w:p w:rsidR="00D8067A" w:rsidRPr="00A34E9C" w:rsidRDefault="00D8067A" w:rsidP="00D34BAD">
      <w:pPr>
        <w:pStyle w:val="Heading1"/>
        <w:tabs>
          <w:tab w:val="right" w:pos="9026"/>
        </w:tabs>
        <w:spacing w:after="240"/>
      </w:pPr>
      <w:bookmarkStart w:id="33" w:name="_Toc335905419"/>
      <w:bookmarkStart w:id="34" w:name="_Toc362968494"/>
      <w:r w:rsidRPr="00A34E9C">
        <w:lastRenderedPageBreak/>
        <w:t>Comparator</w:t>
      </w:r>
      <w:bookmarkEnd w:id="33"/>
      <w:bookmarkEnd w:id="34"/>
    </w:p>
    <w:p w:rsidR="00D8067A" w:rsidRPr="007F18C0" w:rsidRDefault="00D8067A" w:rsidP="007F18C0">
      <w:r>
        <w:t>Currently patients on</w:t>
      </w:r>
      <w:r w:rsidRPr="007F18C0">
        <w:t xml:space="preserve"> </w:t>
      </w:r>
      <w:r>
        <w:t>aromatase inhibitor therapy</w:t>
      </w:r>
      <w:r w:rsidRPr="007F18C0">
        <w:t xml:space="preserve"> do not routinely receive DXA scanning</w:t>
      </w:r>
      <w:r>
        <w:t xml:space="preserve"> covered by the MBS</w:t>
      </w:r>
      <w:r w:rsidRPr="007F18C0">
        <w:t xml:space="preserve">, unless they are 70 years of age or older. Vulnerability to the condition may be predicted through a clinical assessment, including a test for vitamin D </w:t>
      </w:r>
      <w:r w:rsidR="005E3245">
        <w:t xml:space="preserve">sufficiency </w:t>
      </w:r>
      <w:r w:rsidRPr="007F18C0">
        <w:t xml:space="preserve">and the use of existing fracture determinant tools. Determining the probability of 10-year fracture risk can be assessed through use of the FRAX </w:t>
      </w:r>
      <w:r w:rsidR="005E3245">
        <w:t>tool</w:t>
      </w:r>
      <w:r w:rsidRPr="007F18C0">
        <w:t xml:space="preserve"> (WHO 2007). This </w:t>
      </w:r>
      <w:r w:rsidR="005E3245">
        <w:t>tool</w:t>
      </w:r>
      <w:r w:rsidR="005E3245" w:rsidRPr="007F18C0">
        <w:t xml:space="preserve"> </w:t>
      </w:r>
      <w:r w:rsidRPr="007F18C0">
        <w:t>can be used successfully in combination with DXA results, or without DXA as a predict</w:t>
      </w:r>
      <w:r w:rsidR="00E34900">
        <w:t>or of risk of fracture.</w:t>
      </w:r>
    </w:p>
    <w:p w:rsidR="00D8067A" w:rsidRPr="007F18C0" w:rsidRDefault="00D8067A" w:rsidP="007F18C0">
      <w:r w:rsidRPr="007F18C0">
        <w:t xml:space="preserve">Part of the population may take dietary and lifestyle measures to promote good bone health, including supplements (calcium and vitamin D), without a bone mineral density test. These supplements are available without prescription. </w:t>
      </w:r>
    </w:p>
    <w:p w:rsidR="00D8067A" w:rsidRDefault="00D8067A" w:rsidP="00075E36">
      <w:r>
        <w:t xml:space="preserve">The comparator is: </w:t>
      </w:r>
    </w:p>
    <w:p w:rsidR="00D8067A" w:rsidRDefault="00D8067A" w:rsidP="00615E23">
      <w:pPr>
        <w:numPr>
          <w:ilvl w:val="0"/>
          <w:numId w:val="28"/>
        </w:numPr>
        <w:contextualSpacing/>
      </w:pPr>
      <w:r w:rsidRPr="007F18C0">
        <w:t xml:space="preserve">Lifestyle and dietary advice (calcium and vitamin D) based on a clinical assessment by a general practitioner using existing fracture risk assessment tools (for example the FRAX </w:t>
      </w:r>
      <w:r w:rsidR="00CA3FE7">
        <w:t>tool</w:t>
      </w:r>
      <w:r w:rsidRPr="007F18C0">
        <w:t xml:space="preserve">) without the results of a bone mineral density test. This clinical assessment would include a test for vitamin D </w:t>
      </w:r>
      <w:r>
        <w:t>sufficiency</w:t>
      </w:r>
      <w:r w:rsidRPr="007F18C0">
        <w:t xml:space="preserve"> (MBS item 66608).</w:t>
      </w:r>
    </w:p>
    <w:p w:rsidR="00D8067A" w:rsidRDefault="00D8067A" w:rsidP="00C6264F">
      <w:pPr>
        <w:rPr>
          <w:rFonts w:eastAsia="Times New Roman"/>
          <w:lang w:eastAsia="en-US"/>
        </w:rPr>
      </w:pPr>
    </w:p>
    <w:p w:rsidR="00D8067A" w:rsidRDefault="00D8067A" w:rsidP="00D34BAD">
      <w:pPr>
        <w:pStyle w:val="Heading1"/>
        <w:spacing w:after="240"/>
      </w:pPr>
      <w:bookmarkStart w:id="35" w:name="_Toc335905420"/>
      <w:bookmarkStart w:id="36" w:name="_Toc362968495"/>
      <w:r w:rsidRPr="00A34E9C">
        <w:t>Clinical claim</w:t>
      </w:r>
      <w:bookmarkEnd w:id="35"/>
      <w:bookmarkEnd w:id="36"/>
    </w:p>
    <w:p w:rsidR="00D8067A" w:rsidRDefault="00D8067A" w:rsidP="00075E36">
      <w:r>
        <w:t xml:space="preserve">The applicant makes the clinical claim that the proposed intervention will reduce the incidence of fractures in patients taking aromatase inhibitors thereby reducing harm to patients and costs of treatment downstream. </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D8067A" w:rsidRPr="00703ECE" w:rsidTr="00BE56F3">
        <w:tc>
          <w:tcPr>
            <w:tcW w:w="9242" w:type="dxa"/>
            <w:tcBorders>
              <w:top w:val="single" w:sz="18" w:space="0" w:color="auto"/>
              <w:bottom w:val="single" w:sz="18" w:space="0" w:color="auto"/>
            </w:tcBorders>
          </w:tcPr>
          <w:p w:rsidR="00D8067A" w:rsidRPr="00BE56F3" w:rsidRDefault="00D8067A" w:rsidP="00BE56F3">
            <w:pPr>
              <w:tabs>
                <w:tab w:val="left" w:pos="2835"/>
              </w:tabs>
              <w:spacing w:before="40"/>
              <w:rPr>
                <w:b/>
              </w:rPr>
            </w:pPr>
            <w:r w:rsidRPr="00703ECE">
              <w:t>PASC agreed that the assessment of evidence will need to report the effectiveness of the co-dependent medicines in the proportion of the target population for BMD testing who achieve a threshold result to trigger the initi</w:t>
            </w:r>
            <w:r>
              <w:t>ation of prescribed medication.</w:t>
            </w:r>
          </w:p>
        </w:tc>
      </w:tr>
    </w:tbl>
    <w:p w:rsidR="00D8067A" w:rsidRDefault="00D8067A">
      <w:pPr>
        <w:spacing w:after="0" w:line="240" w:lineRule="auto"/>
        <w:jc w:val="left"/>
        <w:rPr>
          <w:rFonts w:ascii="Arial Narrow" w:hAnsi="Arial Narrow"/>
          <w:b/>
          <w:lang w:val="en-GB" w:eastAsia="ja-JP"/>
        </w:rPr>
      </w:pPr>
      <w:r>
        <w:br w:type="page"/>
      </w:r>
    </w:p>
    <w:p w:rsidR="00D8067A" w:rsidRDefault="00D8067A" w:rsidP="00075E36">
      <w:pPr>
        <w:pStyle w:val="Caption"/>
      </w:pPr>
      <w:r>
        <w:lastRenderedPageBreak/>
        <w:t xml:space="preserve">Table </w:t>
      </w:r>
      <w:r w:rsidR="00876F0F">
        <w:fldChar w:fldCharType="begin"/>
      </w:r>
      <w:r w:rsidR="00876F0F">
        <w:instrText xml:space="preserve"> SEQ Table \* ARABIC </w:instrText>
      </w:r>
      <w:r w:rsidR="00876F0F">
        <w:fldChar w:fldCharType="separate"/>
      </w:r>
      <w:r w:rsidR="00CD3C9F">
        <w:rPr>
          <w:noProof/>
        </w:rPr>
        <w:t>6</w:t>
      </w:r>
      <w:r w:rsidR="00876F0F">
        <w:rPr>
          <w:noProof/>
        </w:rPr>
        <w:fldChar w:fldCharType="end"/>
      </w:r>
      <w:r>
        <w:t xml:space="preserve"> </w:t>
      </w:r>
      <w:r w:rsidRPr="00A60569">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0"/>
        <w:gridCol w:w="1572"/>
        <w:gridCol w:w="1024"/>
        <w:gridCol w:w="2350"/>
        <w:gridCol w:w="1536"/>
        <w:gridCol w:w="907"/>
      </w:tblGrid>
      <w:tr w:rsidR="00D8067A" w:rsidRPr="00BB4EC0" w:rsidTr="00075E36">
        <w:tc>
          <w:tcPr>
            <w:tcW w:w="1751" w:type="dxa"/>
            <w:gridSpan w:val="2"/>
            <w:vMerge w:val="restart"/>
          </w:tcPr>
          <w:p w:rsidR="00D8067A" w:rsidRPr="00BB4EC0" w:rsidRDefault="00D8067A" w:rsidP="001B2CF7">
            <w:pPr>
              <w:keepNext/>
              <w:tabs>
                <w:tab w:val="left" w:pos="2835"/>
              </w:tabs>
              <w:spacing w:after="0" w:line="360" w:lineRule="auto"/>
              <w:rPr>
                <w:rFonts w:ascii="Arial Narrow" w:hAnsi="Arial Narrow"/>
                <w:lang w:eastAsia="ja-JP"/>
              </w:rPr>
            </w:pPr>
          </w:p>
        </w:tc>
        <w:tc>
          <w:tcPr>
            <w:tcW w:w="7389" w:type="dxa"/>
            <w:gridSpan w:val="5"/>
          </w:tcPr>
          <w:p w:rsidR="00D8067A" w:rsidRPr="00BB4EC0" w:rsidRDefault="00D8067A" w:rsidP="001B2CF7">
            <w:pPr>
              <w:keepNext/>
              <w:tabs>
                <w:tab w:val="left" w:pos="2835"/>
              </w:tabs>
              <w:spacing w:after="0" w:line="360" w:lineRule="auto"/>
              <w:jc w:val="center"/>
              <w:rPr>
                <w:rFonts w:ascii="Arial Narrow" w:hAnsi="Arial Narrow"/>
                <w:b/>
                <w:lang w:eastAsia="ja-JP"/>
              </w:rPr>
            </w:pPr>
            <w:r w:rsidRPr="00BB4EC0">
              <w:rPr>
                <w:rFonts w:ascii="Arial Narrow" w:hAnsi="Arial Narrow"/>
                <w:b/>
                <w:lang w:eastAsia="ja-JP"/>
              </w:rPr>
              <w:t>Comparative effectiveness (DXA scanning, AI) versus comparator</w:t>
            </w:r>
          </w:p>
        </w:tc>
      </w:tr>
      <w:tr w:rsidR="00D8067A" w:rsidRPr="00BB4EC0" w:rsidTr="00075E36">
        <w:tc>
          <w:tcPr>
            <w:tcW w:w="1751" w:type="dxa"/>
            <w:gridSpan w:val="2"/>
            <w:vMerge/>
          </w:tcPr>
          <w:p w:rsidR="00D8067A" w:rsidRPr="00BB4EC0" w:rsidRDefault="00D8067A" w:rsidP="001B2CF7">
            <w:pPr>
              <w:keepNext/>
              <w:tabs>
                <w:tab w:val="left" w:pos="2835"/>
              </w:tabs>
              <w:spacing w:after="0" w:line="360" w:lineRule="auto"/>
              <w:rPr>
                <w:rFonts w:ascii="Arial Narrow" w:hAnsi="Arial Narrow"/>
                <w:lang w:eastAsia="ja-JP"/>
              </w:rPr>
            </w:pPr>
          </w:p>
        </w:tc>
        <w:tc>
          <w:tcPr>
            <w:tcW w:w="2596" w:type="dxa"/>
            <w:gridSpan w:val="2"/>
            <w:vAlign w:val="center"/>
          </w:tcPr>
          <w:p w:rsidR="00D8067A" w:rsidRPr="00BB4EC0" w:rsidRDefault="00D8067A" w:rsidP="001B2CF7">
            <w:pPr>
              <w:keepNext/>
              <w:tabs>
                <w:tab w:val="left" w:pos="2835"/>
              </w:tabs>
              <w:spacing w:after="0" w:line="360" w:lineRule="auto"/>
              <w:jc w:val="center"/>
              <w:rPr>
                <w:rFonts w:ascii="Arial Narrow" w:hAnsi="Arial Narrow"/>
                <w:u w:val="single"/>
                <w:lang w:eastAsia="ja-JP"/>
              </w:rPr>
            </w:pPr>
            <w:r w:rsidRPr="00BB4EC0">
              <w:rPr>
                <w:rFonts w:ascii="Arial Narrow" w:hAnsi="Arial Narrow"/>
                <w:u w:val="single"/>
                <w:lang w:eastAsia="ja-JP"/>
              </w:rPr>
              <w:t>Superior</w:t>
            </w:r>
          </w:p>
        </w:tc>
        <w:tc>
          <w:tcPr>
            <w:tcW w:w="2350" w:type="dxa"/>
            <w:vAlign w:val="center"/>
          </w:tcPr>
          <w:p w:rsidR="00D8067A" w:rsidRPr="00BB4EC0" w:rsidRDefault="00D8067A" w:rsidP="001B2CF7">
            <w:pPr>
              <w:keepNext/>
              <w:tabs>
                <w:tab w:val="left" w:pos="2835"/>
              </w:tabs>
              <w:spacing w:after="0" w:line="360" w:lineRule="auto"/>
              <w:jc w:val="center"/>
              <w:rPr>
                <w:rFonts w:ascii="Arial Narrow" w:hAnsi="Arial Narrow"/>
                <w:u w:val="single"/>
                <w:lang w:eastAsia="ja-JP"/>
              </w:rPr>
            </w:pPr>
            <w:r w:rsidRPr="00BB4EC0">
              <w:rPr>
                <w:rFonts w:ascii="Arial Narrow" w:hAnsi="Arial Narrow"/>
                <w:u w:val="single"/>
                <w:lang w:eastAsia="ja-JP"/>
              </w:rPr>
              <w:t>Non-inferior</w:t>
            </w:r>
          </w:p>
        </w:tc>
        <w:tc>
          <w:tcPr>
            <w:tcW w:w="2443" w:type="dxa"/>
            <w:gridSpan w:val="2"/>
            <w:vAlign w:val="center"/>
          </w:tcPr>
          <w:p w:rsidR="00D8067A" w:rsidRPr="00BB4EC0" w:rsidRDefault="00D8067A" w:rsidP="001B2CF7">
            <w:pPr>
              <w:keepNext/>
              <w:tabs>
                <w:tab w:val="left" w:pos="2835"/>
              </w:tabs>
              <w:spacing w:after="0" w:line="360" w:lineRule="auto"/>
              <w:jc w:val="center"/>
              <w:rPr>
                <w:rFonts w:ascii="Arial Narrow" w:hAnsi="Arial Narrow"/>
                <w:u w:val="single"/>
                <w:lang w:eastAsia="ja-JP"/>
              </w:rPr>
            </w:pPr>
            <w:r w:rsidRPr="00BB4EC0">
              <w:rPr>
                <w:rFonts w:ascii="Arial Narrow" w:hAnsi="Arial Narrow"/>
                <w:u w:val="single"/>
                <w:lang w:eastAsia="ja-JP"/>
              </w:rPr>
              <w:t>Inferior</w:t>
            </w:r>
          </w:p>
        </w:tc>
      </w:tr>
      <w:tr w:rsidR="00D8067A" w:rsidRPr="00BB4EC0" w:rsidTr="00075E36">
        <w:trPr>
          <w:cantSplit/>
          <w:trHeight w:val="20"/>
        </w:trPr>
        <w:tc>
          <w:tcPr>
            <w:tcW w:w="671" w:type="dxa"/>
            <w:vMerge w:val="restart"/>
            <w:textDirection w:val="btLr"/>
            <w:vAlign w:val="center"/>
          </w:tcPr>
          <w:p w:rsidR="00D8067A" w:rsidRPr="00BB4EC0" w:rsidRDefault="00D8067A" w:rsidP="001B2CF7">
            <w:pPr>
              <w:keepNext/>
              <w:tabs>
                <w:tab w:val="left" w:pos="2835"/>
              </w:tabs>
              <w:spacing w:after="0" w:line="360" w:lineRule="auto"/>
              <w:ind w:left="113" w:right="113"/>
              <w:jc w:val="center"/>
              <w:rPr>
                <w:rFonts w:ascii="Arial Narrow" w:hAnsi="Arial Narrow"/>
                <w:b/>
                <w:lang w:eastAsia="ja-JP"/>
              </w:rPr>
            </w:pPr>
            <w:r w:rsidRPr="00BB4EC0">
              <w:rPr>
                <w:rFonts w:ascii="Arial Narrow" w:hAnsi="Arial Narrow"/>
                <w:b/>
                <w:lang w:eastAsia="ja-JP"/>
              </w:rPr>
              <w:t>Comparative safety versus comparator</w:t>
            </w:r>
          </w:p>
        </w:tc>
        <w:tc>
          <w:tcPr>
            <w:tcW w:w="1080" w:type="dxa"/>
            <w:vMerge w:val="restart"/>
            <w:vAlign w:val="center"/>
          </w:tcPr>
          <w:p w:rsidR="00D8067A" w:rsidRPr="00BB4EC0" w:rsidRDefault="00D8067A" w:rsidP="001B2CF7">
            <w:pPr>
              <w:keepNext/>
              <w:tabs>
                <w:tab w:val="left" w:pos="2835"/>
              </w:tabs>
              <w:spacing w:after="0" w:line="360" w:lineRule="auto"/>
              <w:jc w:val="left"/>
              <w:rPr>
                <w:rFonts w:ascii="Arial Narrow" w:hAnsi="Arial Narrow"/>
                <w:u w:val="single"/>
                <w:lang w:eastAsia="ja-JP"/>
              </w:rPr>
            </w:pPr>
            <w:r w:rsidRPr="00BB4EC0">
              <w:rPr>
                <w:rFonts w:ascii="Arial Narrow" w:hAnsi="Arial Narrow"/>
                <w:u w:val="single"/>
                <w:lang w:eastAsia="ja-JP"/>
              </w:rPr>
              <w:t>Superior</w:t>
            </w:r>
          </w:p>
        </w:tc>
        <w:tc>
          <w:tcPr>
            <w:tcW w:w="2596" w:type="dxa"/>
            <w:gridSpan w:val="2"/>
            <w:vMerge w:val="restart"/>
            <w:vAlign w:val="center"/>
          </w:tcPr>
          <w:p w:rsidR="00D8067A" w:rsidRPr="00BB4EC0" w:rsidRDefault="00D8067A" w:rsidP="001B2CF7">
            <w:pPr>
              <w:keepNext/>
              <w:tabs>
                <w:tab w:val="left" w:pos="2835"/>
              </w:tabs>
              <w:spacing w:after="0" w:line="360" w:lineRule="auto"/>
              <w:jc w:val="center"/>
              <w:rPr>
                <w:rFonts w:ascii="Arial Narrow" w:hAnsi="Arial Narrow"/>
                <w:lang w:eastAsia="ja-JP"/>
              </w:rPr>
            </w:pPr>
            <w:r w:rsidRPr="00ED722A">
              <w:rPr>
                <w:rFonts w:ascii="Arial Narrow" w:hAnsi="Arial Narrow"/>
                <w:sz w:val="32"/>
                <w:lang w:eastAsia="ja-JP"/>
              </w:rPr>
              <w:t>CEA/CUA</w:t>
            </w:r>
          </w:p>
        </w:tc>
        <w:tc>
          <w:tcPr>
            <w:tcW w:w="2350" w:type="dxa"/>
            <w:vMerge w:val="restart"/>
            <w:vAlign w:val="center"/>
          </w:tcPr>
          <w:p w:rsidR="00D8067A" w:rsidRPr="00BB4EC0" w:rsidRDefault="00D8067A" w:rsidP="001B2CF7">
            <w:pPr>
              <w:keepNext/>
              <w:tabs>
                <w:tab w:val="left" w:pos="2835"/>
              </w:tabs>
              <w:spacing w:after="0" w:line="360" w:lineRule="auto"/>
              <w:jc w:val="center"/>
              <w:rPr>
                <w:rFonts w:ascii="Arial Narrow" w:hAnsi="Arial Narrow"/>
                <w:lang w:eastAsia="ja-JP"/>
              </w:rPr>
            </w:pPr>
            <w:r w:rsidRPr="00BB4EC0">
              <w:rPr>
                <w:rFonts w:ascii="Arial Narrow" w:hAnsi="Arial Narrow"/>
                <w:lang w:eastAsia="ja-JP"/>
              </w:rPr>
              <w:t>CEA/CUA</w:t>
            </w:r>
          </w:p>
        </w:tc>
        <w:tc>
          <w:tcPr>
            <w:tcW w:w="1536" w:type="dxa"/>
          </w:tcPr>
          <w:p w:rsidR="00D8067A" w:rsidRPr="00BB4EC0" w:rsidRDefault="00D8067A" w:rsidP="001B2CF7">
            <w:pPr>
              <w:keepNext/>
              <w:tabs>
                <w:tab w:val="left" w:pos="2835"/>
              </w:tabs>
              <w:spacing w:after="0" w:line="360" w:lineRule="auto"/>
              <w:rPr>
                <w:rFonts w:ascii="Arial Narrow" w:hAnsi="Arial Narrow"/>
                <w:u w:val="single"/>
                <w:lang w:eastAsia="ja-JP"/>
              </w:rPr>
            </w:pPr>
            <w:r w:rsidRPr="00BB4EC0">
              <w:rPr>
                <w:rFonts w:ascii="Arial Narrow" w:hAnsi="Arial Narrow"/>
                <w:u w:val="single"/>
                <w:lang w:eastAsia="ja-JP"/>
              </w:rPr>
              <w:t>Net clinical benefit</w:t>
            </w:r>
          </w:p>
        </w:tc>
        <w:tc>
          <w:tcPr>
            <w:tcW w:w="907" w:type="dxa"/>
            <w:vAlign w:val="center"/>
          </w:tcPr>
          <w:p w:rsidR="00D8067A" w:rsidRPr="00BB4EC0" w:rsidRDefault="00D8067A" w:rsidP="001B2CF7">
            <w:pPr>
              <w:keepNext/>
              <w:tabs>
                <w:tab w:val="left" w:pos="2835"/>
              </w:tabs>
              <w:spacing w:after="0" w:line="360" w:lineRule="auto"/>
              <w:jc w:val="center"/>
              <w:rPr>
                <w:rFonts w:ascii="Arial Narrow" w:hAnsi="Arial Narrow"/>
                <w:lang w:eastAsia="ja-JP"/>
              </w:rPr>
            </w:pPr>
            <w:r w:rsidRPr="00BB4EC0">
              <w:rPr>
                <w:rFonts w:ascii="Arial Narrow" w:hAnsi="Arial Narrow"/>
                <w:lang w:eastAsia="ja-JP"/>
              </w:rPr>
              <w:t>CEA/CUA</w:t>
            </w:r>
          </w:p>
        </w:tc>
      </w:tr>
      <w:tr w:rsidR="00D8067A" w:rsidRPr="00BB4EC0" w:rsidTr="00075E36">
        <w:trPr>
          <w:cantSplit/>
          <w:trHeight w:val="20"/>
        </w:trPr>
        <w:tc>
          <w:tcPr>
            <w:tcW w:w="671" w:type="dxa"/>
            <w:vMerge/>
          </w:tcPr>
          <w:p w:rsidR="00D8067A" w:rsidRPr="00BB4EC0" w:rsidRDefault="00D8067A" w:rsidP="001B2CF7">
            <w:pPr>
              <w:tabs>
                <w:tab w:val="left" w:pos="2835"/>
              </w:tabs>
              <w:spacing w:after="0" w:line="360" w:lineRule="auto"/>
              <w:rPr>
                <w:rFonts w:ascii="Arial Narrow" w:hAnsi="Arial Narrow"/>
                <w:lang w:eastAsia="ja-JP"/>
              </w:rPr>
            </w:pPr>
          </w:p>
        </w:tc>
        <w:tc>
          <w:tcPr>
            <w:tcW w:w="1080" w:type="dxa"/>
            <w:vMerge/>
            <w:vAlign w:val="center"/>
          </w:tcPr>
          <w:p w:rsidR="00D8067A" w:rsidRPr="00BB4EC0" w:rsidRDefault="00D8067A" w:rsidP="001B2CF7">
            <w:pPr>
              <w:tabs>
                <w:tab w:val="left" w:pos="2835"/>
              </w:tabs>
              <w:spacing w:after="0" w:line="360" w:lineRule="auto"/>
              <w:jc w:val="left"/>
              <w:rPr>
                <w:rFonts w:ascii="Arial Narrow" w:hAnsi="Arial Narrow"/>
                <w:u w:val="single"/>
                <w:lang w:eastAsia="ja-JP"/>
              </w:rPr>
            </w:pPr>
          </w:p>
        </w:tc>
        <w:tc>
          <w:tcPr>
            <w:tcW w:w="2596" w:type="dxa"/>
            <w:gridSpan w:val="2"/>
            <w:vMerge/>
            <w:vAlign w:val="center"/>
          </w:tcPr>
          <w:p w:rsidR="00D8067A" w:rsidRPr="00BB4EC0" w:rsidRDefault="00D8067A" w:rsidP="001B2CF7">
            <w:pPr>
              <w:tabs>
                <w:tab w:val="left" w:pos="2835"/>
              </w:tabs>
              <w:spacing w:after="0" w:line="360" w:lineRule="auto"/>
              <w:jc w:val="center"/>
              <w:rPr>
                <w:rFonts w:ascii="Arial Narrow" w:hAnsi="Arial Narrow"/>
                <w:lang w:eastAsia="ja-JP"/>
              </w:rPr>
            </w:pPr>
          </w:p>
        </w:tc>
        <w:tc>
          <w:tcPr>
            <w:tcW w:w="2350" w:type="dxa"/>
            <w:vMerge/>
            <w:vAlign w:val="center"/>
          </w:tcPr>
          <w:p w:rsidR="00D8067A" w:rsidRPr="00BB4EC0" w:rsidRDefault="00D8067A" w:rsidP="001B2CF7">
            <w:pPr>
              <w:tabs>
                <w:tab w:val="left" w:pos="2835"/>
              </w:tabs>
              <w:spacing w:after="0" w:line="360" w:lineRule="auto"/>
              <w:jc w:val="center"/>
              <w:rPr>
                <w:rFonts w:ascii="Arial Narrow" w:hAnsi="Arial Narrow"/>
                <w:lang w:eastAsia="ja-JP"/>
              </w:rPr>
            </w:pPr>
          </w:p>
        </w:tc>
        <w:tc>
          <w:tcPr>
            <w:tcW w:w="1536" w:type="dxa"/>
          </w:tcPr>
          <w:p w:rsidR="00D8067A" w:rsidRPr="00BB4EC0" w:rsidRDefault="00D8067A" w:rsidP="001B2CF7">
            <w:pPr>
              <w:tabs>
                <w:tab w:val="left" w:pos="2835"/>
              </w:tabs>
              <w:spacing w:after="0" w:line="360" w:lineRule="auto"/>
              <w:rPr>
                <w:rFonts w:ascii="Arial Narrow" w:hAnsi="Arial Narrow"/>
                <w:u w:val="single"/>
                <w:lang w:eastAsia="ja-JP"/>
              </w:rPr>
            </w:pPr>
            <w:r w:rsidRPr="00BB4EC0">
              <w:rPr>
                <w:rFonts w:ascii="Arial Narrow" w:hAnsi="Arial Narrow"/>
                <w:u w:val="single"/>
                <w:lang w:eastAsia="ja-JP"/>
              </w:rPr>
              <w:t>Neutral benefit</w:t>
            </w:r>
          </w:p>
        </w:tc>
        <w:tc>
          <w:tcPr>
            <w:tcW w:w="907" w:type="dxa"/>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CEA/CUA*</w:t>
            </w:r>
          </w:p>
        </w:tc>
      </w:tr>
      <w:tr w:rsidR="00D8067A" w:rsidRPr="00BB4EC0" w:rsidTr="00075E36">
        <w:trPr>
          <w:cantSplit/>
          <w:trHeight w:val="20"/>
        </w:trPr>
        <w:tc>
          <w:tcPr>
            <w:tcW w:w="671" w:type="dxa"/>
            <w:vMerge/>
          </w:tcPr>
          <w:p w:rsidR="00D8067A" w:rsidRPr="00BB4EC0" w:rsidRDefault="00D8067A" w:rsidP="001B2CF7">
            <w:pPr>
              <w:tabs>
                <w:tab w:val="left" w:pos="2835"/>
              </w:tabs>
              <w:spacing w:after="0" w:line="360" w:lineRule="auto"/>
              <w:rPr>
                <w:rFonts w:ascii="Arial Narrow" w:hAnsi="Arial Narrow"/>
                <w:lang w:eastAsia="ja-JP"/>
              </w:rPr>
            </w:pPr>
          </w:p>
        </w:tc>
        <w:tc>
          <w:tcPr>
            <w:tcW w:w="1080" w:type="dxa"/>
            <w:vMerge/>
            <w:vAlign w:val="center"/>
          </w:tcPr>
          <w:p w:rsidR="00D8067A" w:rsidRPr="00BB4EC0" w:rsidRDefault="00D8067A" w:rsidP="001B2CF7">
            <w:pPr>
              <w:tabs>
                <w:tab w:val="left" w:pos="2835"/>
              </w:tabs>
              <w:spacing w:after="0" w:line="360" w:lineRule="auto"/>
              <w:jc w:val="left"/>
              <w:rPr>
                <w:rFonts w:ascii="Arial Narrow" w:hAnsi="Arial Narrow"/>
                <w:u w:val="single"/>
                <w:lang w:eastAsia="ja-JP"/>
              </w:rPr>
            </w:pPr>
          </w:p>
        </w:tc>
        <w:tc>
          <w:tcPr>
            <w:tcW w:w="2596" w:type="dxa"/>
            <w:gridSpan w:val="2"/>
            <w:vMerge/>
            <w:vAlign w:val="center"/>
          </w:tcPr>
          <w:p w:rsidR="00D8067A" w:rsidRPr="00BB4EC0" w:rsidRDefault="00D8067A" w:rsidP="001B2CF7">
            <w:pPr>
              <w:tabs>
                <w:tab w:val="left" w:pos="2835"/>
              </w:tabs>
              <w:spacing w:after="0" w:line="360" w:lineRule="auto"/>
              <w:jc w:val="center"/>
              <w:rPr>
                <w:rFonts w:ascii="Arial Narrow" w:hAnsi="Arial Narrow"/>
                <w:lang w:eastAsia="ja-JP"/>
              </w:rPr>
            </w:pPr>
          </w:p>
        </w:tc>
        <w:tc>
          <w:tcPr>
            <w:tcW w:w="2350" w:type="dxa"/>
            <w:vMerge/>
            <w:vAlign w:val="center"/>
          </w:tcPr>
          <w:p w:rsidR="00D8067A" w:rsidRPr="00BB4EC0" w:rsidRDefault="00D8067A" w:rsidP="001B2CF7">
            <w:pPr>
              <w:tabs>
                <w:tab w:val="left" w:pos="2835"/>
              </w:tabs>
              <w:spacing w:after="0" w:line="360" w:lineRule="auto"/>
              <w:jc w:val="center"/>
              <w:rPr>
                <w:rFonts w:ascii="Arial Narrow" w:hAnsi="Arial Narrow"/>
                <w:lang w:eastAsia="ja-JP"/>
              </w:rPr>
            </w:pPr>
          </w:p>
        </w:tc>
        <w:tc>
          <w:tcPr>
            <w:tcW w:w="1536" w:type="dxa"/>
          </w:tcPr>
          <w:p w:rsidR="00D8067A" w:rsidRPr="00BB4EC0" w:rsidRDefault="00D8067A" w:rsidP="001B2CF7">
            <w:pPr>
              <w:tabs>
                <w:tab w:val="left" w:pos="2835"/>
              </w:tabs>
              <w:spacing w:after="0" w:line="360" w:lineRule="auto"/>
              <w:rPr>
                <w:rFonts w:ascii="Arial Narrow" w:hAnsi="Arial Narrow"/>
                <w:u w:val="single"/>
                <w:lang w:eastAsia="ja-JP"/>
              </w:rPr>
            </w:pPr>
            <w:r w:rsidRPr="00BB4EC0">
              <w:rPr>
                <w:rFonts w:ascii="Arial Narrow" w:hAnsi="Arial Narrow"/>
                <w:u w:val="single"/>
                <w:lang w:eastAsia="ja-JP"/>
              </w:rPr>
              <w:t>Net harms</w:t>
            </w:r>
          </w:p>
        </w:tc>
        <w:tc>
          <w:tcPr>
            <w:tcW w:w="907" w:type="dxa"/>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None^</w:t>
            </w:r>
          </w:p>
        </w:tc>
      </w:tr>
      <w:tr w:rsidR="00D8067A" w:rsidRPr="00BB4EC0" w:rsidTr="00075E36">
        <w:trPr>
          <w:cantSplit/>
          <w:trHeight w:val="750"/>
        </w:trPr>
        <w:tc>
          <w:tcPr>
            <w:tcW w:w="671" w:type="dxa"/>
            <w:vMerge/>
          </w:tcPr>
          <w:p w:rsidR="00D8067A" w:rsidRPr="00BB4EC0" w:rsidRDefault="00D8067A" w:rsidP="001B2CF7">
            <w:pPr>
              <w:tabs>
                <w:tab w:val="left" w:pos="2835"/>
              </w:tabs>
              <w:spacing w:after="0" w:line="360" w:lineRule="auto"/>
              <w:rPr>
                <w:rFonts w:ascii="Arial Narrow" w:hAnsi="Arial Narrow"/>
                <w:lang w:eastAsia="ja-JP"/>
              </w:rPr>
            </w:pPr>
          </w:p>
        </w:tc>
        <w:tc>
          <w:tcPr>
            <w:tcW w:w="1080" w:type="dxa"/>
            <w:vAlign w:val="center"/>
          </w:tcPr>
          <w:p w:rsidR="00D8067A" w:rsidRPr="00BB4EC0" w:rsidRDefault="00D8067A" w:rsidP="001B2CF7">
            <w:pPr>
              <w:tabs>
                <w:tab w:val="left" w:pos="2835"/>
              </w:tabs>
              <w:spacing w:after="0" w:line="360" w:lineRule="auto"/>
              <w:jc w:val="left"/>
              <w:rPr>
                <w:rFonts w:ascii="Arial Narrow" w:hAnsi="Arial Narrow"/>
                <w:u w:val="single"/>
                <w:lang w:eastAsia="ja-JP"/>
              </w:rPr>
            </w:pPr>
            <w:r w:rsidRPr="00BB4EC0">
              <w:rPr>
                <w:rFonts w:ascii="Arial Narrow" w:hAnsi="Arial Narrow"/>
                <w:u w:val="single"/>
                <w:lang w:eastAsia="ja-JP"/>
              </w:rPr>
              <w:t>Non-inferior</w:t>
            </w:r>
          </w:p>
        </w:tc>
        <w:tc>
          <w:tcPr>
            <w:tcW w:w="2596" w:type="dxa"/>
            <w:gridSpan w:val="2"/>
            <w:vAlign w:val="center"/>
          </w:tcPr>
          <w:p w:rsidR="00D8067A" w:rsidRPr="00ED722A" w:rsidRDefault="00D8067A" w:rsidP="001B2CF7">
            <w:pPr>
              <w:tabs>
                <w:tab w:val="left" w:pos="2835"/>
              </w:tabs>
              <w:spacing w:after="0" w:line="360" w:lineRule="auto"/>
              <w:jc w:val="center"/>
              <w:rPr>
                <w:rFonts w:ascii="Arial Narrow" w:hAnsi="Arial Narrow"/>
                <w:lang w:eastAsia="ja-JP"/>
              </w:rPr>
            </w:pPr>
            <w:r w:rsidRPr="00ED722A">
              <w:rPr>
                <w:rFonts w:ascii="Arial Narrow" w:hAnsi="Arial Narrow"/>
                <w:lang w:eastAsia="ja-JP"/>
              </w:rPr>
              <w:t>CEA/CUA</w:t>
            </w:r>
          </w:p>
        </w:tc>
        <w:tc>
          <w:tcPr>
            <w:tcW w:w="2350" w:type="dxa"/>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CEA/CUA*</w:t>
            </w:r>
          </w:p>
        </w:tc>
        <w:tc>
          <w:tcPr>
            <w:tcW w:w="2443" w:type="dxa"/>
            <w:gridSpan w:val="2"/>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None^</w:t>
            </w:r>
          </w:p>
        </w:tc>
      </w:tr>
      <w:tr w:rsidR="00D8067A" w:rsidRPr="00BB4EC0" w:rsidTr="00075E36">
        <w:trPr>
          <w:cantSplit/>
          <w:trHeight w:val="20"/>
        </w:trPr>
        <w:tc>
          <w:tcPr>
            <w:tcW w:w="671" w:type="dxa"/>
            <w:vMerge/>
          </w:tcPr>
          <w:p w:rsidR="00D8067A" w:rsidRPr="00BB4EC0" w:rsidRDefault="00D8067A" w:rsidP="001B2CF7">
            <w:pPr>
              <w:tabs>
                <w:tab w:val="left" w:pos="2835"/>
              </w:tabs>
              <w:spacing w:after="0" w:line="360" w:lineRule="auto"/>
              <w:rPr>
                <w:rFonts w:ascii="Arial Narrow" w:hAnsi="Arial Narrow"/>
                <w:lang w:eastAsia="ja-JP"/>
              </w:rPr>
            </w:pPr>
          </w:p>
        </w:tc>
        <w:tc>
          <w:tcPr>
            <w:tcW w:w="1080" w:type="dxa"/>
            <w:vMerge w:val="restart"/>
            <w:vAlign w:val="center"/>
          </w:tcPr>
          <w:p w:rsidR="00D8067A" w:rsidRPr="00BB4EC0" w:rsidRDefault="00D8067A" w:rsidP="001B2CF7">
            <w:pPr>
              <w:tabs>
                <w:tab w:val="left" w:pos="2835"/>
              </w:tabs>
              <w:spacing w:after="0" w:line="360" w:lineRule="auto"/>
              <w:jc w:val="left"/>
              <w:rPr>
                <w:rFonts w:ascii="Arial Narrow" w:hAnsi="Arial Narrow"/>
                <w:u w:val="single"/>
                <w:lang w:eastAsia="ja-JP"/>
              </w:rPr>
            </w:pPr>
            <w:r w:rsidRPr="00BB4EC0">
              <w:rPr>
                <w:rFonts w:ascii="Arial Narrow" w:hAnsi="Arial Narrow"/>
                <w:u w:val="single"/>
                <w:lang w:eastAsia="ja-JP"/>
              </w:rPr>
              <w:t>Inferior</w:t>
            </w:r>
          </w:p>
        </w:tc>
        <w:tc>
          <w:tcPr>
            <w:tcW w:w="1572" w:type="dxa"/>
            <w:vAlign w:val="center"/>
          </w:tcPr>
          <w:p w:rsidR="00D8067A" w:rsidRPr="00BB4EC0" w:rsidRDefault="00D8067A" w:rsidP="001B2CF7">
            <w:pPr>
              <w:tabs>
                <w:tab w:val="left" w:pos="2835"/>
              </w:tabs>
              <w:spacing w:after="0" w:line="360" w:lineRule="auto"/>
              <w:jc w:val="left"/>
              <w:rPr>
                <w:rFonts w:ascii="Arial Narrow" w:hAnsi="Arial Narrow"/>
                <w:u w:val="single"/>
                <w:lang w:eastAsia="ja-JP"/>
              </w:rPr>
            </w:pPr>
            <w:r w:rsidRPr="00BB4EC0">
              <w:rPr>
                <w:rFonts w:ascii="Arial Narrow" w:hAnsi="Arial Narrow"/>
                <w:u w:val="single"/>
                <w:lang w:eastAsia="ja-JP"/>
              </w:rPr>
              <w:t>Net clinical benefit</w:t>
            </w:r>
          </w:p>
        </w:tc>
        <w:tc>
          <w:tcPr>
            <w:tcW w:w="1024" w:type="dxa"/>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CEA/CUA</w:t>
            </w:r>
          </w:p>
        </w:tc>
        <w:tc>
          <w:tcPr>
            <w:tcW w:w="2350" w:type="dxa"/>
            <w:vMerge w:val="restart"/>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None^</w:t>
            </w:r>
          </w:p>
        </w:tc>
        <w:tc>
          <w:tcPr>
            <w:tcW w:w="2443" w:type="dxa"/>
            <w:gridSpan w:val="2"/>
            <w:vMerge w:val="restart"/>
            <w:vAlign w:val="center"/>
          </w:tcPr>
          <w:p w:rsidR="00D8067A" w:rsidRPr="00BB4EC0" w:rsidRDefault="00D8067A" w:rsidP="001B2CF7">
            <w:pPr>
              <w:tabs>
                <w:tab w:val="left" w:pos="2835"/>
              </w:tabs>
              <w:spacing w:after="0" w:line="360" w:lineRule="auto"/>
              <w:jc w:val="center"/>
              <w:rPr>
                <w:rFonts w:ascii="Arial Narrow" w:hAnsi="Arial Narrow"/>
                <w:lang w:eastAsia="ja-JP"/>
              </w:rPr>
            </w:pPr>
            <w:r w:rsidRPr="00BB4EC0">
              <w:rPr>
                <w:rFonts w:ascii="Arial Narrow" w:hAnsi="Arial Narrow"/>
                <w:lang w:eastAsia="ja-JP"/>
              </w:rPr>
              <w:t>None^</w:t>
            </w:r>
          </w:p>
        </w:tc>
      </w:tr>
      <w:tr w:rsidR="00D8067A" w:rsidRPr="00BB4EC0" w:rsidTr="00075E36">
        <w:trPr>
          <w:trHeight w:val="20"/>
        </w:trPr>
        <w:tc>
          <w:tcPr>
            <w:tcW w:w="671" w:type="dxa"/>
            <w:vMerge/>
          </w:tcPr>
          <w:p w:rsidR="00D8067A" w:rsidRPr="00BB4EC0" w:rsidRDefault="00D8067A" w:rsidP="001B2CF7">
            <w:pPr>
              <w:tabs>
                <w:tab w:val="left" w:pos="2835"/>
              </w:tabs>
              <w:spacing w:after="0" w:line="360" w:lineRule="auto"/>
              <w:rPr>
                <w:lang w:eastAsia="ja-JP"/>
              </w:rPr>
            </w:pPr>
          </w:p>
        </w:tc>
        <w:tc>
          <w:tcPr>
            <w:tcW w:w="1080" w:type="dxa"/>
            <w:vMerge/>
          </w:tcPr>
          <w:p w:rsidR="00D8067A" w:rsidRPr="00BB4EC0" w:rsidRDefault="00D8067A" w:rsidP="001B2CF7">
            <w:pPr>
              <w:tabs>
                <w:tab w:val="left" w:pos="2835"/>
              </w:tabs>
              <w:spacing w:after="0" w:line="360" w:lineRule="auto"/>
              <w:rPr>
                <w:lang w:eastAsia="ja-JP"/>
              </w:rPr>
            </w:pPr>
          </w:p>
        </w:tc>
        <w:tc>
          <w:tcPr>
            <w:tcW w:w="1572" w:type="dxa"/>
            <w:vAlign w:val="center"/>
          </w:tcPr>
          <w:p w:rsidR="00D8067A" w:rsidRPr="00BB4EC0" w:rsidRDefault="00D8067A" w:rsidP="001B2CF7">
            <w:pPr>
              <w:tabs>
                <w:tab w:val="left" w:pos="2835"/>
              </w:tabs>
              <w:spacing w:after="0" w:line="360" w:lineRule="auto"/>
              <w:jc w:val="left"/>
              <w:rPr>
                <w:u w:val="single"/>
                <w:lang w:eastAsia="ja-JP"/>
              </w:rPr>
            </w:pPr>
            <w:r w:rsidRPr="00BB4EC0">
              <w:rPr>
                <w:u w:val="single"/>
                <w:lang w:eastAsia="ja-JP"/>
              </w:rPr>
              <w:t>Neutral benefit</w:t>
            </w:r>
          </w:p>
        </w:tc>
        <w:tc>
          <w:tcPr>
            <w:tcW w:w="1024" w:type="dxa"/>
            <w:vAlign w:val="center"/>
          </w:tcPr>
          <w:p w:rsidR="00D8067A" w:rsidRPr="00BB4EC0" w:rsidRDefault="00D8067A" w:rsidP="001B2CF7">
            <w:pPr>
              <w:tabs>
                <w:tab w:val="left" w:pos="2835"/>
              </w:tabs>
              <w:spacing w:after="0" w:line="360" w:lineRule="auto"/>
              <w:jc w:val="center"/>
              <w:rPr>
                <w:lang w:eastAsia="ja-JP"/>
              </w:rPr>
            </w:pPr>
            <w:r w:rsidRPr="00BB4EC0">
              <w:rPr>
                <w:lang w:eastAsia="ja-JP"/>
              </w:rPr>
              <w:t>CEA/CUA*</w:t>
            </w:r>
          </w:p>
        </w:tc>
        <w:tc>
          <w:tcPr>
            <w:tcW w:w="2350" w:type="dxa"/>
            <w:vMerge/>
            <w:vAlign w:val="center"/>
          </w:tcPr>
          <w:p w:rsidR="00D8067A" w:rsidRPr="00BB4EC0" w:rsidRDefault="00D8067A" w:rsidP="001B2CF7">
            <w:pPr>
              <w:tabs>
                <w:tab w:val="left" w:pos="2835"/>
              </w:tabs>
              <w:spacing w:after="0" w:line="360" w:lineRule="auto"/>
              <w:jc w:val="center"/>
              <w:rPr>
                <w:lang w:eastAsia="ja-JP"/>
              </w:rPr>
            </w:pPr>
          </w:p>
        </w:tc>
        <w:tc>
          <w:tcPr>
            <w:tcW w:w="2443" w:type="dxa"/>
            <w:gridSpan w:val="2"/>
            <w:vMerge/>
          </w:tcPr>
          <w:p w:rsidR="00D8067A" w:rsidRPr="00BB4EC0" w:rsidRDefault="00D8067A" w:rsidP="001B2CF7">
            <w:pPr>
              <w:tabs>
                <w:tab w:val="left" w:pos="2835"/>
              </w:tabs>
              <w:spacing w:after="0" w:line="360" w:lineRule="auto"/>
              <w:rPr>
                <w:lang w:eastAsia="ja-JP"/>
              </w:rPr>
            </w:pPr>
          </w:p>
        </w:tc>
      </w:tr>
      <w:tr w:rsidR="00D8067A" w:rsidRPr="00BB4EC0" w:rsidTr="00075E36">
        <w:trPr>
          <w:trHeight w:val="20"/>
        </w:trPr>
        <w:tc>
          <w:tcPr>
            <w:tcW w:w="671" w:type="dxa"/>
            <w:vMerge/>
          </w:tcPr>
          <w:p w:rsidR="00D8067A" w:rsidRPr="00BB4EC0" w:rsidRDefault="00D8067A" w:rsidP="001B2CF7">
            <w:pPr>
              <w:tabs>
                <w:tab w:val="left" w:pos="2835"/>
              </w:tabs>
              <w:spacing w:after="0" w:line="360" w:lineRule="auto"/>
              <w:rPr>
                <w:lang w:eastAsia="ja-JP"/>
              </w:rPr>
            </w:pPr>
          </w:p>
        </w:tc>
        <w:tc>
          <w:tcPr>
            <w:tcW w:w="1080" w:type="dxa"/>
            <w:vMerge/>
          </w:tcPr>
          <w:p w:rsidR="00D8067A" w:rsidRPr="00BB4EC0" w:rsidRDefault="00D8067A" w:rsidP="001B2CF7">
            <w:pPr>
              <w:tabs>
                <w:tab w:val="left" w:pos="2835"/>
              </w:tabs>
              <w:spacing w:after="0" w:line="360" w:lineRule="auto"/>
              <w:rPr>
                <w:lang w:eastAsia="ja-JP"/>
              </w:rPr>
            </w:pPr>
          </w:p>
        </w:tc>
        <w:tc>
          <w:tcPr>
            <w:tcW w:w="1572" w:type="dxa"/>
            <w:vAlign w:val="center"/>
          </w:tcPr>
          <w:p w:rsidR="00D8067A" w:rsidRPr="00BB4EC0" w:rsidRDefault="00D8067A" w:rsidP="001B2CF7">
            <w:pPr>
              <w:tabs>
                <w:tab w:val="left" w:pos="2835"/>
              </w:tabs>
              <w:spacing w:after="0" w:line="360" w:lineRule="auto"/>
              <w:jc w:val="left"/>
              <w:rPr>
                <w:u w:val="single"/>
                <w:lang w:eastAsia="ja-JP"/>
              </w:rPr>
            </w:pPr>
            <w:r w:rsidRPr="00BB4EC0">
              <w:rPr>
                <w:u w:val="single"/>
                <w:lang w:eastAsia="ja-JP"/>
              </w:rPr>
              <w:t>Net harms</w:t>
            </w:r>
          </w:p>
        </w:tc>
        <w:tc>
          <w:tcPr>
            <w:tcW w:w="1024" w:type="dxa"/>
            <w:vAlign w:val="center"/>
          </w:tcPr>
          <w:p w:rsidR="00D8067A" w:rsidRPr="00BB4EC0" w:rsidRDefault="00D8067A" w:rsidP="001B2CF7">
            <w:pPr>
              <w:tabs>
                <w:tab w:val="left" w:pos="2835"/>
              </w:tabs>
              <w:spacing w:after="0" w:line="360" w:lineRule="auto"/>
              <w:jc w:val="center"/>
              <w:rPr>
                <w:lang w:eastAsia="ja-JP"/>
              </w:rPr>
            </w:pPr>
            <w:r w:rsidRPr="00BB4EC0">
              <w:rPr>
                <w:lang w:eastAsia="ja-JP"/>
              </w:rPr>
              <w:t>None^</w:t>
            </w:r>
          </w:p>
        </w:tc>
        <w:tc>
          <w:tcPr>
            <w:tcW w:w="2350" w:type="dxa"/>
            <w:vMerge/>
            <w:vAlign w:val="center"/>
          </w:tcPr>
          <w:p w:rsidR="00D8067A" w:rsidRPr="00BB4EC0" w:rsidRDefault="00D8067A" w:rsidP="001B2CF7">
            <w:pPr>
              <w:tabs>
                <w:tab w:val="left" w:pos="2835"/>
              </w:tabs>
              <w:spacing w:after="0" w:line="360" w:lineRule="auto"/>
              <w:jc w:val="center"/>
              <w:rPr>
                <w:lang w:eastAsia="ja-JP"/>
              </w:rPr>
            </w:pPr>
          </w:p>
        </w:tc>
        <w:tc>
          <w:tcPr>
            <w:tcW w:w="2443" w:type="dxa"/>
            <w:gridSpan w:val="2"/>
            <w:vMerge/>
          </w:tcPr>
          <w:p w:rsidR="00D8067A" w:rsidRPr="00BB4EC0" w:rsidRDefault="00D8067A" w:rsidP="001B2CF7">
            <w:pPr>
              <w:tabs>
                <w:tab w:val="left" w:pos="2835"/>
              </w:tabs>
              <w:spacing w:after="0" w:line="360" w:lineRule="auto"/>
              <w:rPr>
                <w:lang w:eastAsia="ja-JP"/>
              </w:rPr>
            </w:pPr>
          </w:p>
        </w:tc>
      </w:tr>
    </w:tbl>
    <w:p w:rsidR="00D8067A" w:rsidRDefault="00D8067A" w:rsidP="00D34BAD">
      <w:pPr>
        <w:tabs>
          <w:tab w:val="left" w:pos="284"/>
        </w:tabs>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D8067A" w:rsidRDefault="00D8067A" w:rsidP="00D34BAD">
      <w:pPr>
        <w:tabs>
          <w:tab w:val="left" w:pos="284"/>
        </w:tabs>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D8067A" w:rsidRDefault="00D8067A" w:rsidP="00D34BAD">
      <w:pPr>
        <w:tabs>
          <w:tab w:val="left" w:pos="284"/>
        </w:tabs>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D8067A" w:rsidRPr="007F18C0" w:rsidRDefault="00D8067A" w:rsidP="007F18C0">
      <w:pPr>
        <w:rPr>
          <w:u w:val="single"/>
          <w:lang w:eastAsia="ja-JP"/>
        </w:rPr>
      </w:pPr>
      <w:r w:rsidRPr="007F18C0">
        <w:rPr>
          <w:u w:val="single"/>
          <w:lang w:eastAsia="ja-JP"/>
        </w:rPr>
        <w:t>Questions for the review relating to the economic evaluation</w:t>
      </w:r>
    </w:p>
    <w:p w:rsidR="00D8067A" w:rsidRPr="007F18C0" w:rsidRDefault="00D8067A" w:rsidP="007F18C0">
      <w:pPr>
        <w:rPr>
          <w:lang w:eastAsia="ja-JP"/>
        </w:rPr>
      </w:pPr>
      <w:r w:rsidRPr="007F18C0">
        <w:rPr>
          <w:lang w:eastAsia="ja-JP"/>
        </w:rPr>
        <w:t>Cost effectiveness models should be undertaken:</w:t>
      </w:r>
    </w:p>
    <w:p w:rsidR="00D8067A" w:rsidRPr="007F18C0" w:rsidRDefault="00D8067A" w:rsidP="00615E23">
      <w:pPr>
        <w:numPr>
          <w:ilvl w:val="0"/>
          <w:numId w:val="29"/>
        </w:numPr>
        <w:contextualSpacing/>
        <w:rPr>
          <w:lang w:eastAsia="ja-JP"/>
        </w:rPr>
      </w:pPr>
      <w:r w:rsidRPr="007F18C0">
        <w:rPr>
          <w:lang w:eastAsia="ja-JP"/>
        </w:rPr>
        <w:t>To establish the baseline scenario: What are the downstream costs and outcomes without the proposed intervention?</w:t>
      </w:r>
    </w:p>
    <w:p w:rsidR="00D8067A" w:rsidRPr="007F18C0" w:rsidRDefault="00D8067A" w:rsidP="00615E23">
      <w:pPr>
        <w:numPr>
          <w:ilvl w:val="0"/>
          <w:numId w:val="29"/>
        </w:numPr>
        <w:contextualSpacing/>
        <w:rPr>
          <w:lang w:eastAsia="ja-JP"/>
        </w:rPr>
      </w:pPr>
      <w:r w:rsidRPr="007F18C0">
        <w:rPr>
          <w:lang w:eastAsia="ja-JP"/>
        </w:rPr>
        <w:t>To assess the proposed scenario: What are the downstream costs and outcomes with the proposed intervention?</w:t>
      </w:r>
    </w:p>
    <w:p w:rsidR="00D8067A" w:rsidRPr="007F18C0" w:rsidRDefault="00D8067A" w:rsidP="00615E23">
      <w:pPr>
        <w:numPr>
          <w:ilvl w:val="0"/>
          <w:numId w:val="29"/>
        </w:numPr>
        <w:contextualSpacing/>
        <w:rPr>
          <w:lang w:eastAsia="ja-JP"/>
        </w:rPr>
      </w:pPr>
      <w:r w:rsidRPr="007F18C0">
        <w:rPr>
          <w:lang w:eastAsia="ja-JP"/>
        </w:rPr>
        <w:t>As noted throughout the DAP, sensitivity analyses should be undertaken around:</w:t>
      </w:r>
    </w:p>
    <w:p w:rsidR="00D8067A" w:rsidRPr="007F18C0" w:rsidRDefault="00D8067A" w:rsidP="00615E23">
      <w:pPr>
        <w:numPr>
          <w:ilvl w:val="1"/>
          <w:numId w:val="29"/>
        </w:numPr>
        <w:contextualSpacing/>
        <w:rPr>
          <w:lang w:eastAsia="ja-JP"/>
        </w:rPr>
      </w:pPr>
      <w:r w:rsidRPr="007F18C0">
        <w:rPr>
          <w:lang w:eastAsia="ja-JP"/>
        </w:rPr>
        <w:t>The factors, ages and eligibility criteria as specified in the proposal;</w:t>
      </w:r>
    </w:p>
    <w:p w:rsidR="00D8067A" w:rsidRPr="007F18C0" w:rsidRDefault="00D8067A" w:rsidP="00615E23">
      <w:pPr>
        <w:numPr>
          <w:ilvl w:val="1"/>
          <w:numId w:val="29"/>
        </w:numPr>
        <w:contextualSpacing/>
        <w:rPr>
          <w:lang w:eastAsia="ja-JP"/>
        </w:rPr>
      </w:pPr>
      <w:r w:rsidRPr="007F18C0">
        <w:rPr>
          <w:lang w:eastAsia="ja-JP"/>
        </w:rPr>
        <w:t>The variables as advised by the available evidence;</w:t>
      </w:r>
    </w:p>
    <w:p w:rsidR="00D8067A" w:rsidRPr="007F18C0" w:rsidRDefault="00D8067A" w:rsidP="00615E23">
      <w:pPr>
        <w:numPr>
          <w:ilvl w:val="1"/>
          <w:numId w:val="29"/>
        </w:numPr>
        <w:contextualSpacing/>
        <w:rPr>
          <w:lang w:eastAsia="ja-JP"/>
        </w:rPr>
      </w:pPr>
      <w:r w:rsidRPr="007F18C0">
        <w:rPr>
          <w:lang w:eastAsia="ja-JP"/>
        </w:rPr>
        <w:t>The variables as advised by PASC as being informative for sensitivity analyses to inform the final decision making.</w:t>
      </w:r>
    </w:p>
    <w:p w:rsidR="00D8067A" w:rsidRPr="007F18C0" w:rsidRDefault="00D8067A" w:rsidP="00615E23">
      <w:pPr>
        <w:numPr>
          <w:ilvl w:val="1"/>
          <w:numId w:val="29"/>
        </w:numPr>
        <w:contextualSpacing/>
        <w:rPr>
          <w:lang w:eastAsia="ja-JP"/>
        </w:rPr>
      </w:pPr>
      <w:r w:rsidRPr="007F18C0">
        <w:rPr>
          <w:lang w:eastAsia="ja-JP"/>
        </w:rPr>
        <w:t xml:space="preserve">Specifically, what impact does </w:t>
      </w:r>
      <w:r>
        <w:rPr>
          <w:lang w:eastAsia="ja-JP"/>
        </w:rPr>
        <w:t>treatment with aromatase inhibitors</w:t>
      </w:r>
      <w:r w:rsidRPr="007F18C0">
        <w:rPr>
          <w:lang w:eastAsia="ja-JP"/>
        </w:rPr>
        <w:t xml:space="preserve"> have on bone mineral density</w:t>
      </w:r>
      <w:r w:rsidR="00D071C8">
        <w:rPr>
          <w:lang w:eastAsia="ja-JP"/>
        </w:rPr>
        <w:t xml:space="preserve"> as a surrogate for minimal trauma fracture</w:t>
      </w:r>
      <w:r w:rsidRPr="007F18C0">
        <w:rPr>
          <w:lang w:eastAsia="ja-JP"/>
        </w:rPr>
        <w:t xml:space="preserve">? This should include a consideration of the effect of other possible prognostic factors including age and </w:t>
      </w:r>
      <w:r>
        <w:rPr>
          <w:lang w:eastAsia="ja-JP"/>
        </w:rPr>
        <w:t xml:space="preserve">previous treatment with </w:t>
      </w:r>
      <w:proofErr w:type="spellStart"/>
      <w:r>
        <w:rPr>
          <w:lang w:eastAsia="ja-JP"/>
        </w:rPr>
        <w:t>tamoxifen</w:t>
      </w:r>
      <w:proofErr w:type="spellEnd"/>
      <w:r>
        <w:rPr>
          <w:lang w:eastAsia="ja-JP"/>
        </w:rPr>
        <w:t>.</w:t>
      </w:r>
      <w:r w:rsidR="00E31B1A">
        <w:rPr>
          <w:lang w:eastAsia="ja-JP"/>
        </w:rPr>
        <w:t xml:space="preserve"> </w:t>
      </w:r>
    </w:p>
    <w:p w:rsidR="00D8067A" w:rsidRPr="007F18C0" w:rsidRDefault="00D8067A" w:rsidP="00615E23">
      <w:pPr>
        <w:numPr>
          <w:ilvl w:val="0"/>
          <w:numId w:val="29"/>
        </w:numPr>
        <w:contextualSpacing/>
        <w:rPr>
          <w:lang w:eastAsia="ja-JP"/>
        </w:rPr>
      </w:pPr>
      <w:r w:rsidRPr="007F18C0">
        <w:rPr>
          <w:lang w:eastAsia="ja-JP"/>
        </w:rPr>
        <w:t>The economic analysis should account for different thresholds for therapy as advised by the available evidence.</w:t>
      </w:r>
    </w:p>
    <w:p w:rsidR="00D8067A" w:rsidRPr="007F18C0" w:rsidRDefault="00D8067A" w:rsidP="00615E23">
      <w:pPr>
        <w:numPr>
          <w:ilvl w:val="0"/>
          <w:numId w:val="29"/>
        </w:numPr>
        <w:contextualSpacing/>
        <w:rPr>
          <w:lang w:eastAsia="ja-JP"/>
        </w:rPr>
      </w:pPr>
      <w:r w:rsidRPr="007F18C0">
        <w:rPr>
          <w:lang w:eastAsia="ja-JP"/>
        </w:rPr>
        <w:lastRenderedPageBreak/>
        <w:t>The economic evaluation should account for all patients in the target population who become eligible for current MBS i</w:t>
      </w:r>
      <w:r>
        <w:rPr>
          <w:lang w:eastAsia="ja-JP"/>
        </w:rPr>
        <w:t>tems (for example through age,</w:t>
      </w:r>
      <w:r w:rsidRPr="007F18C0">
        <w:rPr>
          <w:lang w:eastAsia="ja-JP"/>
        </w:rPr>
        <w:t xml:space="preserve"> minimal trauma fracture</w:t>
      </w:r>
      <w:r>
        <w:rPr>
          <w:lang w:eastAsia="ja-JP"/>
        </w:rPr>
        <w:t>, skeletal metastases or premature menopause</w:t>
      </w:r>
      <w:r w:rsidRPr="007F18C0">
        <w:rPr>
          <w:lang w:eastAsia="ja-JP"/>
        </w:rPr>
        <w:t>).</w:t>
      </w:r>
    </w:p>
    <w:p w:rsidR="00D8067A" w:rsidRPr="00882200" w:rsidRDefault="00D8067A" w:rsidP="00D34BAD">
      <w:pPr>
        <w:tabs>
          <w:tab w:val="left" w:pos="284"/>
        </w:tabs>
        <w:rPr>
          <w:rFonts w:ascii="Arial Narrow" w:hAnsi="Arial Narrow"/>
          <w:lang w:val="en-GB" w:eastAsia="ja-JP"/>
        </w:rPr>
      </w:pPr>
    </w:p>
    <w:p w:rsidR="00D8067A" w:rsidRPr="00A34E9C" w:rsidRDefault="00D8067A" w:rsidP="00D34BAD">
      <w:pPr>
        <w:pStyle w:val="Heading1"/>
        <w:spacing w:after="240"/>
      </w:pPr>
      <w:bookmarkStart w:id="37" w:name="_Toc335905421"/>
      <w:bookmarkStart w:id="38" w:name="_Toc362968496"/>
      <w:r w:rsidRPr="00A34E9C">
        <w:t>Outcomes and health care resources affected</w:t>
      </w:r>
      <w:r>
        <w:t xml:space="preserve"> by introduction of proposed intervention</w:t>
      </w:r>
      <w:bookmarkEnd w:id="37"/>
      <w:bookmarkEnd w:id="38"/>
    </w:p>
    <w:p w:rsidR="00D8067A" w:rsidRDefault="00D8067A" w:rsidP="00D34BAD">
      <w:pPr>
        <w:pStyle w:val="Heading2"/>
        <w:spacing w:after="240"/>
      </w:pPr>
      <w:bookmarkStart w:id="39" w:name="_Toc335905422"/>
      <w:bookmarkStart w:id="40" w:name="_Toc362968497"/>
      <w:r>
        <w:t>Outcomes</w:t>
      </w:r>
      <w:bookmarkEnd w:id="39"/>
      <w:bookmarkEnd w:id="40"/>
    </w:p>
    <w:p w:rsidR="00D8067A" w:rsidRPr="00BB4EC0" w:rsidRDefault="00D8067A" w:rsidP="0031428F">
      <w:pPr>
        <w:rPr>
          <w:b/>
        </w:rPr>
      </w:pPr>
      <w:r w:rsidRPr="00BB4EC0">
        <w:t>The body of evidence indicates that administration of AIs in postmenopausal women with hormone receptor positive breast cancer leads to significant decreases in bone mineral density. These side effects are unlikely to affect the use of AIs to treat breast cancer as they are presently considered the gold standard of endocrine therapy. The applicant claims that the proposed MBS item will facilitate the identification of patients with low BMD prior to AI treatment and result in the following:</w:t>
      </w:r>
    </w:p>
    <w:p w:rsidR="00D8067A" w:rsidRPr="00A547A9" w:rsidRDefault="00D8067A" w:rsidP="00615E23">
      <w:pPr>
        <w:pStyle w:val="ListParagraph"/>
        <w:numPr>
          <w:ilvl w:val="0"/>
          <w:numId w:val="15"/>
        </w:numPr>
        <w:rPr>
          <w:lang w:val="en-GB" w:eastAsia="ja-JP"/>
        </w:rPr>
      </w:pPr>
      <w:r w:rsidRPr="00A547A9">
        <w:rPr>
          <w:lang w:val="en-GB" w:eastAsia="ja-JP"/>
        </w:rPr>
        <w:t>Quantify the rate of bone loss during and after treatment with AIs</w:t>
      </w:r>
    </w:p>
    <w:p w:rsidR="00D8067A" w:rsidRPr="00A547A9" w:rsidRDefault="00D8067A" w:rsidP="00615E23">
      <w:pPr>
        <w:pStyle w:val="ListParagraph"/>
        <w:numPr>
          <w:ilvl w:val="0"/>
          <w:numId w:val="15"/>
        </w:numPr>
        <w:rPr>
          <w:lang w:val="en-GB" w:eastAsia="ja-JP"/>
        </w:rPr>
      </w:pPr>
      <w:r w:rsidRPr="00A547A9">
        <w:rPr>
          <w:lang w:val="en-GB" w:eastAsia="ja-JP"/>
        </w:rPr>
        <w:t>Potentially prevent fractures and thus the associated costs to the healthcare system and patient</w:t>
      </w:r>
    </w:p>
    <w:p w:rsidR="00D8067A" w:rsidRPr="00A547A9" w:rsidRDefault="00D8067A" w:rsidP="00A547A9">
      <w:pPr>
        <w:rPr>
          <w:lang w:val="en-GB" w:eastAsia="ja-JP"/>
        </w:rPr>
      </w:pPr>
      <w:r w:rsidRPr="00A547A9">
        <w:rPr>
          <w:lang w:val="en-GB" w:eastAsia="ja-JP"/>
        </w:rPr>
        <w:t>Primary effectiveness</w:t>
      </w:r>
      <w:r>
        <w:rPr>
          <w:lang w:val="en-GB" w:eastAsia="ja-JP"/>
        </w:rPr>
        <w:t xml:space="preserve"> outcomes:</w:t>
      </w:r>
    </w:p>
    <w:p w:rsidR="00D8067A" w:rsidRDefault="00D8067A" w:rsidP="00615E23">
      <w:pPr>
        <w:pStyle w:val="ListParagraph"/>
        <w:numPr>
          <w:ilvl w:val="0"/>
          <w:numId w:val="30"/>
        </w:numPr>
      </w:pPr>
      <w:r>
        <w:t>Incidence of minimal trauma fracture</w:t>
      </w:r>
    </w:p>
    <w:p w:rsidR="00D8067A" w:rsidRDefault="00D8067A" w:rsidP="00615E23">
      <w:pPr>
        <w:pStyle w:val="ListParagraph"/>
        <w:numPr>
          <w:ilvl w:val="0"/>
          <w:numId w:val="30"/>
        </w:numPr>
      </w:pPr>
      <w:r>
        <w:t>Incidence of all fractures</w:t>
      </w:r>
    </w:p>
    <w:p w:rsidR="00D8067A" w:rsidRPr="00A547A9" w:rsidRDefault="00D8067A" w:rsidP="00615E23">
      <w:pPr>
        <w:pStyle w:val="ListParagraph"/>
        <w:numPr>
          <w:ilvl w:val="0"/>
          <w:numId w:val="15"/>
        </w:numPr>
        <w:rPr>
          <w:lang w:val="en-GB" w:eastAsia="ja-JP"/>
        </w:rPr>
      </w:pPr>
      <w:r w:rsidRPr="00A547A9">
        <w:rPr>
          <w:lang w:val="en-GB" w:eastAsia="ja-JP"/>
        </w:rPr>
        <w:t>Patient related quality of life</w:t>
      </w:r>
    </w:p>
    <w:p w:rsidR="00D8067A" w:rsidRPr="00A547A9" w:rsidRDefault="00D8067A" w:rsidP="00A547A9">
      <w:pPr>
        <w:rPr>
          <w:lang w:val="en-GB" w:eastAsia="ja-JP"/>
        </w:rPr>
      </w:pPr>
      <w:r w:rsidRPr="00A547A9">
        <w:rPr>
          <w:lang w:val="en-GB" w:eastAsia="ja-JP"/>
        </w:rPr>
        <w:t>Secondary effectiveness</w:t>
      </w:r>
      <w:r>
        <w:rPr>
          <w:lang w:val="en-GB" w:eastAsia="ja-JP"/>
        </w:rPr>
        <w:t>:</w:t>
      </w:r>
    </w:p>
    <w:p w:rsidR="00D8067A" w:rsidRDefault="00D8067A" w:rsidP="00615E23">
      <w:pPr>
        <w:pStyle w:val="ListParagraph"/>
        <w:numPr>
          <w:ilvl w:val="0"/>
          <w:numId w:val="16"/>
        </w:numPr>
        <w:rPr>
          <w:lang w:val="en-GB" w:eastAsia="ja-JP"/>
        </w:rPr>
      </w:pPr>
      <w:r>
        <w:rPr>
          <w:lang w:val="en-GB" w:eastAsia="ja-JP"/>
        </w:rPr>
        <w:t>Change in m</w:t>
      </w:r>
      <w:r w:rsidRPr="00A547A9">
        <w:rPr>
          <w:lang w:val="en-GB" w:eastAsia="ja-JP"/>
        </w:rPr>
        <w:t>orbidity/mortality</w:t>
      </w:r>
    </w:p>
    <w:p w:rsidR="009970EB" w:rsidRDefault="009970EB" w:rsidP="009970EB">
      <w:pPr>
        <w:pStyle w:val="ListParagraph"/>
        <w:numPr>
          <w:ilvl w:val="0"/>
          <w:numId w:val="16"/>
        </w:numPr>
        <w:rPr>
          <w:lang w:val="en-GB" w:eastAsia="ja-JP"/>
        </w:rPr>
      </w:pPr>
      <w:r>
        <w:rPr>
          <w:lang w:val="en-GB" w:eastAsia="ja-JP"/>
        </w:rPr>
        <w:t>B</w:t>
      </w:r>
      <w:r w:rsidRPr="00A547A9">
        <w:rPr>
          <w:lang w:val="en-GB" w:eastAsia="ja-JP"/>
        </w:rPr>
        <w:t xml:space="preserve">one mineral density (as measured by </w:t>
      </w:r>
      <w:r>
        <w:rPr>
          <w:lang w:val="en-GB" w:eastAsia="ja-JP"/>
        </w:rPr>
        <w:t>T-score, or by Z-score in premenopausal women</w:t>
      </w:r>
      <w:r w:rsidRPr="00A547A9">
        <w:rPr>
          <w:lang w:val="en-GB" w:eastAsia="ja-JP"/>
        </w:rPr>
        <w:t>)</w:t>
      </w:r>
    </w:p>
    <w:p w:rsidR="00D8067A" w:rsidRPr="00A547A9" w:rsidRDefault="00D8067A" w:rsidP="00A547A9">
      <w:pPr>
        <w:rPr>
          <w:lang w:val="en-GB" w:eastAsia="ja-JP"/>
        </w:rPr>
      </w:pPr>
      <w:r w:rsidRPr="00A547A9">
        <w:rPr>
          <w:lang w:val="en-GB" w:eastAsia="ja-JP"/>
        </w:rPr>
        <w:t>Safety</w:t>
      </w:r>
      <w:r>
        <w:rPr>
          <w:lang w:val="en-GB" w:eastAsia="ja-JP"/>
        </w:rPr>
        <w:t xml:space="preserve"> outcomes and adverse events:</w:t>
      </w:r>
      <w:r w:rsidRPr="00A547A9">
        <w:rPr>
          <w:lang w:val="en-GB" w:eastAsia="ja-JP"/>
        </w:rPr>
        <w:t xml:space="preserve"> </w:t>
      </w:r>
    </w:p>
    <w:p w:rsidR="00D8067A" w:rsidRPr="00A547A9" w:rsidRDefault="00D8067A" w:rsidP="00615E23">
      <w:pPr>
        <w:pStyle w:val="ListParagraph"/>
        <w:numPr>
          <w:ilvl w:val="0"/>
          <w:numId w:val="17"/>
        </w:numPr>
        <w:rPr>
          <w:lang w:val="en-GB" w:eastAsia="ja-JP"/>
        </w:rPr>
      </w:pPr>
      <w:r w:rsidRPr="00A547A9">
        <w:rPr>
          <w:lang w:val="en-GB" w:eastAsia="ja-JP"/>
        </w:rPr>
        <w:t xml:space="preserve">Any adverse event </w:t>
      </w:r>
      <w:r>
        <w:rPr>
          <w:lang w:val="en-GB" w:eastAsia="ja-JP"/>
        </w:rPr>
        <w:t>related to scanning or treatments</w:t>
      </w:r>
    </w:p>
    <w:p w:rsidR="00D8067A" w:rsidRPr="00614D03" w:rsidRDefault="00D8067A" w:rsidP="00615E23">
      <w:pPr>
        <w:pStyle w:val="ListParagraph"/>
        <w:numPr>
          <w:ilvl w:val="0"/>
          <w:numId w:val="17"/>
        </w:numPr>
        <w:rPr>
          <w:lang w:val="en-GB" w:eastAsia="ja-JP"/>
        </w:rPr>
      </w:pPr>
      <w:r w:rsidRPr="00614D03">
        <w:rPr>
          <w:lang w:val="en-GB" w:eastAsia="ja-JP"/>
        </w:rPr>
        <w:t>Any adverse event arising from exposure to ionising radiation</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D8067A" w:rsidRPr="00614D03" w:rsidTr="00614D03">
        <w:tc>
          <w:tcPr>
            <w:tcW w:w="9242" w:type="dxa"/>
            <w:tcBorders>
              <w:top w:val="single" w:sz="18" w:space="0" w:color="auto"/>
            </w:tcBorders>
          </w:tcPr>
          <w:p w:rsidR="00D8067A" w:rsidRPr="00614D03" w:rsidRDefault="00D8067A" w:rsidP="00614D03">
            <w:pPr>
              <w:tabs>
                <w:tab w:val="left" w:pos="2835"/>
              </w:tabs>
              <w:spacing w:before="40"/>
              <w:rPr>
                <w:lang w:eastAsia="ja-JP"/>
              </w:rPr>
            </w:pPr>
            <w:r w:rsidRPr="00614D03">
              <w:rPr>
                <w:lang w:eastAsia="ja-JP"/>
              </w:rPr>
              <w:t>Please note:</w:t>
            </w:r>
          </w:p>
        </w:tc>
      </w:tr>
      <w:tr w:rsidR="00D8067A" w:rsidRPr="00614D03" w:rsidTr="00614D03">
        <w:tc>
          <w:tcPr>
            <w:tcW w:w="9242" w:type="dxa"/>
          </w:tcPr>
          <w:p w:rsidR="00D8067A" w:rsidRPr="00614D03" w:rsidRDefault="00D071C8" w:rsidP="009970EB">
            <w:pPr>
              <w:numPr>
                <w:ilvl w:val="0"/>
                <w:numId w:val="19"/>
              </w:numPr>
              <w:tabs>
                <w:tab w:val="left" w:pos="2835"/>
              </w:tabs>
              <w:spacing w:before="40"/>
              <w:contextualSpacing/>
            </w:pPr>
            <w:r>
              <w:t>Incidence</w:t>
            </w:r>
            <w:r w:rsidR="009970EB">
              <w:t xml:space="preserve"> of minimal trauma fracture is the main primary outcome; however, f</w:t>
            </w:r>
            <w:r w:rsidR="00D8067A" w:rsidRPr="00614D03">
              <w:t xml:space="preserve">or </w:t>
            </w:r>
            <w:proofErr w:type="gramStart"/>
            <w:r w:rsidR="00D8067A" w:rsidRPr="00614D03">
              <w:t>this DAP</w:t>
            </w:r>
            <w:proofErr w:type="gramEnd"/>
            <w:r w:rsidR="00D8067A" w:rsidRPr="00614D03">
              <w:t>, PASC considers that bone mineral density loss is an appropriate surrogate for minimal trauma fracture.</w:t>
            </w:r>
          </w:p>
        </w:tc>
      </w:tr>
      <w:tr w:rsidR="00D8067A" w:rsidRPr="00614D03" w:rsidTr="00614D03">
        <w:tc>
          <w:tcPr>
            <w:tcW w:w="9242" w:type="dxa"/>
          </w:tcPr>
          <w:p w:rsidR="00D8067A" w:rsidRPr="00614D03" w:rsidRDefault="00D8067A" w:rsidP="00615E23">
            <w:pPr>
              <w:numPr>
                <w:ilvl w:val="0"/>
                <w:numId w:val="19"/>
              </w:numPr>
              <w:tabs>
                <w:tab w:val="left" w:pos="2835"/>
              </w:tabs>
              <w:spacing w:before="40"/>
              <w:contextualSpacing/>
            </w:pPr>
            <w:r w:rsidRPr="00614D03">
              <w:t>Where possible, the outcome of minimal trauma fracture should be disaggregated to type and location of fracture (</w:t>
            </w:r>
            <w:proofErr w:type="spellStart"/>
            <w:r w:rsidRPr="00614D03">
              <w:t>eg</w:t>
            </w:r>
            <w:proofErr w:type="spellEnd"/>
            <w:r w:rsidRPr="00614D03">
              <w:t xml:space="preserve"> hip </w:t>
            </w:r>
            <w:proofErr w:type="spellStart"/>
            <w:r w:rsidRPr="00614D03">
              <w:t>vs</w:t>
            </w:r>
            <w:proofErr w:type="spellEnd"/>
            <w:r w:rsidRPr="00614D03">
              <w:t xml:space="preserve"> non-hip) as this is important to translate to any possible effects on life-years and quality-adjusted life-years.</w:t>
            </w:r>
          </w:p>
        </w:tc>
      </w:tr>
      <w:tr w:rsidR="00D8067A" w:rsidRPr="00614D03" w:rsidTr="00614D03">
        <w:tc>
          <w:tcPr>
            <w:tcW w:w="9242" w:type="dxa"/>
          </w:tcPr>
          <w:p w:rsidR="00D8067A" w:rsidRPr="00614D03" w:rsidRDefault="00D8067A" w:rsidP="00615E23">
            <w:pPr>
              <w:numPr>
                <w:ilvl w:val="0"/>
                <w:numId w:val="19"/>
              </w:numPr>
              <w:tabs>
                <w:tab w:val="left" w:pos="2835"/>
              </w:tabs>
              <w:spacing w:before="40"/>
              <w:contextualSpacing/>
            </w:pPr>
            <w:r w:rsidRPr="00614D03">
              <w:lastRenderedPageBreak/>
              <w:t>The site of the DXA exam (for example, proximal femur, lumbar spine, hip, distal radius) should be reported for all studies where possible. This is to account for any variability related to the site of the body where the testing is conducted.</w:t>
            </w:r>
          </w:p>
        </w:tc>
      </w:tr>
      <w:tr w:rsidR="00D8067A" w:rsidRPr="00614D03" w:rsidTr="00614D03">
        <w:tc>
          <w:tcPr>
            <w:tcW w:w="9242" w:type="dxa"/>
          </w:tcPr>
          <w:p w:rsidR="00D8067A" w:rsidRPr="00614D03" w:rsidRDefault="00D8067A" w:rsidP="00615E23">
            <w:pPr>
              <w:numPr>
                <w:ilvl w:val="0"/>
                <w:numId w:val="19"/>
              </w:numPr>
              <w:tabs>
                <w:tab w:val="left" w:pos="2835"/>
              </w:tabs>
              <w:spacing w:before="40"/>
              <w:contextualSpacing/>
            </w:pPr>
            <w:r w:rsidRPr="00614D03">
              <w:t>Where women are re-tested or monitored, it should be noted whether subsequent tests are undertaken on the same machine, or a different machine but the same model, or at the same or different practice. This is to account for any variability of test results between machines.</w:t>
            </w:r>
          </w:p>
        </w:tc>
      </w:tr>
      <w:tr w:rsidR="00D8067A" w:rsidRPr="00614D03" w:rsidTr="00614D03">
        <w:tc>
          <w:tcPr>
            <w:tcW w:w="9242" w:type="dxa"/>
          </w:tcPr>
          <w:p w:rsidR="00D8067A" w:rsidRPr="00614D03" w:rsidRDefault="00D8067A" w:rsidP="00615E23">
            <w:pPr>
              <w:numPr>
                <w:ilvl w:val="0"/>
                <w:numId w:val="19"/>
              </w:numPr>
              <w:tabs>
                <w:tab w:val="left" w:pos="2835"/>
              </w:tabs>
              <w:spacing w:before="40"/>
              <w:contextualSpacing/>
            </w:pPr>
            <w:r w:rsidRPr="00614D03">
              <w:t xml:space="preserve">PASC acknowledges that DXA is associated with low radiation doses, but that increasing the availability of DXA may significantly increase the exposure of the proposed population to ionising radiation, especially when this population includes young </w:t>
            </w:r>
            <w:r>
              <w:t>women</w:t>
            </w:r>
            <w:r w:rsidRPr="00614D03">
              <w:t>. This issue should be addressed in the assessment of evidence.</w:t>
            </w:r>
          </w:p>
        </w:tc>
      </w:tr>
      <w:tr w:rsidR="00D8067A" w:rsidRPr="00614D03" w:rsidTr="00614D03">
        <w:tc>
          <w:tcPr>
            <w:tcW w:w="9242" w:type="dxa"/>
            <w:tcBorders>
              <w:bottom w:val="single" w:sz="18" w:space="0" w:color="auto"/>
            </w:tcBorders>
          </w:tcPr>
          <w:p w:rsidR="00D8067A" w:rsidRPr="00614D03" w:rsidRDefault="00D8067A" w:rsidP="00C6264F">
            <w:pPr>
              <w:tabs>
                <w:tab w:val="left" w:pos="2835"/>
              </w:tabs>
              <w:spacing w:before="40"/>
              <w:contextualSpacing/>
            </w:pPr>
          </w:p>
        </w:tc>
      </w:tr>
    </w:tbl>
    <w:p w:rsidR="00D8067A" w:rsidRDefault="00D8067A" w:rsidP="00D34BAD">
      <w:pPr>
        <w:pStyle w:val="Heading2"/>
        <w:spacing w:after="240"/>
      </w:pPr>
      <w:bookmarkStart w:id="41" w:name="_Toc335905423"/>
      <w:bookmarkStart w:id="42" w:name="_Toc362968498"/>
      <w:r>
        <w:t>Health care resources</w:t>
      </w:r>
      <w:bookmarkEnd w:id="41"/>
      <w:bookmarkEnd w:id="42"/>
    </w:p>
    <w:p w:rsidR="00D8067A" w:rsidRPr="0030146D" w:rsidRDefault="00D8067A" w:rsidP="00D23A63">
      <w:pPr>
        <w:rPr>
          <w:lang w:eastAsia="ja-JP"/>
        </w:rPr>
      </w:pPr>
      <w:bookmarkStart w:id="43" w:name="_Ref283143211"/>
      <w:bookmarkStart w:id="44" w:name="_Ref283143206"/>
      <w:r>
        <w:rPr>
          <w:lang w:eastAsia="ja-JP"/>
        </w:rPr>
        <w:t>In terms of healthcare resource information, all issues and data inputs will be examined and reported in full in the assessment report.</w:t>
      </w:r>
    </w:p>
    <w:p w:rsidR="00D8067A" w:rsidRDefault="00D8067A">
      <w:pPr>
        <w:spacing w:after="0" w:line="240" w:lineRule="auto"/>
        <w:jc w:val="left"/>
        <w:rPr>
          <w:rFonts w:eastAsia="Times New Roman"/>
          <w:i/>
          <w:lang w:eastAsia="en-US"/>
        </w:rPr>
      </w:pPr>
      <w:r>
        <w:rPr>
          <w:rFonts w:eastAsia="Times New Roman"/>
          <w:i/>
          <w:lang w:eastAsia="en-US"/>
        </w:rPr>
        <w:br w:type="page"/>
      </w:r>
    </w:p>
    <w:bookmarkEnd w:id="43"/>
    <w:bookmarkEnd w:id="44"/>
    <w:p w:rsidR="00D8067A" w:rsidRDefault="00D8067A" w:rsidP="005E19F7">
      <w:pPr>
        <w:pStyle w:val="Caption"/>
      </w:pPr>
      <w:r>
        <w:lastRenderedPageBreak/>
        <w:t xml:space="preserve">Table </w:t>
      </w:r>
      <w:r w:rsidR="00876F0F">
        <w:fldChar w:fldCharType="begin"/>
      </w:r>
      <w:r w:rsidR="00876F0F">
        <w:instrText xml:space="preserve"> SEQ Table \* ARABIC </w:instrText>
      </w:r>
      <w:r w:rsidR="00876F0F">
        <w:fldChar w:fldCharType="separate"/>
      </w:r>
      <w:r w:rsidR="00CD3C9F">
        <w:rPr>
          <w:noProof/>
        </w:rPr>
        <w:t>7</w:t>
      </w:r>
      <w:r w:rsidR="00876F0F">
        <w:rPr>
          <w:noProof/>
        </w:rPr>
        <w:fldChar w:fldCharType="end"/>
      </w:r>
      <w:r>
        <w:tab/>
        <w:t>List</w:t>
      </w:r>
      <w:r w:rsidRPr="00A34E9C">
        <w:t xml:space="preserve"> of resources to be considered in the economic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03"/>
        <w:gridCol w:w="1016"/>
        <w:gridCol w:w="768"/>
        <w:gridCol w:w="893"/>
        <w:gridCol w:w="914"/>
        <w:gridCol w:w="615"/>
        <w:gridCol w:w="530"/>
        <w:gridCol w:w="578"/>
        <w:gridCol w:w="595"/>
        <w:gridCol w:w="1248"/>
        <w:gridCol w:w="422"/>
      </w:tblGrid>
      <w:tr w:rsidR="00DF60B8" w:rsidRPr="00E400A9" w:rsidTr="00331FD5">
        <w:trPr>
          <w:tblHeader/>
        </w:trPr>
        <w:tc>
          <w:tcPr>
            <w:tcW w:w="0" w:type="auto"/>
            <w:vMerge w:val="restart"/>
          </w:tcPr>
          <w:p w:rsidR="00DF60B8" w:rsidRPr="00331FD5" w:rsidRDefault="00DF60B8" w:rsidP="00331FD5">
            <w:pPr>
              <w:keepNext/>
              <w:spacing w:after="0" w:line="240" w:lineRule="auto"/>
              <w:rPr>
                <w:rFonts w:ascii="Arial Narrow" w:hAnsi="Arial Narrow"/>
                <w:b/>
                <w:sz w:val="18"/>
              </w:rPr>
            </w:pPr>
          </w:p>
        </w:tc>
        <w:tc>
          <w:tcPr>
            <w:tcW w:w="0" w:type="auto"/>
            <w:vMerge w:val="restart"/>
          </w:tcPr>
          <w:p w:rsidR="00DF60B8" w:rsidRPr="00331FD5" w:rsidRDefault="00DF60B8" w:rsidP="00331FD5">
            <w:pPr>
              <w:keepNext/>
              <w:spacing w:after="0" w:line="240" w:lineRule="auto"/>
              <w:rPr>
                <w:rFonts w:ascii="Arial Narrow" w:hAnsi="Arial Narrow"/>
                <w:b/>
                <w:sz w:val="18"/>
              </w:rPr>
            </w:pPr>
            <w:r>
              <w:rPr>
                <w:rFonts w:ascii="Arial Narrow" w:hAnsi="Arial Narrow"/>
                <w:b/>
                <w:sz w:val="18"/>
              </w:rPr>
              <w:t>Provider of resource</w:t>
            </w:r>
          </w:p>
        </w:tc>
        <w:tc>
          <w:tcPr>
            <w:tcW w:w="0" w:type="auto"/>
            <w:vMerge w:val="restart"/>
          </w:tcPr>
          <w:p w:rsidR="00DF60B8" w:rsidRPr="00331FD5" w:rsidRDefault="00DF60B8" w:rsidP="00331FD5">
            <w:pPr>
              <w:keepNext/>
              <w:spacing w:after="0" w:line="240" w:lineRule="auto"/>
              <w:rPr>
                <w:rFonts w:ascii="Arial Narrow" w:hAnsi="Arial Narrow"/>
                <w:b/>
                <w:sz w:val="18"/>
              </w:rPr>
            </w:pPr>
            <w:r>
              <w:rPr>
                <w:rFonts w:ascii="Arial Narrow" w:hAnsi="Arial Narrow"/>
                <w:b/>
                <w:sz w:val="18"/>
              </w:rPr>
              <w:t>Setting in which resource is provided</w:t>
            </w:r>
          </w:p>
        </w:tc>
        <w:tc>
          <w:tcPr>
            <w:tcW w:w="0" w:type="auto"/>
            <w:vMerge w:val="restart"/>
          </w:tcPr>
          <w:p w:rsidR="00DF60B8" w:rsidRPr="00331FD5" w:rsidRDefault="00DF60B8" w:rsidP="00331FD5">
            <w:pPr>
              <w:keepNext/>
              <w:spacing w:after="0" w:line="240" w:lineRule="auto"/>
              <w:rPr>
                <w:rFonts w:ascii="Arial Narrow" w:hAnsi="Arial Narrow"/>
                <w:b/>
                <w:sz w:val="18"/>
              </w:rPr>
            </w:pPr>
            <w:r>
              <w:rPr>
                <w:rFonts w:ascii="Arial Narrow" w:hAnsi="Arial Narrow"/>
                <w:b/>
                <w:sz w:val="18"/>
              </w:rPr>
              <w:t>Proportion of patients receiving resource</w:t>
            </w:r>
          </w:p>
        </w:tc>
        <w:tc>
          <w:tcPr>
            <w:tcW w:w="0" w:type="auto"/>
            <w:vMerge w:val="restart"/>
          </w:tcPr>
          <w:p w:rsidR="00DF60B8" w:rsidRPr="00331FD5" w:rsidRDefault="00DF60B8" w:rsidP="00331FD5">
            <w:pPr>
              <w:keepNext/>
              <w:spacing w:after="0" w:line="240" w:lineRule="auto"/>
              <w:rPr>
                <w:rFonts w:ascii="Arial Narrow" w:hAnsi="Arial Narrow"/>
                <w:b/>
                <w:sz w:val="18"/>
              </w:rPr>
            </w:pPr>
            <w:r>
              <w:rPr>
                <w:rFonts w:ascii="Arial Narrow" w:hAnsi="Arial Narrow"/>
                <w:b/>
                <w:sz w:val="18"/>
              </w:rPr>
              <w:t>Number of units of resource per relevant time horizon per patient receiving resource</w:t>
            </w:r>
          </w:p>
        </w:tc>
        <w:tc>
          <w:tcPr>
            <w:tcW w:w="0" w:type="auto"/>
            <w:gridSpan w:val="6"/>
          </w:tcPr>
          <w:p w:rsidR="00DF60B8" w:rsidRPr="00331FD5" w:rsidRDefault="00DF60B8" w:rsidP="00331FD5">
            <w:pPr>
              <w:keepNext/>
              <w:spacing w:after="0" w:line="240" w:lineRule="auto"/>
              <w:rPr>
                <w:rFonts w:ascii="Arial Narrow" w:hAnsi="Arial Narrow"/>
                <w:b/>
                <w:sz w:val="18"/>
              </w:rPr>
            </w:pPr>
            <w:r>
              <w:rPr>
                <w:rFonts w:ascii="Arial Narrow" w:hAnsi="Arial Narrow"/>
                <w:b/>
                <w:sz w:val="18"/>
              </w:rPr>
              <w:t>Disaggregated unit cost</w:t>
            </w:r>
          </w:p>
        </w:tc>
      </w:tr>
      <w:tr w:rsidR="00DF60B8" w:rsidRPr="00E400A9" w:rsidTr="00331FD5">
        <w:trPr>
          <w:tblHeader/>
        </w:trPr>
        <w:tc>
          <w:tcPr>
            <w:tcW w:w="0" w:type="auto"/>
            <w:vMerge/>
          </w:tcPr>
          <w:p w:rsidR="00DF60B8" w:rsidRPr="00331FD5" w:rsidRDefault="00DF60B8" w:rsidP="00331FD5">
            <w:pPr>
              <w:keepNext/>
              <w:spacing w:after="0" w:line="240" w:lineRule="auto"/>
              <w:rPr>
                <w:rFonts w:ascii="Arial Narrow" w:hAnsi="Arial Narrow"/>
                <w:b/>
                <w:sz w:val="18"/>
              </w:rPr>
            </w:pPr>
          </w:p>
        </w:tc>
        <w:tc>
          <w:tcPr>
            <w:tcW w:w="0" w:type="auto"/>
            <w:vMerge/>
          </w:tcPr>
          <w:p w:rsidR="00DF60B8" w:rsidRPr="00331FD5" w:rsidRDefault="00DF60B8" w:rsidP="00331FD5">
            <w:pPr>
              <w:keepNext/>
              <w:spacing w:after="0" w:line="240" w:lineRule="auto"/>
              <w:rPr>
                <w:rFonts w:ascii="Arial Narrow" w:hAnsi="Arial Narrow"/>
                <w:b/>
                <w:sz w:val="18"/>
              </w:rPr>
            </w:pPr>
          </w:p>
        </w:tc>
        <w:tc>
          <w:tcPr>
            <w:tcW w:w="0" w:type="auto"/>
            <w:vMerge/>
          </w:tcPr>
          <w:p w:rsidR="00DF60B8" w:rsidRPr="00331FD5" w:rsidRDefault="00DF60B8" w:rsidP="00331FD5">
            <w:pPr>
              <w:keepNext/>
              <w:spacing w:after="0" w:line="240" w:lineRule="auto"/>
              <w:rPr>
                <w:rFonts w:ascii="Arial Narrow" w:hAnsi="Arial Narrow"/>
                <w:b/>
                <w:sz w:val="18"/>
              </w:rPr>
            </w:pPr>
          </w:p>
        </w:tc>
        <w:tc>
          <w:tcPr>
            <w:tcW w:w="0" w:type="auto"/>
            <w:vMerge/>
          </w:tcPr>
          <w:p w:rsidR="00DF60B8" w:rsidRPr="00331FD5" w:rsidRDefault="00DF60B8" w:rsidP="00331FD5">
            <w:pPr>
              <w:keepNext/>
              <w:spacing w:after="0" w:line="240" w:lineRule="auto"/>
              <w:rPr>
                <w:rFonts w:ascii="Arial Narrow" w:hAnsi="Arial Narrow"/>
                <w:b/>
                <w:sz w:val="18"/>
              </w:rPr>
            </w:pPr>
          </w:p>
        </w:tc>
        <w:tc>
          <w:tcPr>
            <w:tcW w:w="0" w:type="auto"/>
            <w:vMerge/>
          </w:tcPr>
          <w:p w:rsidR="00DF60B8" w:rsidRPr="00331FD5" w:rsidRDefault="00DF60B8" w:rsidP="00331FD5">
            <w:pPr>
              <w:keepNext/>
              <w:spacing w:after="0" w:line="240" w:lineRule="auto"/>
              <w:rPr>
                <w:rFonts w:ascii="Arial Narrow" w:hAnsi="Arial Narrow"/>
                <w:b/>
                <w:sz w:val="18"/>
              </w:rPr>
            </w:pPr>
          </w:p>
        </w:tc>
        <w:tc>
          <w:tcPr>
            <w:tcW w:w="0" w:type="auto"/>
          </w:tcPr>
          <w:p w:rsidR="00DF60B8" w:rsidRPr="00331FD5" w:rsidRDefault="00DF60B8" w:rsidP="00331FD5">
            <w:pPr>
              <w:keepNext/>
              <w:spacing w:after="0" w:line="240" w:lineRule="auto"/>
              <w:contextualSpacing/>
              <w:rPr>
                <w:rFonts w:ascii="Arial Narrow" w:hAnsi="Arial Narrow"/>
                <w:b/>
                <w:sz w:val="18"/>
              </w:rPr>
            </w:pPr>
            <w:r w:rsidRPr="00331FD5">
              <w:rPr>
                <w:rFonts w:ascii="Arial Narrow" w:hAnsi="Arial Narrow"/>
                <w:b/>
                <w:sz w:val="18"/>
              </w:rPr>
              <w:t>MBS</w:t>
            </w:r>
          </w:p>
        </w:tc>
        <w:tc>
          <w:tcPr>
            <w:tcW w:w="0" w:type="auto"/>
          </w:tcPr>
          <w:p w:rsidR="00DF60B8" w:rsidRPr="00331FD5" w:rsidRDefault="00DF60B8" w:rsidP="00331FD5">
            <w:pPr>
              <w:keepNext/>
              <w:spacing w:after="0" w:line="240" w:lineRule="auto"/>
              <w:contextualSpacing/>
              <w:rPr>
                <w:rFonts w:ascii="Arial Narrow" w:hAnsi="Arial Narrow"/>
                <w:b/>
                <w:sz w:val="18"/>
              </w:rPr>
            </w:pPr>
            <w:r w:rsidRPr="00331FD5">
              <w:rPr>
                <w:rFonts w:ascii="Arial Narrow" w:hAnsi="Arial Narrow"/>
                <w:b/>
                <w:sz w:val="18"/>
              </w:rPr>
              <w:t>Safety net</w:t>
            </w:r>
          </w:p>
        </w:tc>
        <w:tc>
          <w:tcPr>
            <w:tcW w:w="0" w:type="auto"/>
          </w:tcPr>
          <w:p w:rsidR="00DF60B8" w:rsidRPr="00331FD5" w:rsidRDefault="00DF60B8" w:rsidP="00331FD5">
            <w:pPr>
              <w:keepNext/>
              <w:spacing w:after="0" w:line="240" w:lineRule="auto"/>
              <w:rPr>
                <w:rFonts w:ascii="Arial Narrow" w:hAnsi="Arial Narrow"/>
                <w:b/>
                <w:sz w:val="18"/>
              </w:rPr>
            </w:pPr>
            <w:r w:rsidRPr="00331FD5">
              <w:rPr>
                <w:rFonts w:ascii="Arial Narrow" w:hAnsi="Arial Narrow"/>
                <w:b/>
                <w:sz w:val="18"/>
              </w:rPr>
              <w:t xml:space="preserve">Other </w:t>
            </w:r>
            <w:proofErr w:type="spellStart"/>
            <w:r w:rsidRPr="00331FD5">
              <w:rPr>
                <w:rFonts w:ascii="Arial Narrow" w:hAnsi="Arial Narrow"/>
                <w:b/>
                <w:sz w:val="18"/>
              </w:rPr>
              <w:t>govt</w:t>
            </w:r>
            <w:proofErr w:type="spellEnd"/>
            <w:r w:rsidRPr="00331FD5">
              <w:rPr>
                <w:rFonts w:ascii="Arial Narrow" w:hAnsi="Arial Narrow"/>
                <w:b/>
                <w:sz w:val="18"/>
              </w:rPr>
              <w:t xml:space="preserve"> budget</w:t>
            </w:r>
          </w:p>
        </w:tc>
        <w:tc>
          <w:tcPr>
            <w:tcW w:w="0" w:type="auto"/>
          </w:tcPr>
          <w:p w:rsidR="00DF60B8" w:rsidRPr="00331FD5" w:rsidRDefault="00DF60B8" w:rsidP="00331FD5">
            <w:pPr>
              <w:keepNext/>
              <w:spacing w:after="0" w:line="240" w:lineRule="auto"/>
              <w:rPr>
                <w:rFonts w:ascii="Arial Narrow" w:hAnsi="Arial Narrow"/>
                <w:b/>
                <w:sz w:val="18"/>
              </w:rPr>
            </w:pPr>
            <w:r w:rsidRPr="00331FD5">
              <w:rPr>
                <w:rFonts w:ascii="Arial Narrow" w:hAnsi="Arial Narrow"/>
                <w:b/>
                <w:sz w:val="18"/>
              </w:rPr>
              <w:t>Private health insurer</w:t>
            </w:r>
          </w:p>
        </w:tc>
        <w:tc>
          <w:tcPr>
            <w:tcW w:w="0" w:type="auto"/>
          </w:tcPr>
          <w:p w:rsidR="00DF60B8" w:rsidRPr="00331FD5" w:rsidRDefault="00DF60B8" w:rsidP="00331FD5">
            <w:pPr>
              <w:keepNext/>
              <w:spacing w:after="0" w:line="240" w:lineRule="auto"/>
              <w:rPr>
                <w:rFonts w:ascii="Arial Narrow" w:hAnsi="Arial Narrow"/>
                <w:b/>
                <w:sz w:val="18"/>
              </w:rPr>
            </w:pPr>
            <w:r w:rsidRPr="00331FD5">
              <w:rPr>
                <w:rFonts w:ascii="Arial Narrow" w:hAnsi="Arial Narrow"/>
                <w:b/>
                <w:sz w:val="18"/>
              </w:rPr>
              <w:t>Patient</w:t>
            </w:r>
          </w:p>
        </w:tc>
        <w:tc>
          <w:tcPr>
            <w:tcW w:w="0" w:type="auto"/>
          </w:tcPr>
          <w:p w:rsidR="00DF60B8" w:rsidRPr="00331FD5" w:rsidRDefault="00DF60B8" w:rsidP="00331FD5">
            <w:pPr>
              <w:keepNext/>
              <w:spacing w:after="0" w:line="240" w:lineRule="auto"/>
              <w:rPr>
                <w:rFonts w:ascii="Arial Narrow" w:hAnsi="Arial Narrow"/>
                <w:b/>
                <w:sz w:val="18"/>
              </w:rPr>
            </w:pPr>
            <w:r w:rsidRPr="00331FD5">
              <w:rPr>
                <w:rFonts w:ascii="Arial Narrow" w:hAnsi="Arial Narrow"/>
                <w:b/>
                <w:sz w:val="18"/>
              </w:rPr>
              <w:t>Total cost</w:t>
            </w:r>
          </w:p>
        </w:tc>
      </w:tr>
      <w:tr w:rsidR="00D8067A" w:rsidRPr="00E400A9" w:rsidTr="00331FD5">
        <w:tc>
          <w:tcPr>
            <w:tcW w:w="0" w:type="auto"/>
            <w:gridSpan w:val="11"/>
          </w:tcPr>
          <w:p w:rsidR="00D8067A" w:rsidRPr="00C6264F" w:rsidRDefault="00D8067A" w:rsidP="00331FD5">
            <w:pPr>
              <w:spacing w:after="0" w:line="240" w:lineRule="auto"/>
              <w:jc w:val="left"/>
              <w:rPr>
                <w:rFonts w:ascii="Arial Narrow" w:hAnsi="Arial Narrow"/>
                <w:sz w:val="18"/>
                <w:szCs w:val="18"/>
                <w:u w:val="single"/>
              </w:rPr>
            </w:pPr>
            <w:r w:rsidRPr="00331FD5">
              <w:rPr>
                <w:rFonts w:ascii="Arial Narrow" w:hAnsi="Arial Narrow"/>
                <w:sz w:val="18"/>
                <w:u w:val="single"/>
              </w:rPr>
              <w:t>Resources</w:t>
            </w:r>
            <w:r w:rsidRPr="00C6264F">
              <w:rPr>
                <w:rFonts w:ascii="Arial Narrow" w:hAnsi="Arial Narrow"/>
                <w:sz w:val="18"/>
                <w:szCs w:val="18"/>
                <w:u w:val="single"/>
              </w:rPr>
              <w:t xml:space="preserve"> provided to identify eligible population </w:t>
            </w: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Confirmation of age and risk factor status</w:t>
            </w:r>
          </w:p>
        </w:tc>
        <w:tc>
          <w:tcPr>
            <w:tcW w:w="0" w:type="auto"/>
          </w:tcPr>
          <w:p w:rsidR="00D8067A" w:rsidRPr="00331FD5" w:rsidRDefault="00D8067A" w:rsidP="00C6264F">
            <w:pPr>
              <w:spacing w:after="0" w:line="360" w:lineRule="auto"/>
              <w:ind w:left="720"/>
              <w:contextualSpacing/>
              <w:jc w:val="left"/>
              <w:rPr>
                <w:rFonts w:ascii="Arial Narrow" w:hAnsi="Arial Narrow"/>
                <w:sz w:val="18"/>
              </w:rPr>
            </w:pPr>
            <w:r w:rsidRPr="00331FD5">
              <w:rPr>
                <w:rFonts w:ascii="Arial Narrow" w:hAnsi="Arial Narrow"/>
                <w:sz w:val="18"/>
              </w:rPr>
              <w:t>GP</w:t>
            </w:r>
          </w:p>
        </w:tc>
        <w:tc>
          <w:tcPr>
            <w:tcW w:w="0" w:type="auto"/>
          </w:tcPr>
          <w:p w:rsidR="00D8067A" w:rsidRPr="00331FD5" w:rsidRDefault="00D8067A" w:rsidP="00C6264F">
            <w:pPr>
              <w:keepNext/>
              <w:spacing w:after="0" w:line="360" w:lineRule="auto"/>
              <w:jc w:val="left"/>
              <w:rPr>
                <w:rFonts w:ascii="Arial Narrow" w:hAnsi="Arial Narrow"/>
                <w:sz w:val="18"/>
              </w:rPr>
            </w:pPr>
            <w:r w:rsidRPr="00331FD5">
              <w:rPr>
                <w:rFonts w:ascii="Arial Narrow" w:hAnsi="Arial Narrow"/>
                <w:sz w:val="18"/>
              </w:rPr>
              <w:t>public</w:t>
            </w:r>
          </w:p>
        </w:tc>
        <w:tc>
          <w:tcPr>
            <w:tcW w:w="0" w:type="auto"/>
          </w:tcPr>
          <w:p w:rsidR="00D8067A" w:rsidRPr="00331FD5" w:rsidRDefault="00D8067A" w:rsidP="00C6264F">
            <w:pPr>
              <w:keepNext/>
              <w:spacing w:after="0" w:line="360" w:lineRule="auto"/>
              <w:jc w:val="left"/>
              <w:rPr>
                <w:rFonts w:ascii="Arial Narrow" w:hAnsi="Arial Narrow"/>
                <w:sz w:val="18"/>
              </w:rPr>
            </w:pPr>
            <w:r w:rsidRPr="00331FD5">
              <w:rPr>
                <w:rFonts w:ascii="Arial Narrow" w:hAnsi="Arial Narrow"/>
                <w:sz w:val="18"/>
              </w:rPr>
              <w:t>TBA</w:t>
            </w:r>
          </w:p>
        </w:tc>
        <w:tc>
          <w:tcPr>
            <w:tcW w:w="0" w:type="auto"/>
          </w:tcPr>
          <w:p w:rsidR="00D8067A" w:rsidRPr="00331FD5" w:rsidRDefault="00D8067A" w:rsidP="00C6264F">
            <w:pPr>
              <w:spacing w:after="0" w:line="360" w:lineRule="auto"/>
              <w:jc w:val="left"/>
              <w:rPr>
                <w:rFonts w:ascii="Arial Narrow" w:hAnsi="Arial Narrow"/>
                <w:sz w:val="18"/>
              </w:rPr>
            </w:pPr>
          </w:p>
        </w:tc>
        <w:tc>
          <w:tcPr>
            <w:tcW w:w="0" w:type="auto"/>
          </w:tcPr>
          <w:p w:rsidR="00D8067A" w:rsidRPr="00331FD5" w:rsidRDefault="00D8067A" w:rsidP="00C6264F">
            <w:pPr>
              <w:spacing w:after="0" w:line="360" w:lineRule="auto"/>
              <w:jc w:val="left"/>
              <w:rPr>
                <w:rFonts w:ascii="Arial Narrow" w:hAnsi="Arial Narrow"/>
                <w:sz w:val="18"/>
              </w:rPr>
            </w:pPr>
          </w:p>
        </w:tc>
        <w:tc>
          <w:tcPr>
            <w:tcW w:w="0" w:type="auto"/>
          </w:tcPr>
          <w:p w:rsidR="00D8067A" w:rsidRPr="00331FD5" w:rsidRDefault="00D8067A" w:rsidP="00C6264F">
            <w:pPr>
              <w:spacing w:after="0" w:line="360" w:lineRule="auto"/>
              <w:jc w:val="left"/>
              <w:rPr>
                <w:rFonts w:ascii="Arial Narrow" w:hAnsi="Arial Narrow"/>
                <w:sz w:val="18"/>
              </w:rPr>
            </w:pPr>
          </w:p>
        </w:tc>
        <w:tc>
          <w:tcPr>
            <w:tcW w:w="0" w:type="auto"/>
          </w:tcPr>
          <w:p w:rsidR="00D8067A" w:rsidRPr="00331FD5" w:rsidRDefault="00D8067A" w:rsidP="00C6264F">
            <w:pPr>
              <w:spacing w:after="0" w:line="360" w:lineRule="auto"/>
              <w:jc w:val="left"/>
              <w:rPr>
                <w:rFonts w:ascii="Arial Narrow" w:hAnsi="Arial Narrow"/>
                <w:sz w:val="18"/>
              </w:rPr>
            </w:pPr>
          </w:p>
        </w:tc>
        <w:tc>
          <w:tcPr>
            <w:tcW w:w="0" w:type="auto"/>
          </w:tcPr>
          <w:p w:rsidR="00D8067A" w:rsidRPr="00331FD5" w:rsidRDefault="00D8067A" w:rsidP="00C6264F">
            <w:pPr>
              <w:spacing w:after="0" w:line="360" w:lineRule="auto"/>
              <w:jc w:val="left"/>
              <w:rPr>
                <w:rFonts w:ascii="Arial Narrow" w:hAnsi="Arial Narrow"/>
                <w:sz w:val="18"/>
              </w:rPr>
            </w:pPr>
          </w:p>
        </w:tc>
        <w:tc>
          <w:tcPr>
            <w:tcW w:w="0" w:type="auto"/>
          </w:tcPr>
          <w:p w:rsidR="00D8067A" w:rsidRPr="00331FD5" w:rsidRDefault="00D8067A" w:rsidP="00C6264F">
            <w:pPr>
              <w:spacing w:after="0" w:line="360" w:lineRule="auto"/>
              <w:jc w:val="left"/>
              <w:rPr>
                <w:rFonts w:ascii="Arial Narrow" w:hAnsi="Arial Narrow"/>
                <w:sz w:val="18"/>
              </w:rPr>
            </w:pPr>
          </w:p>
        </w:tc>
        <w:tc>
          <w:tcPr>
            <w:tcW w:w="0" w:type="auto"/>
          </w:tcPr>
          <w:p w:rsidR="00D8067A" w:rsidRPr="00331FD5" w:rsidRDefault="00D8067A" w:rsidP="00C6264F">
            <w:pPr>
              <w:spacing w:after="0" w:line="360" w:lineRule="auto"/>
              <w:jc w:val="left"/>
              <w:rPr>
                <w:rFonts w:ascii="Arial Narrow" w:hAnsi="Arial Narrow"/>
                <w:sz w:val="18"/>
              </w:rPr>
            </w:pPr>
          </w:p>
        </w:tc>
      </w:tr>
      <w:tr w:rsidR="00D8067A" w:rsidRPr="00E400A9" w:rsidTr="00331FD5">
        <w:tc>
          <w:tcPr>
            <w:tcW w:w="0" w:type="auto"/>
            <w:gridSpan w:val="11"/>
          </w:tcPr>
          <w:p w:rsidR="00D8067A" w:rsidRPr="00331FD5" w:rsidRDefault="00D8067A" w:rsidP="00331FD5">
            <w:pPr>
              <w:spacing w:after="0" w:line="240" w:lineRule="auto"/>
              <w:jc w:val="left"/>
              <w:rPr>
                <w:rFonts w:ascii="Arial Narrow" w:hAnsi="Arial Narrow"/>
                <w:sz w:val="18"/>
                <w:u w:val="single"/>
              </w:rPr>
            </w:pPr>
            <w:r w:rsidRPr="00331FD5">
              <w:rPr>
                <w:rFonts w:ascii="Arial Narrow" w:hAnsi="Arial Narrow"/>
                <w:sz w:val="18"/>
                <w:u w:val="single"/>
              </w:rPr>
              <w:t>Resources provided to deliver comparator 1</w:t>
            </w: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GP visit to assess risk and discuss lifestyle management</w:t>
            </w:r>
          </w:p>
        </w:tc>
        <w:tc>
          <w:tcPr>
            <w:tcW w:w="0" w:type="auto"/>
          </w:tcPr>
          <w:p w:rsidR="00D8067A" w:rsidRPr="00331FD5" w:rsidRDefault="00D8067A" w:rsidP="00331FD5">
            <w:pPr>
              <w:spacing w:after="0" w:line="240" w:lineRule="auto"/>
              <w:ind w:left="720"/>
              <w:contextualSpacing/>
              <w:jc w:val="left"/>
              <w:rPr>
                <w:rFonts w:ascii="Arial Narrow" w:hAnsi="Arial Narrow"/>
                <w:sz w:val="18"/>
              </w:rPr>
            </w:pPr>
            <w:r w:rsidRPr="00331FD5">
              <w:rPr>
                <w:rFonts w:ascii="Arial Narrow" w:hAnsi="Arial Narrow"/>
                <w:sz w:val="18"/>
              </w:rPr>
              <w:t>GP</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public</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8067A" w:rsidRPr="00E400A9" w:rsidTr="00331FD5">
        <w:tc>
          <w:tcPr>
            <w:tcW w:w="0" w:type="auto"/>
            <w:gridSpan w:val="11"/>
          </w:tcPr>
          <w:p w:rsidR="00D8067A" w:rsidRPr="00331FD5" w:rsidRDefault="00D8067A" w:rsidP="00331FD5">
            <w:pPr>
              <w:spacing w:after="0" w:line="240" w:lineRule="auto"/>
              <w:jc w:val="left"/>
              <w:rPr>
                <w:rFonts w:ascii="Arial Narrow" w:hAnsi="Arial Narrow"/>
                <w:sz w:val="18"/>
                <w:u w:val="single"/>
              </w:rPr>
            </w:pPr>
            <w:r w:rsidRPr="00331FD5">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 xml:space="preserve">Dietary supplements </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Patient cost</w:t>
            </w: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99195F"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Costs associated with a fracture</w:t>
            </w:r>
          </w:p>
        </w:tc>
        <w:tc>
          <w:tcPr>
            <w:tcW w:w="0" w:type="auto"/>
          </w:tcPr>
          <w:p w:rsidR="00D8067A" w:rsidRPr="00331FD5" w:rsidRDefault="00D8067A" w:rsidP="00331FD5">
            <w:pPr>
              <w:spacing w:after="0" w:line="240" w:lineRule="auto"/>
              <w:jc w:val="left"/>
              <w:rPr>
                <w:rFonts w:ascii="Arial Narrow" w:hAnsi="Arial Narrow"/>
                <w:sz w:val="18"/>
              </w:rPr>
            </w:pPr>
            <w:r w:rsidRPr="00331FD5">
              <w:rPr>
                <w:rFonts w:ascii="Arial Narrow" w:hAnsi="Arial Narrow"/>
                <w:sz w:val="18"/>
              </w:rPr>
              <w:t>Public or private hospital</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99195F"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Costs associated with recovery from a fracture</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r w:rsidRPr="00331FD5">
              <w:rPr>
                <w:rFonts w:ascii="Arial Narrow" w:hAnsi="Arial Narrow"/>
                <w:sz w:val="18"/>
              </w:rPr>
              <w:t>Patient cost</w:t>
            </w: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 xml:space="preserve">Resource 2, </w:t>
            </w:r>
            <w:proofErr w:type="spellStart"/>
            <w:r w:rsidRPr="00331FD5">
              <w:rPr>
                <w:rFonts w:ascii="Arial Narrow" w:hAnsi="Arial Narrow"/>
                <w:sz w:val="18"/>
              </w:rPr>
              <w:t>etc</w:t>
            </w:r>
            <w:proofErr w:type="spellEnd"/>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keepNext/>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8067A" w:rsidRPr="00E400A9" w:rsidTr="00331FD5">
        <w:tc>
          <w:tcPr>
            <w:tcW w:w="0" w:type="auto"/>
            <w:gridSpan w:val="11"/>
          </w:tcPr>
          <w:p w:rsidR="00D8067A" w:rsidRPr="00331FD5" w:rsidRDefault="00D8067A" w:rsidP="00331FD5">
            <w:pPr>
              <w:spacing w:after="0" w:line="240" w:lineRule="auto"/>
              <w:jc w:val="left"/>
              <w:rPr>
                <w:rFonts w:ascii="Arial Narrow" w:hAnsi="Arial Narrow"/>
                <w:sz w:val="18"/>
                <w:u w:val="single"/>
              </w:rPr>
            </w:pPr>
            <w:r w:rsidRPr="00331FD5">
              <w:rPr>
                <w:rFonts w:ascii="Arial Narrow" w:hAnsi="Arial Narrow"/>
                <w:sz w:val="18"/>
                <w:u w:val="single"/>
              </w:rPr>
              <w:t>Resources provided to deliver proposed intervention</w:t>
            </w: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 xml:space="preserve">Dual-Energy X-ray absorptiometry device </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Technician</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Mainly private, but there may be some public</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TBA</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 xml:space="preserve">1 per patient </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MBS</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GP visit for referral to DXA</w:t>
            </w:r>
          </w:p>
        </w:tc>
        <w:tc>
          <w:tcPr>
            <w:tcW w:w="0" w:type="auto"/>
          </w:tcPr>
          <w:p w:rsidR="00D8067A" w:rsidRPr="00331FD5" w:rsidRDefault="00D8067A" w:rsidP="00331FD5">
            <w:pPr>
              <w:spacing w:after="0" w:line="240" w:lineRule="auto"/>
              <w:ind w:left="720"/>
              <w:contextualSpacing/>
              <w:jc w:val="left"/>
              <w:rPr>
                <w:rFonts w:ascii="Arial Narrow" w:hAnsi="Arial Narrow"/>
                <w:sz w:val="18"/>
              </w:rPr>
            </w:pPr>
            <w:r w:rsidRPr="00331FD5">
              <w:rPr>
                <w:rFonts w:ascii="Arial Narrow" w:hAnsi="Arial Narrow"/>
                <w:sz w:val="18"/>
              </w:rPr>
              <w:t>GP</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MBS</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331FD5"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GP visit to discuss results and to provide advice</w:t>
            </w:r>
          </w:p>
        </w:tc>
        <w:tc>
          <w:tcPr>
            <w:tcW w:w="0" w:type="auto"/>
          </w:tcPr>
          <w:p w:rsidR="00D8067A" w:rsidRPr="00331FD5" w:rsidRDefault="00D8067A" w:rsidP="00331FD5">
            <w:pPr>
              <w:spacing w:after="0" w:line="240" w:lineRule="auto"/>
              <w:ind w:left="720"/>
              <w:contextualSpacing/>
              <w:jc w:val="left"/>
              <w:rPr>
                <w:rFonts w:ascii="Arial Narrow" w:hAnsi="Arial Narrow"/>
                <w:sz w:val="18"/>
              </w:rPr>
            </w:pPr>
            <w:r w:rsidRPr="00331FD5">
              <w:rPr>
                <w:rFonts w:ascii="Arial Narrow" w:hAnsi="Arial Narrow"/>
                <w:sz w:val="18"/>
              </w:rPr>
              <w:t>GP</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MBS</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8067A" w:rsidRPr="00E400A9" w:rsidTr="00331FD5">
        <w:tc>
          <w:tcPr>
            <w:tcW w:w="0" w:type="auto"/>
            <w:gridSpan w:val="11"/>
          </w:tcPr>
          <w:p w:rsidR="00D8067A" w:rsidRPr="00331FD5" w:rsidRDefault="00D8067A" w:rsidP="00331FD5">
            <w:pPr>
              <w:spacing w:after="0" w:line="240" w:lineRule="auto"/>
              <w:jc w:val="left"/>
              <w:rPr>
                <w:rFonts w:ascii="Arial Narrow" w:hAnsi="Arial Narrow"/>
                <w:sz w:val="18"/>
                <w:u w:val="single"/>
              </w:rPr>
            </w:pPr>
            <w:r w:rsidRPr="00331FD5">
              <w:rPr>
                <w:rFonts w:ascii="Arial Narrow" w:hAnsi="Arial Narrow"/>
                <w:sz w:val="18"/>
                <w:u w:val="single"/>
              </w:rPr>
              <w:t>Resources provided in association with proposed intervention</w:t>
            </w: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Dietary supplements</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ind w:left="720"/>
              <w:contextualSpacing/>
              <w:jc w:val="left"/>
              <w:rPr>
                <w:rFonts w:ascii="Arial Narrow" w:hAnsi="Arial Narrow"/>
                <w:sz w:val="18"/>
              </w:rPr>
            </w:pPr>
            <w:r w:rsidRPr="00331FD5">
              <w:rPr>
                <w:rFonts w:ascii="Arial Narrow" w:hAnsi="Arial Narrow"/>
                <w:sz w:val="18"/>
              </w:rPr>
              <w:t>Patient cost</w:t>
            </w: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Vitamin D test</w:t>
            </w:r>
          </w:p>
        </w:tc>
        <w:tc>
          <w:tcPr>
            <w:tcW w:w="0" w:type="auto"/>
          </w:tcPr>
          <w:p w:rsidR="00D8067A" w:rsidRPr="00331FD5" w:rsidRDefault="00D8067A" w:rsidP="00331FD5">
            <w:pPr>
              <w:spacing w:after="0" w:line="240" w:lineRule="auto"/>
              <w:ind w:left="720"/>
              <w:contextualSpacing/>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TBA</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EA173A">
            <w:pPr>
              <w:keepNext/>
              <w:spacing w:after="0" w:line="240" w:lineRule="auto"/>
              <w:jc w:val="left"/>
              <w:rPr>
                <w:rFonts w:ascii="Arial Narrow" w:hAnsi="Arial Narrow"/>
                <w:sz w:val="18"/>
              </w:rPr>
            </w:pPr>
            <w:r w:rsidRPr="00331FD5">
              <w:rPr>
                <w:rFonts w:ascii="Arial Narrow" w:hAnsi="Arial Narrow"/>
                <w:sz w:val="18"/>
              </w:rPr>
              <w:t>Fee $</w:t>
            </w:r>
            <w:r w:rsidR="00EA173A">
              <w:rPr>
                <w:rFonts w:ascii="Arial Narrow" w:hAnsi="Arial Narrow"/>
                <w:sz w:val="18"/>
              </w:rPr>
              <w:t>33.20</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Treatment with anti-</w:t>
            </w:r>
            <w:proofErr w:type="spellStart"/>
            <w:r w:rsidRPr="00331FD5">
              <w:rPr>
                <w:rFonts w:ascii="Arial Narrow" w:hAnsi="Arial Narrow"/>
                <w:sz w:val="18"/>
              </w:rPr>
              <w:t>resorptive</w:t>
            </w:r>
            <w:proofErr w:type="spellEnd"/>
            <w:r w:rsidRPr="00331FD5">
              <w:rPr>
                <w:rFonts w:ascii="Arial Narrow" w:hAnsi="Arial Narrow"/>
                <w:sz w:val="18"/>
              </w:rPr>
              <w:t xml:space="preserve"> agents</w:t>
            </w:r>
          </w:p>
        </w:tc>
        <w:tc>
          <w:tcPr>
            <w:tcW w:w="0" w:type="auto"/>
          </w:tcPr>
          <w:p w:rsidR="00D8067A" w:rsidRPr="00331FD5" w:rsidDel="0028037B" w:rsidRDefault="00D8067A" w:rsidP="00331FD5">
            <w:pPr>
              <w:keepNext/>
              <w:spacing w:after="0" w:line="240" w:lineRule="auto"/>
              <w:jc w:val="left"/>
              <w:rPr>
                <w:rFonts w:ascii="Arial Narrow" w:hAnsi="Arial Narrow"/>
                <w:sz w:val="18"/>
              </w:rPr>
            </w:pPr>
            <w:r w:rsidRPr="00331FD5">
              <w:rPr>
                <w:rFonts w:ascii="Arial Narrow" w:hAnsi="Arial Narrow"/>
                <w:sz w:val="18"/>
              </w:rPr>
              <w:t>Pharmacy</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Private</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Unknown</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Variable**</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 xml:space="preserve">$37.38 to $589.17 </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$5.60 to $34.20</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Costs associated with a fracture</w:t>
            </w:r>
          </w:p>
        </w:tc>
        <w:tc>
          <w:tcPr>
            <w:tcW w:w="0" w:type="auto"/>
          </w:tcPr>
          <w:p w:rsidR="00D8067A" w:rsidRPr="00331FD5" w:rsidRDefault="00D8067A" w:rsidP="00331FD5">
            <w:pPr>
              <w:keepNext/>
              <w:spacing w:after="0" w:line="240" w:lineRule="auto"/>
              <w:jc w:val="left"/>
              <w:rPr>
                <w:rFonts w:ascii="Arial Narrow" w:hAnsi="Arial Narrow"/>
                <w:sz w:val="18"/>
              </w:rPr>
            </w:pPr>
            <w:r w:rsidRPr="00331FD5">
              <w:rPr>
                <w:rFonts w:ascii="Arial Narrow" w:hAnsi="Arial Narrow"/>
                <w:sz w:val="18"/>
              </w:rPr>
              <w:t>Public or private hospital</w:t>
            </w: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c>
          <w:tcPr>
            <w:tcW w:w="0" w:type="auto"/>
          </w:tcPr>
          <w:p w:rsidR="00D8067A" w:rsidRPr="00331FD5" w:rsidRDefault="00D8067A" w:rsidP="00331FD5">
            <w:pPr>
              <w:spacing w:after="0" w:line="240" w:lineRule="auto"/>
              <w:jc w:val="left"/>
              <w:rPr>
                <w:rFonts w:ascii="Arial Narrow" w:hAnsi="Arial Narrow"/>
                <w:sz w:val="18"/>
              </w:rPr>
            </w:pPr>
          </w:p>
        </w:tc>
      </w:tr>
      <w:tr w:rsidR="00DF60B8" w:rsidRPr="00E400A9" w:rsidTr="00331FD5">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Costs associated with recovery from a fracture</w:t>
            </w: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r w:rsidRPr="00331FD5">
              <w:rPr>
                <w:rFonts w:ascii="Arial Narrow" w:hAnsi="Arial Narrow"/>
                <w:sz w:val="18"/>
              </w:rPr>
              <w:t>Patient cost</w:t>
            </w:r>
          </w:p>
        </w:tc>
        <w:tc>
          <w:tcPr>
            <w:tcW w:w="0" w:type="auto"/>
          </w:tcPr>
          <w:p w:rsidR="00D8067A" w:rsidRPr="00331FD5" w:rsidRDefault="00D8067A" w:rsidP="00331FD5">
            <w:pPr>
              <w:pStyle w:val="ListParagraph"/>
              <w:numPr>
                <w:ilvl w:val="2"/>
                <w:numId w:val="5"/>
              </w:numPr>
              <w:spacing w:after="0" w:line="240" w:lineRule="auto"/>
              <w:ind w:left="360" w:hanging="218"/>
              <w:jc w:val="left"/>
              <w:rPr>
                <w:rFonts w:ascii="Arial Narrow" w:hAnsi="Arial Narrow"/>
                <w:sz w:val="18"/>
              </w:rPr>
            </w:pPr>
          </w:p>
        </w:tc>
      </w:tr>
    </w:tbl>
    <w:p w:rsidR="00D8067A" w:rsidRDefault="00D8067A" w:rsidP="00D34BAD"/>
    <w:p w:rsidR="00D8067A" w:rsidRDefault="00D8067A" w:rsidP="00D34BAD">
      <w:pPr>
        <w:pStyle w:val="Heading1"/>
        <w:spacing w:after="240"/>
      </w:pPr>
      <w:bookmarkStart w:id="45" w:name="_Toc335905424"/>
      <w:bookmarkStart w:id="46" w:name="_Toc362968499"/>
      <w:r>
        <w:lastRenderedPageBreak/>
        <w:t>Proposed structure of economic evaluation (decision-analytic)</w:t>
      </w:r>
      <w:bookmarkEnd w:id="45"/>
      <w:bookmarkEnd w:id="46"/>
    </w:p>
    <w:p w:rsidR="00D8067A" w:rsidRDefault="00D8067A" w:rsidP="005E19F7">
      <w:pPr>
        <w:pStyle w:val="Caption"/>
      </w:pPr>
      <w:bookmarkStart w:id="47" w:name="_Ref358013990"/>
      <w:r>
        <w:t xml:space="preserve">Table </w:t>
      </w:r>
      <w:r w:rsidR="00876F0F">
        <w:fldChar w:fldCharType="begin"/>
      </w:r>
      <w:r w:rsidR="00876F0F">
        <w:instrText xml:space="preserve"> SEQ Table \* ARABIC </w:instrText>
      </w:r>
      <w:r w:rsidR="00876F0F">
        <w:fldChar w:fldCharType="separate"/>
      </w:r>
      <w:r w:rsidR="00CD3C9F">
        <w:rPr>
          <w:noProof/>
        </w:rPr>
        <w:t>8</w:t>
      </w:r>
      <w:r w:rsidR="00876F0F">
        <w:rPr>
          <w:noProof/>
        </w:rPr>
        <w:fldChar w:fldCharType="end"/>
      </w:r>
      <w:bookmarkEnd w:id="47"/>
      <w:r>
        <w:tab/>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2053"/>
        <w:gridCol w:w="1422"/>
        <w:gridCol w:w="2654"/>
        <w:gridCol w:w="1359"/>
      </w:tblGrid>
      <w:tr w:rsidR="00D8067A" w:rsidRPr="003B1BB0" w:rsidTr="00C6264F">
        <w:tc>
          <w:tcPr>
            <w:tcW w:w="1754" w:type="dxa"/>
          </w:tcPr>
          <w:p w:rsidR="00D8067A" w:rsidRPr="00C6264F" w:rsidRDefault="00D8067A" w:rsidP="001B2CF7">
            <w:pPr>
              <w:spacing w:after="0" w:line="360" w:lineRule="auto"/>
              <w:contextualSpacing/>
              <w:rPr>
                <w:rFonts w:ascii="Arial Narrow" w:hAnsi="Arial Narrow"/>
                <w:b/>
                <w:sz w:val="18"/>
                <w:szCs w:val="18"/>
              </w:rPr>
            </w:pPr>
            <w:r w:rsidRPr="00C6264F">
              <w:rPr>
                <w:rFonts w:ascii="Arial Narrow" w:hAnsi="Arial Narrow"/>
                <w:b/>
                <w:sz w:val="18"/>
                <w:szCs w:val="18"/>
              </w:rPr>
              <w:t>Patients</w:t>
            </w:r>
          </w:p>
        </w:tc>
        <w:tc>
          <w:tcPr>
            <w:tcW w:w="2053" w:type="dxa"/>
          </w:tcPr>
          <w:p w:rsidR="00D8067A" w:rsidRPr="00C6264F" w:rsidRDefault="00D8067A" w:rsidP="001B2CF7">
            <w:pPr>
              <w:spacing w:after="0" w:line="360" w:lineRule="auto"/>
              <w:jc w:val="center"/>
              <w:rPr>
                <w:rFonts w:ascii="Arial Narrow" w:hAnsi="Arial Narrow"/>
                <w:b/>
                <w:sz w:val="18"/>
                <w:szCs w:val="18"/>
              </w:rPr>
            </w:pPr>
            <w:r w:rsidRPr="00C6264F">
              <w:rPr>
                <w:rFonts w:ascii="Arial Narrow" w:hAnsi="Arial Narrow"/>
                <w:b/>
                <w:sz w:val="18"/>
                <w:szCs w:val="18"/>
              </w:rPr>
              <w:t>Intervention</w:t>
            </w:r>
          </w:p>
        </w:tc>
        <w:tc>
          <w:tcPr>
            <w:tcW w:w="1422" w:type="dxa"/>
          </w:tcPr>
          <w:p w:rsidR="00D8067A" w:rsidRPr="00C6264F" w:rsidRDefault="00D8067A" w:rsidP="001B2CF7">
            <w:pPr>
              <w:spacing w:after="0" w:line="360" w:lineRule="auto"/>
              <w:jc w:val="center"/>
              <w:rPr>
                <w:rFonts w:ascii="Arial Narrow" w:hAnsi="Arial Narrow"/>
                <w:b/>
                <w:sz w:val="18"/>
                <w:szCs w:val="18"/>
              </w:rPr>
            </w:pPr>
            <w:r w:rsidRPr="00C6264F">
              <w:rPr>
                <w:rFonts w:ascii="Arial Narrow" w:hAnsi="Arial Narrow"/>
                <w:b/>
                <w:sz w:val="18"/>
                <w:szCs w:val="18"/>
              </w:rPr>
              <w:t>Comparator</w:t>
            </w:r>
          </w:p>
        </w:tc>
        <w:tc>
          <w:tcPr>
            <w:tcW w:w="2654" w:type="dxa"/>
          </w:tcPr>
          <w:p w:rsidR="00D8067A" w:rsidRPr="00C6264F" w:rsidRDefault="00D8067A" w:rsidP="001B2CF7">
            <w:pPr>
              <w:spacing w:after="0" w:line="360" w:lineRule="auto"/>
              <w:jc w:val="center"/>
              <w:rPr>
                <w:rFonts w:ascii="Arial Narrow" w:hAnsi="Arial Narrow"/>
                <w:b/>
                <w:sz w:val="18"/>
                <w:szCs w:val="18"/>
              </w:rPr>
            </w:pPr>
            <w:r w:rsidRPr="00C6264F">
              <w:rPr>
                <w:rFonts w:ascii="Arial Narrow" w:hAnsi="Arial Narrow"/>
                <w:b/>
                <w:sz w:val="18"/>
                <w:szCs w:val="18"/>
              </w:rPr>
              <w:t>Outcomes to be assessed</w:t>
            </w:r>
          </w:p>
        </w:tc>
        <w:tc>
          <w:tcPr>
            <w:tcW w:w="1359" w:type="dxa"/>
          </w:tcPr>
          <w:p w:rsidR="00D8067A" w:rsidRPr="00C6264F" w:rsidRDefault="00D8067A" w:rsidP="001B2CF7">
            <w:pPr>
              <w:spacing w:after="0" w:line="360" w:lineRule="auto"/>
              <w:jc w:val="center"/>
              <w:rPr>
                <w:rFonts w:ascii="Arial Narrow" w:hAnsi="Arial Narrow"/>
                <w:b/>
                <w:sz w:val="18"/>
                <w:szCs w:val="18"/>
              </w:rPr>
            </w:pPr>
            <w:r w:rsidRPr="00C6264F">
              <w:rPr>
                <w:rFonts w:ascii="Arial Narrow" w:hAnsi="Arial Narrow"/>
                <w:b/>
                <w:sz w:val="18"/>
                <w:szCs w:val="18"/>
              </w:rPr>
              <w:t>Healthcare resources to be considered</w:t>
            </w:r>
          </w:p>
        </w:tc>
      </w:tr>
      <w:tr w:rsidR="00D8067A" w:rsidRPr="003B1BB0" w:rsidTr="00C6264F">
        <w:trPr>
          <w:trHeight w:val="1835"/>
        </w:trPr>
        <w:tc>
          <w:tcPr>
            <w:tcW w:w="1754" w:type="dxa"/>
          </w:tcPr>
          <w:p w:rsidR="00D8067A" w:rsidRPr="00C6264F" w:rsidRDefault="00D8067A" w:rsidP="00E97160">
            <w:pPr>
              <w:spacing w:after="0" w:line="360" w:lineRule="auto"/>
              <w:jc w:val="left"/>
              <w:rPr>
                <w:rFonts w:ascii="Arial Narrow" w:hAnsi="Arial Narrow"/>
                <w:sz w:val="18"/>
                <w:szCs w:val="18"/>
              </w:rPr>
            </w:pPr>
            <w:r w:rsidRPr="00C6264F">
              <w:rPr>
                <w:rFonts w:ascii="Arial Narrow" w:hAnsi="Arial Narrow"/>
                <w:sz w:val="18"/>
                <w:szCs w:val="18"/>
              </w:rPr>
              <w:t>Post-menopausal women with breast cancer taking aromatase inhibitors.</w:t>
            </w:r>
          </w:p>
          <w:p w:rsidR="00D8067A" w:rsidRPr="00C6264F" w:rsidRDefault="00D8067A" w:rsidP="001B2CF7">
            <w:pPr>
              <w:spacing w:after="0" w:line="360" w:lineRule="auto"/>
              <w:jc w:val="left"/>
              <w:rPr>
                <w:rFonts w:ascii="Arial Narrow" w:hAnsi="Arial Narrow"/>
                <w:sz w:val="18"/>
                <w:szCs w:val="18"/>
              </w:rPr>
            </w:pPr>
          </w:p>
        </w:tc>
        <w:tc>
          <w:tcPr>
            <w:tcW w:w="2053" w:type="dxa"/>
            <w:vMerge w:val="restart"/>
          </w:tcPr>
          <w:p w:rsidR="00D8067A" w:rsidRDefault="00D8067A" w:rsidP="008D7982">
            <w:pPr>
              <w:spacing w:after="0" w:line="360" w:lineRule="auto"/>
              <w:jc w:val="left"/>
              <w:rPr>
                <w:rFonts w:ascii="Arial Narrow" w:hAnsi="Arial Narrow"/>
                <w:sz w:val="18"/>
                <w:szCs w:val="18"/>
              </w:rPr>
            </w:pPr>
            <w:r w:rsidRPr="00C6264F">
              <w:rPr>
                <w:rFonts w:ascii="Arial Narrow" w:hAnsi="Arial Narrow"/>
                <w:sz w:val="18"/>
                <w:szCs w:val="18"/>
              </w:rPr>
              <w:t>DXA scan and treatment with</w:t>
            </w:r>
            <w:r>
              <w:rPr>
                <w:rFonts w:ascii="Arial Narrow" w:hAnsi="Arial Narrow"/>
                <w:sz w:val="18"/>
                <w:szCs w:val="18"/>
              </w:rPr>
              <w:t xml:space="preserve"> a prescription drug at a T-score of ≤ -2.5.</w:t>
            </w:r>
            <w:r w:rsidRPr="00C6264F">
              <w:rPr>
                <w:rFonts w:ascii="Arial Narrow" w:hAnsi="Arial Narrow"/>
                <w:sz w:val="18"/>
                <w:szCs w:val="18"/>
              </w:rPr>
              <w:t xml:space="preserve"> </w:t>
            </w:r>
          </w:p>
          <w:p w:rsidR="00D8067A" w:rsidRPr="008D7982" w:rsidRDefault="00D8067A" w:rsidP="008D7982">
            <w:pPr>
              <w:spacing w:after="0" w:line="360" w:lineRule="auto"/>
              <w:jc w:val="left"/>
              <w:rPr>
                <w:rFonts w:ascii="Arial Narrow" w:hAnsi="Arial Narrow"/>
                <w:sz w:val="18"/>
                <w:szCs w:val="18"/>
              </w:rPr>
            </w:pPr>
            <w:r w:rsidRPr="008D7982">
              <w:rPr>
                <w:rFonts w:ascii="Arial Narrow" w:hAnsi="Arial Narrow"/>
                <w:sz w:val="18"/>
                <w:szCs w:val="18"/>
              </w:rPr>
              <w:t>Follow-up options:</w:t>
            </w:r>
          </w:p>
          <w:p w:rsidR="00D8067A" w:rsidRPr="008D7982" w:rsidRDefault="00D8067A" w:rsidP="00615E23">
            <w:pPr>
              <w:pStyle w:val="ListParagraph"/>
              <w:numPr>
                <w:ilvl w:val="0"/>
                <w:numId w:val="39"/>
              </w:numPr>
              <w:spacing w:after="0" w:line="360" w:lineRule="auto"/>
              <w:jc w:val="left"/>
              <w:rPr>
                <w:rFonts w:ascii="Arial Narrow" w:hAnsi="Arial Narrow"/>
                <w:sz w:val="18"/>
                <w:szCs w:val="18"/>
              </w:rPr>
            </w:pPr>
            <w:r w:rsidRPr="008D7982">
              <w:rPr>
                <w:rFonts w:ascii="Arial Narrow" w:hAnsi="Arial Narrow"/>
                <w:sz w:val="18"/>
                <w:szCs w:val="18"/>
              </w:rPr>
              <w:t>Sensitivity analyses should investigate options of repeat scanning as advised by the evidence.</w:t>
            </w:r>
          </w:p>
          <w:p w:rsidR="00D8067A" w:rsidRPr="008D7982" w:rsidRDefault="00D8067A" w:rsidP="008D7982">
            <w:pPr>
              <w:spacing w:after="0" w:line="360" w:lineRule="auto"/>
              <w:jc w:val="left"/>
              <w:rPr>
                <w:rFonts w:ascii="Arial Narrow" w:hAnsi="Arial Narrow"/>
                <w:sz w:val="18"/>
                <w:szCs w:val="18"/>
              </w:rPr>
            </w:pPr>
            <w:r w:rsidRPr="008D7982">
              <w:rPr>
                <w:rFonts w:ascii="Arial Narrow" w:hAnsi="Arial Narrow"/>
                <w:sz w:val="18"/>
                <w:szCs w:val="18"/>
              </w:rPr>
              <w:t>Threshold to therapy options for sensitivity analysis:</w:t>
            </w:r>
          </w:p>
          <w:p w:rsidR="00D8067A" w:rsidRPr="008D7982" w:rsidRDefault="00D8067A" w:rsidP="00615E23">
            <w:pPr>
              <w:pStyle w:val="ListParagraph"/>
              <w:numPr>
                <w:ilvl w:val="0"/>
                <w:numId w:val="39"/>
              </w:numPr>
              <w:spacing w:after="0" w:line="360" w:lineRule="auto"/>
              <w:jc w:val="left"/>
              <w:rPr>
                <w:rFonts w:ascii="Arial Narrow" w:hAnsi="Arial Narrow"/>
                <w:sz w:val="18"/>
                <w:szCs w:val="18"/>
              </w:rPr>
            </w:pPr>
            <w:r w:rsidRPr="008D7982">
              <w:rPr>
                <w:rFonts w:ascii="Arial Narrow" w:hAnsi="Arial Narrow"/>
                <w:sz w:val="18"/>
                <w:szCs w:val="18"/>
              </w:rPr>
              <w:t>T-scores of -1.0, -1.5, -2.0.</w:t>
            </w:r>
          </w:p>
          <w:p w:rsidR="00D8067A" w:rsidRPr="008D7982" w:rsidRDefault="00D8067A" w:rsidP="00615E23">
            <w:pPr>
              <w:pStyle w:val="ListParagraph"/>
              <w:numPr>
                <w:ilvl w:val="0"/>
                <w:numId w:val="39"/>
              </w:numPr>
              <w:spacing w:after="0" w:line="360" w:lineRule="auto"/>
              <w:jc w:val="left"/>
              <w:rPr>
                <w:rFonts w:ascii="Arial Narrow" w:hAnsi="Arial Narrow"/>
                <w:sz w:val="18"/>
                <w:szCs w:val="18"/>
              </w:rPr>
            </w:pPr>
            <w:r w:rsidRPr="008D7982">
              <w:rPr>
                <w:rFonts w:ascii="Arial Narrow" w:hAnsi="Arial Narrow"/>
                <w:sz w:val="18"/>
                <w:szCs w:val="18"/>
              </w:rPr>
              <w:t>Sensitivity analyses should investigate other options of threshold to therapy as advised by the evidence.</w:t>
            </w:r>
          </w:p>
          <w:p w:rsidR="00D8067A" w:rsidRPr="008D7982" w:rsidRDefault="00D8067A" w:rsidP="00615E23">
            <w:pPr>
              <w:pStyle w:val="ListParagraph"/>
              <w:numPr>
                <w:ilvl w:val="0"/>
                <w:numId w:val="39"/>
              </w:numPr>
              <w:spacing w:after="0" w:line="360" w:lineRule="auto"/>
              <w:jc w:val="left"/>
              <w:rPr>
                <w:rFonts w:ascii="Arial Narrow" w:hAnsi="Arial Narrow"/>
                <w:sz w:val="18"/>
                <w:szCs w:val="18"/>
              </w:rPr>
            </w:pPr>
            <w:r w:rsidRPr="008D7982">
              <w:rPr>
                <w:rFonts w:ascii="Arial Narrow" w:hAnsi="Arial Narrow"/>
                <w:sz w:val="18"/>
                <w:szCs w:val="18"/>
              </w:rPr>
              <w:t>QCT is excluded</w:t>
            </w:r>
          </w:p>
          <w:p w:rsidR="00D8067A" w:rsidRPr="008D7982" w:rsidRDefault="00D8067A" w:rsidP="00615E23">
            <w:pPr>
              <w:pStyle w:val="ListParagraph"/>
              <w:numPr>
                <w:ilvl w:val="0"/>
                <w:numId w:val="39"/>
              </w:numPr>
              <w:spacing w:after="0" w:line="360" w:lineRule="auto"/>
              <w:jc w:val="left"/>
              <w:rPr>
                <w:rFonts w:ascii="Arial Narrow" w:hAnsi="Arial Narrow"/>
                <w:sz w:val="18"/>
                <w:szCs w:val="18"/>
              </w:rPr>
            </w:pPr>
            <w:r w:rsidRPr="008D7982">
              <w:rPr>
                <w:rFonts w:ascii="Arial Narrow" w:hAnsi="Arial Narrow"/>
                <w:sz w:val="18"/>
                <w:szCs w:val="18"/>
              </w:rPr>
              <w:t>Different thresholds of access to therapy should be investigated</w:t>
            </w:r>
          </w:p>
        </w:tc>
        <w:tc>
          <w:tcPr>
            <w:tcW w:w="1422" w:type="dxa"/>
            <w:vMerge w:val="restart"/>
          </w:tcPr>
          <w:p w:rsidR="00D8067A" w:rsidRPr="008D7982" w:rsidRDefault="00D8067A" w:rsidP="008D7982">
            <w:pPr>
              <w:spacing w:after="0" w:line="360" w:lineRule="auto"/>
              <w:contextualSpacing/>
              <w:jc w:val="left"/>
              <w:rPr>
                <w:rFonts w:ascii="Arial Narrow" w:hAnsi="Arial Narrow"/>
                <w:sz w:val="18"/>
                <w:szCs w:val="18"/>
              </w:rPr>
            </w:pPr>
            <w:r w:rsidRPr="008D7982">
              <w:rPr>
                <w:rFonts w:ascii="Arial Narrow" w:hAnsi="Arial Narrow"/>
                <w:sz w:val="18"/>
                <w:szCs w:val="18"/>
              </w:rPr>
              <w:t xml:space="preserve">Clinical assessment including the use of existing fracture risk assessment tools (including vitamin D test) with lifestyle and dietary advice. </w:t>
            </w:r>
          </w:p>
          <w:p w:rsidR="00D8067A" w:rsidRPr="008D7982" w:rsidRDefault="00D8067A" w:rsidP="008D7982">
            <w:pPr>
              <w:spacing w:after="0" w:line="360" w:lineRule="auto"/>
              <w:contextualSpacing/>
              <w:jc w:val="left"/>
              <w:rPr>
                <w:rFonts w:ascii="Arial Narrow" w:hAnsi="Arial Narrow"/>
                <w:sz w:val="18"/>
                <w:szCs w:val="18"/>
              </w:rPr>
            </w:pPr>
          </w:p>
          <w:p w:rsidR="00D8067A" w:rsidRPr="008D7982" w:rsidRDefault="00D8067A" w:rsidP="00615E23">
            <w:pPr>
              <w:pStyle w:val="ListParagraph"/>
              <w:numPr>
                <w:ilvl w:val="0"/>
                <w:numId w:val="38"/>
              </w:numPr>
              <w:spacing w:after="0" w:line="360" w:lineRule="auto"/>
              <w:rPr>
                <w:rFonts w:ascii="Arial Narrow" w:hAnsi="Arial Narrow"/>
                <w:sz w:val="18"/>
                <w:szCs w:val="18"/>
              </w:rPr>
            </w:pPr>
            <w:r w:rsidRPr="008D7982">
              <w:rPr>
                <w:rFonts w:ascii="Arial Narrow" w:hAnsi="Arial Narrow"/>
                <w:sz w:val="18"/>
                <w:szCs w:val="18"/>
              </w:rPr>
              <w:t>DXA and QCT are excluded.</w:t>
            </w:r>
          </w:p>
        </w:tc>
        <w:tc>
          <w:tcPr>
            <w:tcW w:w="2654" w:type="dxa"/>
            <w:vMerge w:val="restart"/>
          </w:tcPr>
          <w:p w:rsidR="00D8067A" w:rsidRPr="00525C94" w:rsidRDefault="00D8067A" w:rsidP="00525C94">
            <w:pPr>
              <w:spacing w:after="0" w:line="360" w:lineRule="auto"/>
              <w:contextualSpacing/>
              <w:rPr>
                <w:rFonts w:ascii="Arial Narrow" w:hAnsi="Arial Narrow"/>
                <w:sz w:val="18"/>
                <w:szCs w:val="18"/>
              </w:rPr>
            </w:pPr>
            <w:r w:rsidRPr="00525C94">
              <w:rPr>
                <w:rFonts w:ascii="Arial Narrow" w:hAnsi="Arial Narrow"/>
                <w:sz w:val="18"/>
                <w:szCs w:val="18"/>
              </w:rPr>
              <w:t>Primary effectiveness outcomes:</w:t>
            </w:r>
          </w:p>
          <w:p w:rsidR="00D8067A" w:rsidRPr="00C6264F" w:rsidRDefault="00D8067A" w:rsidP="00615E23">
            <w:pPr>
              <w:pStyle w:val="ListParagraph"/>
              <w:numPr>
                <w:ilvl w:val="0"/>
                <w:numId w:val="31"/>
              </w:numPr>
              <w:spacing w:after="0" w:line="360" w:lineRule="auto"/>
              <w:rPr>
                <w:rFonts w:ascii="Arial Narrow" w:hAnsi="Arial Narrow"/>
                <w:sz w:val="18"/>
                <w:szCs w:val="18"/>
              </w:rPr>
            </w:pPr>
            <w:r w:rsidRPr="00C6264F">
              <w:rPr>
                <w:rFonts w:ascii="Arial Narrow" w:hAnsi="Arial Narrow"/>
                <w:sz w:val="18"/>
                <w:szCs w:val="18"/>
              </w:rPr>
              <w:t>Incidence of minimal trauma fracture</w:t>
            </w:r>
          </w:p>
          <w:p w:rsidR="00D8067A" w:rsidRPr="00C6264F" w:rsidRDefault="00D8067A" w:rsidP="00615E23">
            <w:pPr>
              <w:pStyle w:val="ListParagraph"/>
              <w:numPr>
                <w:ilvl w:val="0"/>
                <w:numId w:val="31"/>
              </w:numPr>
              <w:spacing w:after="0" w:line="360" w:lineRule="auto"/>
              <w:rPr>
                <w:rFonts w:ascii="Arial Narrow" w:hAnsi="Arial Narrow"/>
                <w:sz w:val="18"/>
                <w:szCs w:val="18"/>
              </w:rPr>
            </w:pPr>
            <w:r w:rsidRPr="00C6264F">
              <w:rPr>
                <w:rFonts w:ascii="Arial Narrow" w:hAnsi="Arial Narrow"/>
                <w:sz w:val="18"/>
                <w:szCs w:val="18"/>
              </w:rPr>
              <w:t>Incidence of all fractures</w:t>
            </w:r>
          </w:p>
          <w:p w:rsidR="00D8067A" w:rsidRPr="00C6264F" w:rsidRDefault="00D8067A" w:rsidP="00615E23">
            <w:pPr>
              <w:pStyle w:val="ListParagraph"/>
              <w:numPr>
                <w:ilvl w:val="0"/>
                <w:numId w:val="31"/>
              </w:numPr>
              <w:spacing w:after="0" w:line="360" w:lineRule="auto"/>
              <w:rPr>
                <w:rFonts w:ascii="Arial Narrow" w:hAnsi="Arial Narrow"/>
                <w:sz w:val="18"/>
                <w:szCs w:val="18"/>
              </w:rPr>
            </w:pPr>
            <w:r w:rsidRPr="00C6264F">
              <w:rPr>
                <w:rFonts w:ascii="Arial Narrow" w:hAnsi="Arial Narrow"/>
                <w:sz w:val="18"/>
                <w:szCs w:val="18"/>
              </w:rPr>
              <w:t>Patient related quality of life</w:t>
            </w:r>
          </w:p>
          <w:p w:rsidR="00D8067A" w:rsidRPr="00525C94" w:rsidRDefault="00D8067A" w:rsidP="00525C94">
            <w:pPr>
              <w:spacing w:after="0" w:line="360" w:lineRule="auto"/>
              <w:contextualSpacing/>
              <w:rPr>
                <w:rFonts w:ascii="Arial Narrow" w:hAnsi="Arial Narrow"/>
                <w:sz w:val="18"/>
                <w:szCs w:val="18"/>
              </w:rPr>
            </w:pPr>
            <w:r w:rsidRPr="00525C94">
              <w:rPr>
                <w:rFonts w:ascii="Arial Narrow" w:hAnsi="Arial Narrow"/>
                <w:sz w:val="18"/>
                <w:szCs w:val="18"/>
              </w:rPr>
              <w:t>Secondary effectiveness:</w:t>
            </w:r>
          </w:p>
          <w:p w:rsidR="00D8067A" w:rsidRDefault="00D8067A" w:rsidP="00615E23">
            <w:pPr>
              <w:pStyle w:val="ListParagraph"/>
              <w:numPr>
                <w:ilvl w:val="0"/>
                <w:numId w:val="32"/>
              </w:numPr>
              <w:spacing w:after="0" w:line="360" w:lineRule="auto"/>
              <w:rPr>
                <w:rFonts w:ascii="Arial Narrow" w:hAnsi="Arial Narrow"/>
                <w:sz w:val="18"/>
                <w:szCs w:val="18"/>
              </w:rPr>
            </w:pPr>
            <w:r w:rsidRPr="00C6264F">
              <w:rPr>
                <w:rFonts w:ascii="Arial Narrow" w:hAnsi="Arial Narrow"/>
                <w:sz w:val="18"/>
                <w:szCs w:val="18"/>
              </w:rPr>
              <w:t>Change in morbidity/mortality</w:t>
            </w:r>
          </w:p>
          <w:p w:rsidR="009970EB" w:rsidRPr="009970EB" w:rsidRDefault="009970EB" w:rsidP="009970EB">
            <w:pPr>
              <w:pStyle w:val="ListParagraph"/>
              <w:numPr>
                <w:ilvl w:val="0"/>
                <w:numId w:val="32"/>
              </w:numPr>
              <w:rPr>
                <w:rFonts w:ascii="Arial Narrow" w:hAnsi="Arial Narrow"/>
                <w:sz w:val="18"/>
                <w:szCs w:val="18"/>
              </w:rPr>
            </w:pPr>
            <w:r w:rsidRPr="009970EB">
              <w:rPr>
                <w:rFonts w:ascii="Arial Narrow" w:hAnsi="Arial Narrow"/>
                <w:sz w:val="18"/>
                <w:szCs w:val="18"/>
              </w:rPr>
              <w:t>Bone mineral density (as measured by T-score, or by Z-score in premenopausal women)</w:t>
            </w:r>
          </w:p>
          <w:p w:rsidR="00D8067A" w:rsidRPr="00525C94" w:rsidRDefault="00D8067A" w:rsidP="00525C94">
            <w:pPr>
              <w:spacing w:after="0" w:line="360" w:lineRule="auto"/>
              <w:contextualSpacing/>
              <w:rPr>
                <w:rFonts w:ascii="Arial Narrow" w:hAnsi="Arial Narrow"/>
                <w:sz w:val="18"/>
                <w:szCs w:val="18"/>
              </w:rPr>
            </w:pPr>
            <w:r w:rsidRPr="00525C94">
              <w:rPr>
                <w:rFonts w:ascii="Arial Narrow" w:hAnsi="Arial Narrow"/>
                <w:sz w:val="18"/>
                <w:szCs w:val="18"/>
              </w:rPr>
              <w:t xml:space="preserve">Safety outcomes and adverse events: </w:t>
            </w:r>
          </w:p>
          <w:p w:rsidR="00D8067A" w:rsidRPr="003A48F8" w:rsidRDefault="00D8067A" w:rsidP="003A48F8">
            <w:pPr>
              <w:pStyle w:val="ListParagraph"/>
              <w:numPr>
                <w:ilvl w:val="0"/>
                <w:numId w:val="33"/>
              </w:numPr>
              <w:spacing w:after="0" w:line="360" w:lineRule="auto"/>
              <w:rPr>
                <w:rFonts w:ascii="Arial Narrow" w:hAnsi="Arial Narrow"/>
                <w:sz w:val="18"/>
                <w:szCs w:val="18"/>
              </w:rPr>
            </w:pPr>
            <w:r w:rsidRPr="00C6264F">
              <w:rPr>
                <w:rFonts w:ascii="Arial Narrow" w:hAnsi="Arial Narrow"/>
                <w:sz w:val="18"/>
                <w:szCs w:val="18"/>
              </w:rPr>
              <w:t>Any adverse event related to scanning or treatments</w:t>
            </w:r>
          </w:p>
          <w:p w:rsidR="00D8067A" w:rsidRPr="00C6264F" w:rsidRDefault="00D8067A" w:rsidP="00615E23">
            <w:pPr>
              <w:pStyle w:val="ListParagraph"/>
              <w:numPr>
                <w:ilvl w:val="0"/>
                <w:numId w:val="33"/>
              </w:numPr>
              <w:spacing w:after="0" w:line="360" w:lineRule="auto"/>
              <w:rPr>
                <w:rFonts w:ascii="Arial Narrow" w:hAnsi="Arial Narrow"/>
                <w:sz w:val="18"/>
                <w:szCs w:val="18"/>
              </w:rPr>
            </w:pPr>
            <w:r w:rsidRPr="00C6264F">
              <w:rPr>
                <w:rFonts w:ascii="Arial Narrow" w:hAnsi="Arial Narrow"/>
                <w:sz w:val="18"/>
                <w:szCs w:val="18"/>
              </w:rPr>
              <w:t>Any adverse event arising from exposure to ionising radiation</w:t>
            </w:r>
          </w:p>
          <w:p w:rsidR="00D8067A" w:rsidRPr="00C6264F" w:rsidRDefault="00D8067A" w:rsidP="00615E23">
            <w:pPr>
              <w:pStyle w:val="ListParagraph"/>
              <w:numPr>
                <w:ilvl w:val="0"/>
                <w:numId w:val="17"/>
              </w:numPr>
              <w:spacing w:after="0" w:line="360" w:lineRule="auto"/>
              <w:ind w:left="0" w:hanging="357"/>
              <w:jc w:val="left"/>
              <w:rPr>
                <w:rFonts w:ascii="Arial Narrow" w:hAnsi="Arial Narrow"/>
                <w:sz w:val="18"/>
                <w:szCs w:val="18"/>
              </w:rPr>
            </w:pPr>
          </w:p>
        </w:tc>
        <w:tc>
          <w:tcPr>
            <w:tcW w:w="1359" w:type="dxa"/>
            <w:vMerge w:val="restart"/>
          </w:tcPr>
          <w:p w:rsidR="00D8067A" w:rsidRPr="00C6264F" w:rsidRDefault="00D8067A" w:rsidP="00C6264F">
            <w:pPr>
              <w:spacing w:after="0" w:line="360" w:lineRule="auto"/>
              <w:jc w:val="left"/>
              <w:rPr>
                <w:rFonts w:ascii="Arial Narrow" w:hAnsi="Arial Narrow"/>
                <w:sz w:val="18"/>
                <w:szCs w:val="18"/>
              </w:rPr>
            </w:pPr>
            <w:r w:rsidRPr="00C6264F">
              <w:rPr>
                <w:rFonts w:ascii="Arial Narrow" w:hAnsi="Arial Narrow"/>
                <w:sz w:val="18"/>
                <w:szCs w:val="18"/>
              </w:rPr>
              <w:t xml:space="preserve">Refer to Table </w:t>
            </w:r>
            <w:r>
              <w:rPr>
                <w:rFonts w:ascii="Arial Narrow" w:hAnsi="Arial Narrow"/>
                <w:sz w:val="18"/>
                <w:szCs w:val="18"/>
              </w:rPr>
              <w:t>7</w:t>
            </w:r>
          </w:p>
        </w:tc>
      </w:tr>
      <w:tr w:rsidR="00BF6649" w:rsidRPr="003B1BB0" w:rsidTr="00BF6649">
        <w:trPr>
          <w:trHeight w:val="7136"/>
        </w:trPr>
        <w:tc>
          <w:tcPr>
            <w:tcW w:w="1754" w:type="dxa"/>
          </w:tcPr>
          <w:p w:rsidR="00BF6649" w:rsidRDefault="00BF6649" w:rsidP="00C6264F">
            <w:pPr>
              <w:spacing w:after="0" w:line="360" w:lineRule="auto"/>
              <w:contextualSpacing/>
              <w:jc w:val="left"/>
              <w:rPr>
                <w:rFonts w:ascii="Arial Narrow" w:hAnsi="Arial Narrow"/>
                <w:sz w:val="18"/>
                <w:szCs w:val="18"/>
              </w:rPr>
            </w:pPr>
            <w:r w:rsidRPr="00C6264F">
              <w:rPr>
                <w:rFonts w:ascii="Arial Narrow" w:hAnsi="Arial Narrow"/>
                <w:sz w:val="18"/>
                <w:szCs w:val="18"/>
              </w:rPr>
              <w:t xml:space="preserve">Women taking aromatase inhibitors who have previously been treated with </w:t>
            </w:r>
            <w:proofErr w:type="spellStart"/>
            <w:r>
              <w:rPr>
                <w:rFonts w:ascii="Arial Narrow" w:hAnsi="Arial Narrow"/>
                <w:sz w:val="18"/>
                <w:szCs w:val="18"/>
              </w:rPr>
              <w:t>tamoxifen</w:t>
            </w:r>
            <w:proofErr w:type="spellEnd"/>
            <w:r w:rsidRPr="00C6264F">
              <w:rPr>
                <w:rFonts w:ascii="Arial Narrow" w:hAnsi="Arial Narrow"/>
                <w:sz w:val="18"/>
                <w:szCs w:val="18"/>
              </w:rPr>
              <w:t>.</w:t>
            </w:r>
          </w:p>
          <w:p w:rsidR="00BF6649" w:rsidRDefault="00BF6649" w:rsidP="00C6264F">
            <w:pPr>
              <w:spacing w:after="0" w:line="360" w:lineRule="auto"/>
              <w:contextualSpacing/>
              <w:jc w:val="left"/>
              <w:rPr>
                <w:rFonts w:ascii="Arial Narrow" w:hAnsi="Arial Narrow"/>
                <w:sz w:val="18"/>
                <w:szCs w:val="18"/>
              </w:rPr>
            </w:pPr>
          </w:p>
          <w:p w:rsidR="00BF6649" w:rsidRPr="008D7982" w:rsidRDefault="00BF6649" w:rsidP="008D7982">
            <w:pPr>
              <w:spacing w:after="0" w:line="360" w:lineRule="auto"/>
              <w:contextualSpacing/>
              <w:jc w:val="left"/>
              <w:rPr>
                <w:rFonts w:ascii="Arial Narrow" w:hAnsi="Arial Narrow"/>
                <w:sz w:val="18"/>
                <w:szCs w:val="18"/>
              </w:rPr>
            </w:pPr>
            <w:r w:rsidRPr="008D7982">
              <w:rPr>
                <w:rFonts w:ascii="Arial Narrow" w:hAnsi="Arial Narrow"/>
                <w:sz w:val="18"/>
                <w:szCs w:val="18"/>
              </w:rPr>
              <w:t>Exclude:</w:t>
            </w:r>
          </w:p>
          <w:p w:rsidR="00BF6649" w:rsidRPr="00C6264F" w:rsidRDefault="00BF6649" w:rsidP="003E0E84">
            <w:pPr>
              <w:spacing w:after="0" w:line="360" w:lineRule="auto"/>
              <w:contextualSpacing/>
              <w:jc w:val="left"/>
              <w:rPr>
                <w:rFonts w:ascii="Arial Narrow" w:hAnsi="Arial Narrow"/>
                <w:sz w:val="18"/>
                <w:szCs w:val="18"/>
              </w:rPr>
            </w:pPr>
            <w:r>
              <w:rPr>
                <w:rFonts w:ascii="Arial Narrow" w:hAnsi="Arial Narrow"/>
                <w:sz w:val="18"/>
                <w:szCs w:val="18"/>
              </w:rPr>
              <w:t>W</w:t>
            </w:r>
            <w:r w:rsidRPr="008D7982">
              <w:rPr>
                <w:rFonts w:ascii="Arial Narrow" w:hAnsi="Arial Narrow"/>
                <w:sz w:val="18"/>
                <w:szCs w:val="18"/>
              </w:rPr>
              <w:t>omen at age 70 and over, with a previous minimal traum</w:t>
            </w:r>
            <w:r>
              <w:rPr>
                <w:rFonts w:ascii="Arial Narrow" w:hAnsi="Arial Narrow"/>
                <w:sz w:val="18"/>
                <w:szCs w:val="18"/>
              </w:rPr>
              <w:t>a</w:t>
            </w:r>
            <w:r w:rsidRPr="008D7982">
              <w:rPr>
                <w:rFonts w:ascii="Arial Narrow" w:hAnsi="Arial Narrow"/>
                <w:sz w:val="18"/>
                <w:szCs w:val="18"/>
              </w:rPr>
              <w:t xml:space="preserve"> fracture, or currently eligible for MBS items for DXA scanning</w:t>
            </w:r>
            <w:r>
              <w:rPr>
                <w:rFonts w:ascii="Arial Narrow" w:hAnsi="Arial Narrow"/>
                <w:sz w:val="18"/>
                <w:szCs w:val="18"/>
              </w:rPr>
              <w:t xml:space="preserve"> (e.g. women who have undergone premature menopause).</w:t>
            </w:r>
          </w:p>
        </w:tc>
        <w:tc>
          <w:tcPr>
            <w:tcW w:w="2053" w:type="dxa"/>
            <w:vMerge/>
          </w:tcPr>
          <w:p w:rsidR="00BF6649" w:rsidRPr="00C6264F" w:rsidRDefault="00BF6649" w:rsidP="001B2CF7">
            <w:pPr>
              <w:spacing w:after="0" w:line="360" w:lineRule="auto"/>
              <w:contextualSpacing/>
              <w:rPr>
                <w:rFonts w:ascii="Arial Narrow" w:hAnsi="Arial Narrow"/>
                <w:sz w:val="18"/>
                <w:szCs w:val="18"/>
              </w:rPr>
            </w:pPr>
          </w:p>
        </w:tc>
        <w:tc>
          <w:tcPr>
            <w:tcW w:w="1422" w:type="dxa"/>
            <w:vMerge/>
          </w:tcPr>
          <w:p w:rsidR="00BF6649" w:rsidRPr="00C6264F" w:rsidRDefault="00BF6649" w:rsidP="001B2CF7">
            <w:pPr>
              <w:spacing w:after="0" w:line="360" w:lineRule="auto"/>
              <w:contextualSpacing/>
              <w:rPr>
                <w:rFonts w:ascii="Arial Narrow" w:hAnsi="Arial Narrow"/>
                <w:sz w:val="18"/>
                <w:szCs w:val="18"/>
              </w:rPr>
            </w:pPr>
          </w:p>
        </w:tc>
        <w:tc>
          <w:tcPr>
            <w:tcW w:w="2654" w:type="dxa"/>
            <w:vMerge/>
          </w:tcPr>
          <w:p w:rsidR="00BF6649" w:rsidRPr="00C6264F" w:rsidRDefault="00BF6649" w:rsidP="001B2CF7">
            <w:pPr>
              <w:spacing w:after="0" w:line="360" w:lineRule="auto"/>
              <w:jc w:val="left"/>
              <w:rPr>
                <w:rFonts w:ascii="Arial Narrow" w:hAnsi="Arial Narrow"/>
                <w:sz w:val="18"/>
                <w:szCs w:val="18"/>
                <w:u w:val="single"/>
              </w:rPr>
            </w:pPr>
          </w:p>
        </w:tc>
        <w:tc>
          <w:tcPr>
            <w:tcW w:w="1359" w:type="dxa"/>
            <w:vMerge/>
          </w:tcPr>
          <w:p w:rsidR="00BF6649" w:rsidRPr="00C6264F" w:rsidRDefault="00BF6649" w:rsidP="001B2CF7">
            <w:pPr>
              <w:spacing w:after="0" w:line="360" w:lineRule="auto"/>
              <w:contextualSpacing/>
              <w:rPr>
                <w:rFonts w:ascii="Arial Narrow" w:hAnsi="Arial Narrow"/>
                <w:sz w:val="18"/>
                <w:szCs w:val="18"/>
              </w:rPr>
            </w:pPr>
          </w:p>
        </w:tc>
      </w:tr>
    </w:tbl>
    <w:p w:rsidR="00D8067A" w:rsidRDefault="00D8067A">
      <w:pPr>
        <w:spacing w:after="0" w:line="240" w:lineRule="auto"/>
        <w:jc w:val="left"/>
        <w:rPr>
          <w:b/>
          <w:bCs/>
          <w:color w:val="215868"/>
          <w:sz w:val="24"/>
          <w:szCs w:val="32"/>
        </w:rPr>
      </w:pPr>
    </w:p>
    <w:p w:rsidR="00D8067A" w:rsidRDefault="00D8067A" w:rsidP="003A48F8">
      <w:r>
        <w:t>Note that lifestyle modification and supplementation may also be recommended for these patients and may be considered a confounding factor</w:t>
      </w:r>
      <w:r w:rsidRPr="00B92DF8">
        <w:t xml:space="preserve"> </w:t>
      </w:r>
      <w:r>
        <w:t xml:space="preserve">at the assessment phase. </w:t>
      </w:r>
    </w:p>
    <w:p w:rsidR="00D8067A" w:rsidRPr="00525C94" w:rsidRDefault="00D8067A" w:rsidP="00525C94">
      <w:r w:rsidRPr="00525C94">
        <w:rPr>
          <w:lang w:val="en-GB" w:eastAsia="en-US"/>
        </w:rPr>
        <w:t xml:space="preserve">PASC has specified a range of questions which will need to be addressed during the assessment phase. These questions will guide the evaluation and have been raised throughout the DAP. </w:t>
      </w:r>
      <w:r w:rsidRPr="00525C94">
        <w:t xml:space="preserve">The assessment should address the questions raised throughout the DAP in relation to the population and intervention in order to provide MSAC with the necessary information to make an informed decision. </w:t>
      </w:r>
    </w:p>
    <w:p w:rsidR="00D8067A" w:rsidRDefault="00D8067A" w:rsidP="00525C94">
      <w:pPr>
        <w:rPr>
          <w:b/>
        </w:rPr>
      </w:pPr>
      <w:r w:rsidRPr="00525C94">
        <w:rPr>
          <w:lang w:val="en-GB" w:eastAsia="en-US"/>
        </w:rPr>
        <w:lastRenderedPageBreak/>
        <w:t xml:space="preserve">PASC also identified a need to appropriately structure the assessment phase so as to inform on broad issues of testing thresholds and monitoring protocols. Given the number and complexity of the questions for the assessment phase the key components and requests from PASC are summarised in </w:t>
      </w:r>
      <w:r>
        <w:rPr>
          <w:lang w:val="en-GB" w:eastAsia="en-US"/>
        </w:rPr>
        <w:fldChar w:fldCharType="begin"/>
      </w:r>
      <w:r>
        <w:rPr>
          <w:lang w:val="en-GB" w:eastAsia="en-US"/>
        </w:rPr>
        <w:instrText xml:space="preserve"> REF _Ref358014019 \h </w:instrText>
      </w:r>
      <w:r>
        <w:rPr>
          <w:lang w:val="en-GB" w:eastAsia="en-US"/>
        </w:rPr>
      </w:r>
      <w:r>
        <w:rPr>
          <w:lang w:val="en-GB" w:eastAsia="en-US"/>
        </w:rPr>
        <w:fldChar w:fldCharType="separate"/>
      </w:r>
      <w:r w:rsidR="00CD3C9F">
        <w:t xml:space="preserve">Table </w:t>
      </w:r>
      <w:r w:rsidR="00CD3C9F">
        <w:rPr>
          <w:noProof/>
        </w:rPr>
        <w:t>9</w:t>
      </w:r>
      <w:r>
        <w:rPr>
          <w:lang w:val="en-GB" w:eastAsia="en-US"/>
        </w:rPr>
        <w:fldChar w:fldCharType="end"/>
      </w:r>
      <w:r>
        <w:rPr>
          <w:lang w:val="en-GB" w:eastAsia="en-US"/>
        </w:rPr>
        <w:t xml:space="preserve"> </w:t>
      </w:r>
      <w:r w:rsidRPr="00525C94">
        <w:rPr>
          <w:lang w:val="en-GB" w:eastAsia="en-US"/>
        </w:rPr>
        <w:t>below.</w:t>
      </w:r>
    </w:p>
    <w:p w:rsidR="00D8067A" w:rsidRDefault="00D8067A" w:rsidP="00C6264F">
      <w:pPr>
        <w:pStyle w:val="Caption"/>
      </w:pPr>
      <w:bookmarkStart w:id="48" w:name="_Ref358014019"/>
      <w:r>
        <w:t xml:space="preserve">Table </w:t>
      </w:r>
      <w:r w:rsidR="00876F0F">
        <w:fldChar w:fldCharType="begin"/>
      </w:r>
      <w:r w:rsidR="00876F0F">
        <w:instrText xml:space="preserve"> SEQ Table \* ARABIC </w:instrText>
      </w:r>
      <w:r w:rsidR="00876F0F">
        <w:fldChar w:fldCharType="separate"/>
      </w:r>
      <w:r w:rsidR="00CD3C9F">
        <w:rPr>
          <w:noProof/>
        </w:rPr>
        <w:t>9</w:t>
      </w:r>
      <w:r w:rsidR="00876F0F">
        <w:rPr>
          <w:noProof/>
        </w:rPr>
        <w:fldChar w:fldCharType="end"/>
      </w:r>
      <w:bookmarkEnd w:id="48"/>
      <w:r>
        <w:tab/>
        <w:t>Summary of issues relating to the approach to assessment</w:t>
      </w:r>
    </w:p>
    <w:tbl>
      <w:tblPr>
        <w:tblW w:w="5000" w:type="pct"/>
        <w:tblBorders>
          <w:top w:val="single" w:sz="12" w:space="0" w:color="auto"/>
          <w:bottom w:val="single" w:sz="12" w:space="0" w:color="auto"/>
        </w:tblBorders>
        <w:tblLook w:val="00A0" w:firstRow="1" w:lastRow="0" w:firstColumn="1" w:lastColumn="0" w:noHBand="0" w:noVBand="0"/>
      </w:tblPr>
      <w:tblGrid>
        <w:gridCol w:w="1952"/>
        <w:gridCol w:w="7290"/>
      </w:tblGrid>
      <w:tr w:rsidR="00D8067A" w:rsidRPr="00B524A9" w:rsidTr="00BE56F3">
        <w:trPr>
          <w:trHeight w:val="418"/>
        </w:trPr>
        <w:tc>
          <w:tcPr>
            <w:tcW w:w="1056"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r w:rsidRPr="00BE56F3">
              <w:rPr>
                <w:rFonts w:ascii="Arial Narrow" w:eastAsia="Times New Roman" w:hAnsi="Arial Narrow" w:cs="Times New Roman"/>
                <w:b/>
                <w:sz w:val="18"/>
                <w:szCs w:val="18"/>
                <w:lang w:val="en-GB" w:eastAsia="en-US"/>
              </w:rPr>
              <w:t>Population</w:t>
            </w:r>
          </w:p>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p>
        </w:tc>
        <w:tc>
          <w:tcPr>
            <w:tcW w:w="3944"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Women with breast cancer taking aromatase inhibitors</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Sub-populations include patients previously treated with </w:t>
            </w:r>
            <w:proofErr w:type="spellStart"/>
            <w:r w:rsidRPr="00BE56F3">
              <w:rPr>
                <w:rFonts w:ascii="Arial Narrow" w:eastAsia="Times New Roman" w:hAnsi="Arial Narrow" w:cs="Times New Roman"/>
                <w:sz w:val="18"/>
                <w:szCs w:val="18"/>
                <w:lang w:val="en-GB" w:eastAsia="en-US"/>
              </w:rPr>
              <w:t>tamoxifen</w:t>
            </w:r>
            <w:proofErr w:type="spellEnd"/>
            <w:r w:rsidRPr="00BE56F3">
              <w:rPr>
                <w:rFonts w:ascii="Arial Narrow" w:eastAsia="Times New Roman" w:hAnsi="Arial Narrow" w:cs="Times New Roman"/>
                <w:sz w:val="18"/>
                <w:szCs w:val="18"/>
                <w:lang w:val="en-GB" w:eastAsia="en-US"/>
              </w:rPr>
              <w:t>.</w:t>
            </w:r>
          </w:p>
        </w:tc>
      </w:tr>
      <w:tr w:rsidR="00D8067A" w:rsidRPr="00B524A9" w:rsidTr="00BE56F3">
        <w:trPr>
          <w:trHeight w:val="418"/>
        </w:trPr>
        <w:tc>
          <w:tcPr>
            <w:tcW w:w="1056" w:type="pct"/>
            <w:tcBorders>
              <w:top w:val="single" w:sz="12" w:space="0" w:color="auto"/>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Context</w:t>
            </w:r>
          </w:p>
        </w:tc>
        <w:tc>
          <w:tcPr>
            <w:tcW w:w="3944" w:type="pct"/>
            <w:tcBorders>
              <w:top w:val="single" w:sz="12" w:space="0" w:color="auto"/>
              <w:bottom w:val="nil"/>
            </w:tcBorders>
          </w:tcPr>
          <w:p w:rsidR="00E40E17" w:rsidRPr="00E40E17" w:rsidRDefault="00E40E17" w:rsidP="00E40E17">
            <w:pPr>
              <w:spacing w:after="0" w:line="240" w:lineRule="auto"/>
              <w:jc w:val="left"/>
              <w:rPr>
                <w:rFonts w:ascii="Arial Narrow" w:eastAsia="Times New Roman" w:hAnsi="Arial Narrow" w:cs="Times New Roman"/>
                <w:sz w:val="18"/>
                <w:szCs w:val="18"/>
                <w:lang w:val="en-GB" w:eastAsia="en-US"/>
              </w:rPr>
            </w:pPr>
            <w:r w:rsidRPr="00E40E17">
              <w:rPr>
                <w:rFonts w:ascii="Arial Narrow" w:eastAsia="Times New Roman" w:hAnsi="Arial Narrow" w:cs="Times New Roman"/>
                <w:sz w:val="18"/>
                <w:szCs w:val="18"/>
                <w:lang w:val="en-GB" w:eastAsia="en-US"/>
              </w:rPr>
              <w:t>DXA scanning is proposed for women with breast cancer who are being considered for, or are being treated with, aromatase inhibitors and who are not otherwise eligible for a DXA scan. PASC has identified the need to collect evidence around the rate of bone loss in patients who are treatment naïve, patients who are aromatase inhibitor naïve and patients who have been on aromatase inhibitors for some time. Where available, the assessment phase should present evidence on th</w:t>
            </w:r>
            <w:r>
              <w:rPr>
                <w:rFonts w:ascii="Arial Narrow" w:eastAsia="Times New Roman" w:hAnsi="Arial Narrow" w:cs="Times New Roman"/>
                <w:sz w:val="18"/>
                <w:szCs w:val="18"/>
                <w:lang w:val="en-GB" w:eastAsia="en-US"/>
              </w:rPr>
              <w:t xml:space="preserve">ese patient groups separately. </w:t>
            </w:r>
          </w:p>
          <w:p w:rsidR="00E40E17" w:rsidRPr="00E40E17" w:rsidRDefault="00E40E17" w:rsidP="00E40E17">
            <w:pPr>
              <w:spacing w:after="0" w:line="240" w:lineRule="auto"/>
              <w:jc w:val="left"/>
              <w:rPr>
                <w:rFonts w:ascii="Arial Narrow" w:eastAsia="Times New Roman" w:hAnsi="Arial Narrow" w:cs="Times New Roman"/>
                <w:sz w:val="18"/>
                <w:szCs w:val="18"/>
                <w:lang w:val="en-GB" w:eastAsia="en-US"/>
              </w:rPr>
            </w:pPr>
            <w:r w:rsidRPr="00E40E17">
              <w:rPr>
                <w:rFonts w:ascii="Arial Narrow" w:eastAsia="Times New Roman" w:hAnsi="Arial Narrow" w:cs="Times New Roman"/>
                <w:sz w:val="18"/>
                <w:szCs w:val="18"/>
                <w:lang w:val="en-GB" w:eastAsia="en-US"/>
              </w:rPr>
              <w:t>In the context of this DAP the patient population is women who are being treated with aromatase inhibitors. At the assessment phase this patient population should be further stratified to identify relevant outcomes for:</w:t>
            </w:r>
          </w:p>
          <w:p w:rsidR="00E40E17" w:rsidRPr="00E40E17" w:rsidRDefault="00E40E17" w:rsidP="00E40E17">
            <w:pPr>
              <w:pStyle w:val="ListParagraph"/>
              <w:numPr>
                <w:ilvl w:val="0"/>
                <w:numId w:val="43"/>
              </w:numPr>
              <w:spacing w:after="0" w:line="240" w:lineRule="auto"/>
              <w:jc w:val="left"/>
              <w:rPr>
                <w:rFonts w:ascii="Arial Narrow" w:eastAsia="Times New Roman" w:hAnsi="Arial Narrow" w:cs="Times New Roman"/>
                <w:sz w:val="18"/>
                <w:szCs w:val="18"/>
                <w:lang w:val="en-GB" w:eastAsia="en-US"/>
              </w:rPr>
            </w:pPr>
            <w:r w:rsidRPr="00E40E17">
              <w:rPr>
                <w:rFonts w:ascii="Arial Narrow" w:eastAsia="Times New Roman" w:hAnsi="Arial Narrow" w:cs="Times New Roman"/>
                <w:sz w:val="18"/>
                <w:szCs w:val="18"/>
                <w:lang w:val="en-GB" w:eastAsia="en-US"/>
              </w:rPr>
              <w:t>Post-menopausal women with breast cancer currently taking aromatase inhibitors.</w:t>
            </w:r>
          </w:p>
          <w:p w:rsidR="00E40E17" w:rsidRDefault="00E40E17" w:rsidP="00E40E17">
            <w:pPr>
              <w:pStyle w:val="ListParagraph"/>
              <w:numPr>
                <w:ilvl w:val="0"/>
                <w:numId w:val="43"/>
              </w:numPr>
              <w:spacing w:after="0" w:line="240" w:lineRule="auto"/>
              <w:jc w:val="left"/>
              <w:rPr>
                <w:rFonts w:ascii="Arial Narrow" w:eastAsia="Times New Roman" w:hAnsi="Arial Narrow" w:cs="Times New Roman"/>
                <w:sz w:val="18"/>
                <w:szCs w:val="18"/>
                <w:lang w:val="en-GB" w:eastAsia="en-US"/>
              </w:rPr>
            </w:pPr>
            <w:r w:rsidRPr="00E40E17">
              <w:rPr>
                <w:rFonts w:ascii="Arial Narrow" w:eastAsia="Times New Roman" w:hAnsi="Arial Narrow" w:cs="Times New Roman"/>
                <w:sz w:val="18"/>
                <w:szCs w:val="18"/>
                <w:lang w:val="en-GB" w:eastAsia="en-US"/>
              </w:rPr>
              <w:t>Women taking aromatase inhibitors who have previously been treated with</w:t>
            </w:r>
            <w:r w:rsidR="00D8067A" w:rsidRPr="00E40E17">
              <w:rPr>
                <w:rFonts w:ascii="Arial Narrow" w:eastAsia="Times New Roman" w:hAnsi="Arial Narrow" w:cs="Times New Roman"/>
                <w:sz w:val="18"/>
                <w:szCs w:val="18"/>
                <w:lang w:val="en-GB" w:eastAsia="en-US"/>
              </w:rPr>
              <w:t xml:space="preserve">. </w:t>
            </w:r>
          </w:p>
          <w:p w:rsidR="00D8067A" w:rsidRPr="00E40E17" w:rsidRDefault="00D8067A" w:rsidP="00E40E17">
            <w:pPr>
              <w:spacing w:after="0" w:line="240" w:lineRule="auto"/>
              <w:jc w:val="left"/>
              <w:rPr>
                <w:rFonts w:ascii="Arial Narrow" w:eastAsia="Times New Roman" w:hAnsi="Arial Narrow" w:cs="Times New Roman"/>
                <w:sz w:val="18"/>
                <w:szCs w:val="18"/>
                <w:lang w:val="en-GB" w:eastAsia="en-US"/>
              </w:rPr>
            </w:pPr>
            <w:r w:rsidRPr="00E40E17">
              <w:rPr>
                <w:rFonts w:ascii="Arial Narrow" w:eastAsia="Times New Roman" w:hAnsi="Arial Narrow" w:cs="Times New Roman"/>
                <w:sz w:val="18"/>
                <w:szCs w:val="18"/>
                <w:lang w:val="en-GB" w:eastAsia="en-US"/>
              </w:rPr>
              <w:t>PASC has also identified a need to compare the rate of bone mineral density loss in women taking aromatase inhibitors to a baseline as well as a benchmark population.</w:t>
            </w:r>
          </w:p>
        </w:tc>
      </w:tr>
      <w:tr w:rsidR="00D8067A" w:rsidRPr="00B524A9" w:rsidTr="00BE56F3">
        <w:trPr>
          <w:trHeight w:val="418"/>
        </w:trPr>
        <w:tc>
          <w:tcPr>
            <w:tcW w:w="1056"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Baseline population</w:t>
            </w:r>
          </w:p>
        </w:tc>
        <w:tc>
          <w:tcPr>
            <w:tcW w:w="3944"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The baseline population is postmenopausal women. The baseline population should align in terms of age with the target population. </w:t>
            </w:r>
          </w:p>
        </w:tc>
      </w:tr>
      <w:tr w:rsidR="00D8067A" w:rsidRPr="00B524A9" w:rsidTr="00BE56F3">
        <w:trPr>
          <w:trHeight w:val="418"/>
        </w:trPr>
        <w:tc>
          <w:tcPr>
            <w:tcW w:w="1056"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Benchmark population</w:t>
            </w:r>
          </w:p>
        </w:tc>
        <w:tc>
          <w:tcPr>
            <w:tcW w:w="3944"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benchmark population is people being treated with long-term glucocorticoid therapy. The benchmark population should align in terms of age with the target population.</w:t>
            </w:r>
          </w:p>
        </w:tc>
      </w:tr>
      <w:tr w:rsidR="00D8067A" w:rsidRPr="00B524A9" w:rsidTr="00BE56F3">
        <w:trPr>
          <w:trHeight w:val="418"/>
        </w:trPr>
        <w:tc>
          <w:tcPr>
            <w:tcW w:w="1056" w:type="pct"/>
            <w:tcBorders>
              <w:top w:val="nil"/>
              <w:bottom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Approach to assessment </w:t>
            </w:r>
          </w:p>
        </w:tc>
        <w:tc>
          <w:tcPr>
            <w:tcW w:w="3944" w:type="pct"/>
            <w:tcBorders>
              <w:top w:val="nil"/>
              <w:bottom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assessment phase should present evidence to define:</w:t>
            </w:r>
          </w:p>
          <w:p w:rsidR="00D8067A" w:rsidRPr="00BE56F3" w:rsidRDefault="00D8067A" w:rsidP="00BE56F3">
            <w:pPr>
              <w:pStyle w:val="ListParagraph"/>
              <w:numPr>
                <w:ilvl w:val="0"/>
                <w:numId w:val="24"/>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rate of bone loss for women on aromatase inhibitors taking anti-</w:t>
            </w:r>
            <w:proofErr w:type="spellStart"/>
            <w:r w:rsidRPr="00BE56F3">
              <w:rPr>
                <w:rFonts w:ascii="Arial Narrow" w:eastAsia="Times New Roman" w:hAnsi="Arial Narrow" w:cs="Times New Roman"/>
                <w:sz w:val="18"/>
                <w:szCs w:val="18"/>
                <w:lang w:val="en-GB" w:eastAsia="en-US"/>
              </w:rPr>
              <w:t>resorptive</w:t>
            </w:r>
            <w:proofErr w:type="spellEnd"/>
            <w:r w:rsidRPr="00BE56F3">
              <w:rPr>
                <w:rFonts w:ascii="Arial Narrow" w:eastAsia="Times New Roman" w:hAnsi="Arial Narrow" w:cs="Times New Roman"/>
                <w:sz w:val="18"/>
                <w:szCs w:val="18"/>
                <w:lang w:val="en-GB" w:eastAsia="en-US"/>
              </w:rPr>
              <w:t xml:space="preserve"> agents</w:t>
            </w:r>
          </w:p>
          <w:p w:rsidR="00D8067A" w:rsidRPr="00BE56F3" w:rsidRDefault="00D8067A" w:rsidP="00BE56F3">
            <w:pPr>
              <w:pStyle w:val="ListParagraph"/>
              <w:numPr>
                <w:ilvl w:val="0"/>
                <w:numId w:val="24"/>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rate of bone loss for women on aromatase inhibitors not taking anti-</w:t>
            </w:r>
            <w:proofErr w:type="spellStart"/>
            <w:r w:rsidRPr="00BE56F3">
              <w:rPr>
                <w:rFonts w:ascii="Arial Narrow" w:eastAsia="Times New Roman" w:hAnsi="Arial Narrow" w:cs="Times New Roman"/>
                <w:sz w:val="18"/>
                <w:szCs w:val="18"/>
                <w:lang w:val="en-GB" w:eastAsia="en-US"/>
              </w:rPr>
              <w:t>resoprtives</w:t>
            </w:r>
            <w:proofErr w:type="spellEnd"/>
          </w:p>
          <w:p w:rsidR="00D8067A" w:rsidRPr="00BE56F3" w:rsidRDefault="00D8067A" w:rsidP="00BE56F3">
            <w:pPr>
              <w:pStyle w:val="ListParagraph"/>
              <w:numPr>
                <w:ilvl w:val="0"/>
                <w:numId w:val="24"/>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rate of bone loss in women following menopause.</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The assessment phase should also present evidence to inform on the baseline risk of MTF in the proposed population as compared to the baseline and benchmark populations as well as in women taking aromatase inhibitors but not co-dependent medicines. This will be used to inform the cost effectiveness analysis. </w:t>
            </w:r>
          </w:p>
        </w:tc>
      </w:tr>
      <w:tr w:rsidR="00D8067A" w:rsidRPr="00B524A9" w:rsidTr="00BE56F3">
        <w:trPr>
          <w:trHeight w:val="396"/>
        </w:trPr>
        <w:tc>
          <w:tcPr>
            <w:tcW w:w="1056"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r w:rsidRPr="00BE56F3">
              <w:rPr>
                <w:rFonts w:ascii="Arial Narrow" w:eastAsia="Times New Roman" w:hAnsi="Arial Narrow" w:cs="Times New Roman"/>
                <w:b/>
                <w:sz w:val="18"/>
                <w:szCs w:val="18"/>
                <w:lang w:val="en-GB" w:eastAsia="en-US"/>
              </w:rPr>
              <w:t>Intervention</w:t>
            </w:r>
          </w:p>
        </w:tc>
        <w:tc>
          <w:tcPr>
            <w:tcW w:w="3944"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DXA test with therapy for women who meet the threshold (for women with T-scores ≤ -2.5) </w:t>
            </w:r>
          </w:p>
        </w:tc>
      </w:tr>
      <w:tr w:rsidR="00D8067A" w:rsidRPr="00B524A9" w:rsidTr="00BE56F3">
        <w:trPr>
          <w:trHeight w:val="396"/>
        </w:trPr>
        <w:tc>
          <w:tcPr>
            <w:tcW w:w="1056" w:type="pct"/>
            <w:tcBorders>
              <w:top w:val="single" w:sz="12" w:space="0" w:color="auto"/>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Context</w:t>
            </w:r>
          </w:p>
        </w:tc>
        <w:tc>
          <w:tcPr>
            <w:tcW w:w="3944" w:type="pct"/>
            <w:tcBorders>
              <w:top w:val="single" w:sz="12" w:space="0" w:color="auto"/>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proposed test is DXA</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proposed therapy is anti-</w:t>
            </w:r>
            <w:proofErr w:type="spellStart"/>
            <w:r w:rsidRPr="00BE56F3">
              <w:rPr>
                <w:rFonts w:ascii="Arial Narrow" w:eastAsia="Times New Roman" w:hAnsi="Arial Narrow" w:cs="Times New Roman"/>
                <w:sz w:val="18"/>
                <w:szCs w:val="18"/>
                <w:lang w:val="en-GB" w:eastAsia="en-US"/>
              </w:rPr>
              <w:t>resorptive</w:t>
            </w:r>
            <w:proofErr w:type="spellEnd"/>
            <w:r w:rsidRPr="00BE56F3">
              <w:rPr>
                <w:rFonts w:ascii="Arial Narrow" w:eastAsia="Times New Roman" w:hAnsi="Arial Narrow" w:cs="Times New Roman"/>
                <w:sz w:val="18"/>
                <w:szCs w:val="18"/>
                <w:lang w:val="en-GB" w:eastAsia="en-US"/>
              </w:rPr>
              <w:t xml:space="preserve"> medications</w:t>
            </w:r>
          </w:p>
        </w:tc>
      </w:tr>
      <w:tr w:rsidR="00D8067A" w:rsidRPr="00B524A9" w:rsidTr="00BE56F3">
        <w:trPr>
          <w:trHeight w:val="396"/>
        </w:trPr>
        <w:tc>
          <w:tcPr>
            <w:tcW w:w="1056"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Co-dependency</w:t>
            </w:r>
          </w:p>
        </w:tc>
        <w:tc>
          <w:tcPr>
            <w:tcW w:w="3944"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There is a co-dependency for this DAP and the assessment of evidence will be required to present evidence with regards to the efficacy of the co-dependent medicines in the proportion of the target population for BMD testing who achieve a threshold result to trigger the initiation of prescribed medication. </w:t>
            </w:r>
            <w:r w:rsidRPr="00BE56F3">
              <w:rPr>
                <w:rFonts w:ascii="Arial Narrow" w:eastAsia="Times New Roman" w:hAnsi="Arial Narrow" w:cs="Times New Roman"/>
                <w:b/>
                <w:sz w:val="18"/>
                <w:szCs w:val="18"/>
                <w:lang w:val="en-GB" w:eastAsia="en-US"/>
              </w:rPr>
              <w:t>At this stage no co-dependent submission has been received.</w:t>
            </w:r>
            <w:r w:rsidRPr="00BE56F3">
              <w:rPr>
                <w:rFonts w:ascii="Arial Narrow" w:eastAsia="Times New Roman" w:hAnsi="Arial Narrow" w:cs="Times New Roman"/>
                <w:sz w:val="18"/>
                <w:szCs w:val="18"/>
                <w:lang w:val="en-GB" w:eastAsia="en-US"/>
              </w:rPr>
              <w:t xml:space="preserve"> </w:t>
            </w:r>
          </w:p>
        </w:tc>
      </w:tr>
      <w:tr w:rsidR="00D8067A" w:rsidRPr="00B524A9" w:rsidTr="00BE56F3">
        <w:trPr>
          <w:trHeight w:val="396"/>
        </w:trPr>
        <w:tc>
          <w:tcPr>
            <w:tcW w:w="1056"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r w:rsidRPr="00BE56F3">
              <w:rPr>
                <w:rFonts w:ascii="Arial Narrow" w:eastAsia="Times New Roman" w:hAnsi="Arial Narrow" w:cs="Times New Roman"/>
                <w:b/>
                <w:sz w:val="18"/>
                <w:szCs w:val="18"/>
                <w:lang w:val="en-GB" w:eastAsia="en-US"/>
              </w:rPr>
              <w:t>Treatment threshold</w:t>
            </w:r>
          </w:p>
        </w:tc>
        <w:tc>
          <w:tcPr>
            <w:tcW w:w="3944"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proposed threshold for therapy is T-score of less than -2.5</w:t>
            </w:r>
          </w:p>
        </w:tc>
      </w:tr>
      <w:tr w:rsidR="00D8067A" w:rsidRPr="00B524A9" w:rsidTr="00BE56F3">
        <w:trPr>
          <w:trHeight w:val="396"/>
        </w:trPr>
        <w:tc>
          <w:tcPr>
            <w:tcW w:w="1056" w:type="pct"/>
            <w:tcBorders>
              <w:top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Context</w:t>
            </w:r>
          </w:p>
        </w:tc>
        <w:tc>
          <w:tcPr>
            <w:tcW w:w="3944" w:type="pct"/>
            <w:tcBorders>
              <w:top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PASC has identified a need to assess various thresholds for therapy in an evidence based manner. </w:t>
            </w:r>
          </w:p>
        </w:tc>
      </w:tr>
      <w:tr w:rsidR="00D8067A" w:rsidRPr="00B524A9" w:rsidTr="00BE56F3">
        <w:trPr>
          <w:trHeight w:val="418"/>
        </w:trPr>
        <w:tc>
          <w:tcPr>
            <w:tcW w:w="1056" w:type="pct"/>
            <w:tcBorders>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Approach to assessment</w:t>
            </w:r>
          </w:p>
        </w:tc>
        <w:tc>
          <w:tcPr>
            <w:tcW w:w="3944" w:type="pct"/>
            <w:tcBorders>
              <w:bottom w:val="nil"/>
            </w:tcBorders>
          </w:tcPr>
          <w:p w:rsidR="00D8067A" w:rsidRPr="00BE56F3" w:rsidRDefault="00D8067A" w:rsidP="00BE56F3">
            <w:pPr>
              <w:spacing w:after="0" w:line="240" w:lineRule="auto"/>
              <w:contextualSpacing/>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assessment phase will be required to present evidence and conduct a sensitivity analysis to examine various thresholds for initiating therapy. The assessment should examine the following thresholds:</w:t>
            </w:r>
          </w:p>
          <w:p w:rsidR="00D8067A" w:rsidRPr="00BE56F3" w:rsidRDefault="00D8067A" w:rsidP="00BE56F3">
            <w:pPr>
              <w:pStyle w:val="ListParagraph"/>
              <w:numPr>
                <w:ilvl w:val="0"/>
                <w:numId w:val="25"/>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T-score ≤ -1.5 (PBS eligibility for patients on glucocorticoid therapy)</w:t>
            </w:r>
          </w:p>
          <w:p w:rsidR="00D8067A" w:rsidRPr="00BE56F3" w:rsidRDefault="00D8067A" w:rsidP="00BE56F3">
            <w:pPr>
              <w:pStyle w:val="ListParagraph"/>
              <w:numPr>
                <w:ilvl w:val="0"/>
                <w:numId w:val="25"/>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T-score ≤ -2.0 </w:t>
            </w:r>
          </w:p>
          <w:p w:rsidR="00D8067A" w:rsidRPr="00BE56F3" w:rsidRDefault="00D8067A" w:rsidP="00BE56F3">
            <w:pPr>
              <w:pStyle w:val="ListParagraph"/>
              <w:numPr>
                <w:ilvl w:val="0"/>
                <w:numId w:val="25"/>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T-score ≤ - 2.5 (ARTG accessibility for bisphosphonates and </w:t>
            </w:r>
            <w:proofErr w:type="spellStart"/>
            <w:r w:rsidRPr="00BE56F3">
              <w:rPr>
                <w:rFonts w:ascii="Arial Narrow" w:eastAsia="Times New Roman" w:hAnsi="Arial Narrow" w:cs="Times New Roman"/>
                <w:sz w:val="18"/>
                <w:szCs w:val="18"/>
                <w:lang w:val="en-GB" w:eastAsia="en-US"/>
              </w:rPr>
              <w:t>denosumab</w:t>
            </w:r>
            <w:proofErr w:type="spellEnd"/>
            <w:r w:rsidRPr="00BE56F3">
              <w:rPr>
                <w:rFonts w:ascii="Arial Narrow" w:eastAsia="Times New Roman" w:hAnsi="Arial Narrow" w:cs="Times New Roman"/>
                <w:sz w:val="18"/>
                <w:szCs w:val="18"/>
                <w:lang w:val="en-GB" w:eastAsia="en-US"/>
              </w:rPr>
              <w:t>)</w:t>
            </w:r>
          </w:p>
        </w:tc>
      </w:tr>
      <w:tr w:rsidR="00D8067A" w:rsidRPr="00B524A9" w:rsidTr="00BE56F3">
        <w:trPr>
          <w:trHeight w:val="396"/>
        </w:trPr>
        <w:tc>
          <w:tcPr>
            <w:tcW w:w="1056"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r w:rsidRPr="00BE56F3">
              <w:rPr>
                <w:rFonts w:ascii="Arial Narrow" w:eastAsia="Times New Roman" w:hAnsi="Arial Narrow" w:cs="Times New Roman"/>
                <w:b/>
                <w:sz w:val="18"/>
                <w:szCs w:val="18"/>
                <w:lang w:val="en-GB" w:eastAsia="en-US"/>
              </w:rPr>
              <w:t>Re-testing and monitoring</w:t>
            </w:r>
          </w:p>
        </w:tc>
        <w:tc>
          <w:tcPr>
            <w:tcW w:w="3944" w:type="pct"/>
            <w:tcBorders>
              <w:top w:val="nil"/>
              <w:bottom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Patients taking glucocorticoid therapy are currently eligible for annual retesting under MBS item 12312</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tc>
      </w:tr>
      <w:tr w:rsidR="00D8067A" w:rsidRPr="00B524A9" w:rsidTr="00BE56F3">
        <w:trPr>
          <w:trHeight w:val="396"/>
        </w:trPr>
        <w:tc>
          <w:tcPr>
            <w:tcW w:w="1056" w:type="pct"/>
            <w:tcBorders>
              <w:top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Context</w:t>
            </w:r>
          </w:p>
        </w:tc>
        <w:tc>
          <w:tcPr>
            <w:tcW w:w="3944" w:type="pct"/>
            <w:tcBorders>
              <w:top w:val="nil"/>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PASC noted that whilst patients are taking aromatase inhibitors with or without anti-</w:t>
            </w:r>
            <w:proofErr w:type="spellStart"/>
            <w:r w:rsidRPr="00BE56F3">
              <w:rPr>
                <w:rFonts w:ascii="Arial Narrow" w:eastAsia="Times New Roman" w:hAnsi="Arial Narrow" w:cs="Times New Roman"/>
                <w:sz w:val="18"/>
                <w:szCs w:val="18"/>
                <w:lang w:val="en-GB" w:eastAsia="en-US"/>
              </w:rPr>
              <w:t>resorptives</w:t>
            </w:r>
            <w:proofErr w:type="spellEnd"/>
            <w:r w:rsidRPr="00BE56F3">
              <w:rPr>
                <w:rFonts w:ascii="Arial Narrow" w:eastAsia="Times New Roman" w:hAnsi="Arial Narrow" w:cs="Times New Roman"/>
                <w:sz w:val="18"/>
                <w:szCs w:val="18"/>
                <w:lang w:val="en-GB" w:eastAsia="en-US"/>
              </w:rPr>
              <w:t xml:space="preserve"> they will remain at an elevated risk and thus will require monitoring. </w:t>
            </w:r>
          </w:p>
        </w:tc>
      </w:tr>
      <w:tr w:rsidR="00D8067A" w:rsidRPr="00B524A9" w:rsidTr="00BE56F3">
        <w:trPr>
          <w:trHeight w:val="418"/>
        </w:trPr>
        <w:tc>
          <w:tcPr>
            <w:tcW w:w="1056" w:type="pct"/>
            <w:tcBorders>
              <w:bottom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Approach to assessment</w:t>
            </w:r>
          </w:p>
        </w:tc>
        <w:tc>
          <w:tcPr>
            <w:tcW w:w="3944" w:type="pct"/>
            <w:tcBorders>
              <w:bottom w:val="single" w:sz="12" w:space="0" w:color="auto"/>
            </w:tcBorders>
          </w:tcPr>
          <w:p w:rsidR="00D8067A" w:rsidRPr="00BE56F3" w:rsidRDefault="00D8067A" w:rsidP="00BE56F3">
            <w:pPr>
              <w:spacing w:after="0" w:line="240" w:lineRule="auto"/>
              <w:contextualSpacing/>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The assessment phase is required to provide evidence to inform the question of with what frequency re-testing and monitoring should occur in the population of interest. This should include information on the:</w:t>
            </w:r>
          </w:p>
          <w:p w:rsidR="00D8067A" w:rsidRPr="00BE56F3" w:rsidRDefault="00D8067A" w:rsidP="00BE56F3">
            <w:pPr>
              <w:pStyle w:val="ListParagraph"/>
              <w:numPr>
                <w:ilvl w:val="0"/>
                <w:numId w:val="26"/>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rate of bone loss in patients taking aromatase inhibitors but not anti-</w:t>
            </w:r>
            <w:proofErr w:type="spellStart"/>
            <w:r w:rsidRPr="00BE56F3">
              <w:rPr>
                <w:rFonts w:ascii="Arial Narrow" w:eastAsia="Times New Roman" w:hAnsi="Arial Narrow" w:cs="Times New Roman"/>
                <w:sz w:val="18"/>
                <w:szCs w:val="18"/>
                <w:lang w:val="en-GB" w:eastAsia="en-US"/>
              </w:rPr>
              <w:t>resorptives</w:t>
            </w:r>
            <w:proofErr w:type="spellEnd"/>
            <w:r w:rsidRPr="00BE56F3">
              <w:rPr>
                <w:rFonts w:ascii="Arial Narrow" w:eastAsia="Times New Roman" w:hAnsi="Arial Narrow" w:cs="Times New Roman"/>
                <w:sz w:val="18"/>
                <w:szCs w:val="18"/>
                <w:lang w:val="en-GB" w:eastAsia="en-US"/>
              </w:rPr>
              <w:t xml:space="preserve"> (re-testing)</w:t>
            </w:r>
          </w:p>
          <w:p w:rsidR="00D8067A" w:rsidRPr="00BE56F3" w:rsidRDefault="00D8067A" w:rsidP="00BE56F3">
            <w:pPr>
              <w:pStyle w:val="ListParagraph"/>
              <w:numPr>
                <w:ilvl w:val="0"/>
                <w:numId w:val="26"/>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rate of bone loss in patients taking aromatase inhibitors and anti-</w:t>
            </w:r>
            <w:proofErr w:type="spellStart"/>
            <w:r w:rsidRPr="00BE56F3">
              <w:rPr>
                <w:rFonts w:ascii="Arial Narrow" w:eastAsia="Times New Roman" w:hAnsi="Arial Narrow" w:cs="Times New Roman"/>
                <w:sz w:val="18"/>
                <w:szCs w:val="18"/>
                <w:lang w:val="en-GB" w:eastAsia="en-US"/>
              </w:rPr>
              <w:t>resorptives</w:t>
            </w:r>
            <w:proofErr w:type="spellEnd"/>
            <w:r w:rsidRPr="00BE56F3">
              <w:rPr>
                <w:rFonts w:ascii="Arial Narrow" w:eastAsia="Times New Roman" w:hAnsi="Arial Narrow" w:cs="Times New Roman"/>
                <w:sz w:val="18"/>
                <w:szCs w:val="18"/>
                <w:lang w:val="en-GB" w:eastAsia="en-US"/>
              </w:rPr>
              <w:t xml:space="preserve"> (monitoring)</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This information will inform the appropriate rate of re-testing in the proportion of the population who do not reach the threshold for therapy at their initial test </w:t>
            </w:r>
            <w:r w:rsidRPr="00BE56F3">
              <w:rPr>
                <w:rFonts w:ascii="Arial Narrow" w:eastAsia="Times New Roman" w:hAnsi="Arial Narrow" w:cs="Times New Roman"/>
                <w:i/>
                <w:sz w:val="18"/>
                <w:szCs w:val="18"/>
                <w:lang w:val="en-GB" w:eastAsia="en-US"/>
              </w:rPr>
              <w:t>and</w:t>
            </w:r>
            <w:r w:rsidRPr="00BE56F3">
              <w:rPr>
                <w:rFonts w:ascii="Arial Narrow" w:eastAsia="Times New Roman" w:hAnsi="Arial Narrow" w:cs="Times New Roman"/>
                <w:sz w:val="18"/>
                <w:szCs w:val="18"/>
                <w:lang w:val="en-GB" w:eastAsia="en-US"/>
              </w:rPr>
              <w:t xml:space="preserve"> the appropriate schedule of monitoring in the proportion of the population which has initiated therapy following their initial test. </w:t>
            </w:r>
          </w:p>
        </w:tc>
      </w:tr>
      <w:tr w:rsidR="00D8067A" w:rsidRPr="00B524A9" w:rsidTr="00BE56F3">
        <w:trPr>
          <w:trHeight w:val="418"/>
        </w:trPr>
        <w:tc>
          <w:tcPr>
            <w:tcW w:w="1056"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r w:rsidRPr="00BE56F3">
              <w:rPr>
                <w:rFonts w:ascii="Arial Narrow" w:eastAsia="Times New Roman" w:hAnsi="Arial Narrow" w:cs="Times New Roman"/>
                <w:b/>
                <w:sz w:val="18"/>
                <w:szCs w:val="18"/>
                <w:lang w:val="en-GB" w:eastAsia="en-US"/>
              </w:rPr>
              <w:t>Comparator</w:t>
            </w:r>
          </w:p>
        </w:tc>
        <w:tc>
          <w:tcPr>
            <w:tcW w:w="3944" w:type="pct"/>
            <w:tcBorders>
              <w:top w:val="single" w:sz="12" w:space="0" w:color="auto"/>
              <w:bottom w:val="single" w:sz="12" w:space="0" w:color="auto"/>
            </w:tcBorders>
            <w:shd w:val="pct10" w:color="auto" w:fill="auto"/>
          </w:tcPr>
          <w:p w:rsidR="00D8067A" w:rsidRPr="00BE56F3" w:rsidRDefault="00D8067A" w:rsidP="00CA3FE7">
            <w:pPr>
              <w:spacing w:after="0" w:line="240" w:lineRule="auto"/>
              <w:jc w:val="left"/>
              <w:rPr>
                <w:rFonts w:ascii="Arial Narrow" w:eastAsia="Times New Roman" w:hAnsi="Arial Narrow" w:cs="Times New Roman"/>
                <w:sz w:val="18"/>
                <w:szCs w:val="18"/>
                <w:lang w:val="en-GB" w:eastAsia="en-US"/>
              </w:rPr>
            </w:pPr>
            <w:r w:rsidRPr="00BE56F3">
              <w:rPr>
                <w:rFonts w:ascii="Arial Narrow" w:hAnsi="Arial Narrow" w:cs="Times New Roman"/>
                <w:sz w:val="18"/>
                <w:szCs w:val="18"/>
                <w:lang w:val="en-GB" w:eastAsia="en-US"/>
              </w:rPr>
              <w:t xml:space="preserve">Lifestyle and dietary advice (calcium and vitamin D) based on a general clinical assessment by a general practitioner using existing fracture risk assessment tools (for example the FRAX </w:t>
            </w:r>
            <w:r w:rsidR="00CA3FE7">
              <w:rPr>
                <w:rFonts w:ascii="Arial Narrow" w:hAnsi="Arial Narrow" w:cs="Times New Roman"/>
                <w:sz w:val="18"/>
                <w:szCs w:val="18"/>
                <w:lang w:val="en-GB" w:eastAsia="en-US"/>
              </w:rPr>
              <w:t>tool</w:t>
            </w:r>
            <w:r w:rsidRPr="00BE56F3">
              <w:rPr>
                <w:rFonts w:ascii="Arial Narrow" w:hAnsi="Arial Narrow" w:cs="Times New Roman"/>
                <w:sz w:val="18"/>
                <w:szCs w:val="18"/>
                <w:lang w:val="en-GB" w:eastAsia="en-US"/>
              </w:rPr>
              <w:t>) without the results of a bone mineral density test. This clinical assessment would include a test for vitamin D sufficiency (MBS item 66608).</w:t>
            </w:r>
          </w:p>
        </w:tc>
      </w:tr>
      <w:tr w:rsidR="00D8067A" w:rsidRPr="00B524A9" w:rsidTr="00BE56F3">
        <w:trPr>
          <w:trHeight w:val="418"/>
        </w:trPr>
        <w:tc>
          <w:tcPr>
            <w:tcW w:w="1056"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b/>
                <w:sz w:val="18"/>
                <w:szCs w:val="18"/>
                <w:lang w:val="en-GB" w:eastAsia="en-US"/>
              </w:rPr>
            </w:pPr>
            <w:r w:rsidRPr="00BE56F3">
              <w:rPr>
                <w:rFonts w:ascii="Arial Narrow" w:eastAsia="Times New Roman" w:hAnsi="Arial Narrow" w:cs="Times New Roman"/>
                <w:b/>
                <w:sz w:val="18"/>
                <w:szCs w:val="18"/>
                <w:lang w:val="en-GB" w:eastAsia="en-US"/>
              </w:rPr>
              <w:lastRenderedPageBreak/>
              <w:t>Outcomes</w:t>
            </w:r>
          </w:p>
        </w:tc>
        <w:tc>
          <w:tcPr>
            <w:tcW w:w="3944" w:type="pct"/>
            <w:tcBorders>
              <w:top w:val="single" w:sz="12" w:space="0" w:color="auto"/>
              <w:bottom w:val="single" w:sz="12" w:space="0" w:color="auto"/>
            </w:tcBorders>
            <w:shd w:val="pct10" w:color="auto" w:fill="auto"/>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Outcomes include primary effectiveness, secondary effectiveness and safety outcomes. </w:t>
            </w:r>
          </w:p>
        </w:tc>
      </w:tr>
      <w:tr w:rsidR="00D8067A" w:rsidRPr="00B524A9" w:rsidTr="00BE56F3">
        <w:trPr>
          <w:trHeight w:val="418"/>
        </w:trPr>
        <w:tc>
          <w:tcPr>
            <w:tcW w:w="1056" w:type="pct"/>
            <w:tcBorders>
              <w:top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tc>
        <w:tc>
          <w:tcPr>
            <w:tcW w:w="3944" w:type="pct"/>
            <w:tcBorders>
              <w:top w:val="single" w:sz="12" w:space="0" w:color="auto"/>
            </w:tcBorders>
          </w:tcPr>
          <w:p w:rsidR="00D8067A" w:rsidRPr="00BE56F3" w:rsidRDefault="00D8067A" w:rsidP="00BE56F3">
            <w:pPr>
              <w:spacing w:after="0" w:line="240" w:lineRule="auto"/>
              <w:contextualSpacing/>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Primary effectiveness outcomes:</w:t>
            </w:r>
          </w:p>
          <w:p w:rsidR="00D8067A" w:rsidRPr="00BE56F3" w:rsidRDefault="00D8067A" w:rsidP="00BE56F3">
            <w:pPr>
              <w:pStyle w:val="ListParagraph"/>
              <w:numPr>
                <w:ilvl w:val="0"/>
                <w:numId w:val="34"/>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Incidence of minimal trauma fracture</w:t>
            </w:r>
          </w:p>
          <w:p w:rsidR="00D8067A" w:rsidRPr="00BE56F3" w:rsidRDefault="00D8067A" w:rsidP="00BE56F3">
            <w:pPr>
              <w:pStyle w:val="ListParagraph"/>
              <w:numPr>
                <w:ilvl w:val="0"/>
                <w:numId w:val="34"/>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Incidence of all fractures</w:t>
            </w:r>
          </w:p>
          <w:p w:rsidR="00D8067A" w:rsidRPr="00BE56F3" w:rsidRDefault="00D8067A" w:rsidP="00BE56F3">
            <w:pPr>
              <w:pStyle w:val="ListParagraph"/>
              <w:numPr>
                <w:ilvl w:val="0"/>
                <w:numId w:val="34"/>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Patient related quality of life</w:t>
            </w:r>
          </w:p>
          <w:p w:rsidR="00D8067A" w:rsidRPr="00BE56F3" w:rsidRDefault="00D8067A" w:rsidP="00BE56F3">
            <w:pPr>
              <w:spacing w:after="0" w:line="240" w:lineRule="auto"/>
              <w:contextualSpacing/>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Secondary effectiveness:</w:t>
            </w:r>
          </w:p>
          <w:p w:rsidR="00D8067A" w:rsidRDefault="00D8067A" w:rsidP="00BE56F3">
            <w:pPr>
              <w:pStyle w:val="ListParagraph"/>
              <w:numPr>
                <w:ilvl w:val="0"/>
                <w:numId w:val="35"/>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Change in morbidity/mortality</w:t>
            </w:r>
          </w:p>
          <w:p w:rsidR="009970EB" w:rsidRPr="003A48F8" w:rsidRDefault="009970EB" w:rsidP="003A48F8">
            <w:pPr>
              <w:pStyle w:val="ListParagraph"/>
              <w:numPr>
                <w:ilvl w:val="0"/>
                <w:numId w:val="35"/>
              </w:numPr>
              <w:rPr>
                <w:rFonts w:ascii="Arial Narrow" w:eastAsia="Times New Roman" w:hAnsi="Arial Narrow" w:cs="Times New Roman"/>
                <w:sz w:val="18"/>
                <w:szCs w:val="18"/>
                <w:lang w:val="en-GB" w:eastAsia="en-US"/>
              </w:rPr>
            </w:pPr>
            <w:r w:rsidRPr="009970EB">
              <w:rPr>
                <w:rFonts w:ascii="Arial Narrow" w:eastAsia="Times New Roman" w:hAnsi="Arial Narrow" w:cs="Times New Roman"/>
                <w:sz w:val="18"/>
                <w:szCs w:val="18"/>
                <w:lang w:val="en-GB" w:eastAsia="en-US"/>
              </w:rPr>
              <w:t>Bone mineral density (as measured by T-score, or by Z-score in premenopausal women)</w:t>
            </w:r>
          </w:p>
          <w:p w:rsidR="00D8067A" w:rsidRPr="00BE56F3" w:rsidRDefault="00D8067A" w:rsidP="00BE56F3">
            <w:pPr>
              <w:spacing w:after="0" w:line="240" w:lineRule="auto"/>
              <w:contextualSpacing/>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Safety outcomes and adverse events: </w:t>
            </w:r>
          </w:p>
          <w:p w:rsidR="00D8067A" w:rsidRPr="00BE56F3" w:rsidRDefault="00D8067A" w:rsidP="00BE56F3">
            <w:pPr>
              <w:pStyle w:val="ListParagraph"/>
              <w:numPr>
                <w:ilvl w:val="0"/>
                <w:numId w:val="35"/>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Any adverse event related to scanning or treatments</w:t>
            </w:r>
          </w:p>
          <w:p w:rsidR="00D8067A" w:rsidRDefault="00D8067A" w:rsidP="00BE56F3">
            <w:pPr>
              <w:pStyle w:val="ListParagraph"/>
              <w:numPr>
                <w:ilvl w:val="0"/>
                <w:numId w:val="35"/>
              </w:num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Any adverse event arising from exposure to ionising radiation</w:t>
            </w:r>
          </w:p>
          <w:p w:rsidR="007F21B5" w:rsidRDefault="007F21B5" w:rsidP="003E0E84">
            <w:pPr>
              <w:spacing w:after="0" w:line="240" w:lineRule="auto"/>
              <w:jc w:val="left"/>
              <w:rPr>
                <w:rFonts w:ascii="Arial Narrow" w:eastAsia="Times New Roman" w:hAnsi="Arial Narrow" w:cs="Times New Roman"/>
                <w:sz w:val="18"/>
                <w:szCs w:val="18"/>
                <w:lang w:val="en-GB" w:eastAsia="en-US"/>
              </w:rPr>
            </w:pPr>
          </w:p>
          <w:p w:rsidR="007F21B5" w:rsidRPr="003E0E84" w:rsidRDefault="007F21B5" w:rsidP="003E0E84">
            <w:pPr>
              <w:spacing w:after="0" w:line="240" w:lineRule="auto"/>
              <w:jc w:val="left"/>
              <w:rPr>
                <w:rFonts w:ascii="Arial Narrow" w:eastAsia="Times New Roman" w:hAnsi="Arial Narrow" w:cs="Times New Roman"/>
                <w:sz w:val="18"/>
                <w:szCs w:val="18"/>
                <w:lang w:val="en-GB" w:eastAsia="en-US"/>
              </w:rPr>
            </w:pPr>
            <w:r w:rsidRPr="007F21B5">
              <w:rPr>
                <w:rFonts w:ascii="Arial Narrow" w:eastAsia="Times New Roman" w:hAnsi="Arial Narrow" w:cs="Times New Roman"/>
                <w:sz w:val="18"/>
                <w:szCs w:val="18"/>
                <w:lang w:val="en-GB" w:eastAsia="en-US"/>
              </w:rPr>
              <w:t>Note that it will be important to report all outcomes according to patient age and time of treat</w:t>
            </w:r>
            <w:r>
              <w:rPr>
                <w:rFonts w:ascii="Arial Narrow" w:eastAsia="Times New Roman" w:hAnsi="Arial Narrow" w:cs="Times New Roman"/>
                <w:sz w:val="18"/>
                <w:szCs w:val="18"/>
                <w:lang w:val="en-GB" w:eastAsia="en-US"/>
              </w:rPr>
              <w:t>ment with aromatase inhibitors</w:t>
            </w:r>
            <w:r w:rsidRPr="007F21B5">
              <w:rPr>
                <w:rFonts w:ascii="Arial Narrow" w:eastAsia="Times New Roman" w:hAnsi="Arial Narrow" w:cs="Times New Roman"/>
                <w:sz w:val="18"/>
                <w:szCs w:val="18"/>
                <w:lang w:val="en-GB" w:eastAsia="en-US"/>
              </w:rPr>
              <w:t>.</w:t>
            </w:r>
          </w:p>
        </w:tc>
      </w:tr>
      <w:tr w:rsidR="00D8067A" w:rsidRPr="00B524A9" w:rsidTr="00BE56F3">
        <w:trPr>
          <w:trHeight w:val="418"/>
        </w:trPr>
        <w:tc>
          <w:tcPr>
            <w:tcW w:w="1056" w:type="pct"/>
            <w:tcBorders>
              <w:top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Context</w:t>
            </w:r>
          </w:p>
        </w:tc>
        <w:tc>
          <w:tcPr>
            <w:tcW w:w="3944" w:type="pct"/>
            <w:tcBorders>
              <w:top w:val="single" w:sz="12" w:space="0" w:color="auto"/>
            </w:tcBorders>
          </w:tcPr>
          <w:p w:rsidR="00D8067A" w:rsidRPr="00BE56F3" w:rsidRDefault="00D8067A" w:rsidP="00BE56F3">
            <w:pPr>
              <w:spacing w:after="0" w:line="240" w:lineRule="auto"/>
              <w:contextualSpacing/>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PASC has stated that change in BMD as measured by a T-score or Z-score is an acceptable surrogate marker for the risk of MTF. </w:t>
            </w:r>
          </w:p>
        </w:tc>
      </w:tr>
      <w:tr w:rsidR="00D8067A" w:rsidRPr="00B524A9" w:rsidTr="00BE56F3">
        <w:trPr>
          <w:trHeight w:val="418"/>
        </w:trPr>
        <w:tc>
          <w:tcPr>
            <w:tcW w:w="1056" w:type="pct"/>
            <w:tcBorders>
              <w:bottom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Approach to assessment</w:t>
            </w:r>
          </w:p>
        </w:tc>
        <w:tc>
          <w:tcPr>
            <w:tcW w:w="3944" w:type="pct"/>
            <w:tcBorders>
              <w:bottom w:val="single" w:sz="12" w:space="0" w:color="auto"/>
            </w:tcBorders>
          </w:tcPr>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Where possible, the outcome of minimal trauma fracture should be disaggregated to type and location of fracture (e.g. hip </w:t>
            </w:r>
            <w:proofErr w:type="spellStart"/>
            <w:r w:rsidRPr="00BE56F3">
              <w:rPr>
                <w:rFonts w:ascii="Arial Narrow" w:eastAsia="Times New Roman" w:hAnsi="Arial Narrow" w:cs="Times New Roman"/>
                <w:sz w:val="18"/>
                <w:szCs w:val="18"/>
                <w:lang w:val="en-GB" w:eastAsia="en-US"/>
              </w:rPr>
              <w:t>vs</w:t>
            </w:r>
            <w:proofErr w:type="spellEnd"/>
            <w:r w:rsidRPr="00BE56F3">
              <w:rPr>
                <w:rFonts w:ascii="Arial Narrow" w:eastAsia="Times New Roman" w:hAnsi="Arial Narrow" w:cs="Times New Roman"/>
                <w:sz w:val="18"/>
                <w:szCs w:val="18"/>
                <w:lang w:val="en-GB" w:eastAsia="en-US"/>
              </w:rPr>
              <w:t xml:space="preserve"> non-hip) as this is important to translate to any possible effects on life-years and quality-adjusted life-years.</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The location of the DXA exam (for example, proximal femur, lumbar spine, hip, distal radius) should be reported for all studies where possible. </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Where women are re-tested, it should be noted whether subsequent tests are undertaken on the same machine, or a different machine but the same model, or at the same or different practice. </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PASC acknowledges that DXA is associated with low radiation doses, but that increasing the availability of DXA may significantly increase the exposure of the proposed population of otherwise healthy women to ionising radiation. This issue should be addressed in the assessment of evidence.</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Any evidence relating to the proportion of women in the target population who will have a T-</w:t>
            </w:r>
            <w:r w:rsidR="000D491A">
              <w:rPr>
                <w:rFonts w:ascii="Arial Narrow" w:eastAsia="Times New Roman" w:hAnsi="Arial Narrow" w:cs="Times New Roman"/>
                <w:sz w:val="18"/>
                <w:szCs w:val="18"/>
                <w:lang w:val="en-GB" w:eastAsia="en-US"/>
              </w:rPr>
              <w:t>s</w:t>
            </w:r>
            <w:r w:rsidR="000D491A" w:rsidRPr="00BE56F3">
              <w:rPr>
                <w:rFonts w:ascii="Arial Narrow" w:eastAsia="Times New Roman" w:hAnsi="Arial Narrow" w:cs="Times New Roman"/>
                <w:sz w:val="18"/>
                <w:szCs w:val="18"/>
                <w:lang w:val="en-GB" w:eastAsia="en-US"/>
              </w:rPr>
              <w:t xml:space="preserve">core </w:t>
            </w:r>
            <w:r w:rsidRPr="00BE56F3">
              <w:rPr>
                <w:rFonts w:ascii="Arial Narrow" w:eastAsia="Times New Roman" w:hAnsi="Arial Narrow" w:cs="Times New Roman"/>
                <w:sz w:val="18"/>
                <w:szCs w:val="18"/>
                <w:lang w:val="en-GB" w:eastAsia="en-US"/>
              </w:rPr>
              <w:t xml:space="preserve">below the proposed threshold should be reported. </w:t>
            </w: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p>
          <w:p w:rsidR="00D8067A" w:rsidRPr="00BE56F3" w:rsidRDefault="00D8067A" w:rsidP="00BE56F3">
            <w:pPr>
              <w:spacing w:after="0" w:line="240" w:lineRule="auto"/>
              <w:jc w:val="left"/>
              <w:rPr>
                <w:rFonts w:ascii="Arial Narrow" w:eastAsia="Times New Roman" w:hAnsi="Arial Narrow" w:cs="Times New Roman"/>
                <w:sz w:val="18"/>
                <w:szCs w:val="18"/>
                <w:lang w:val="en-GB" w:eastAsia="en-US"/>
              </w:rPr>
            </w:pPr>
            <w:r w:rsidRPr="00BE56F3">
              <w:rPr>
                <w:rFonts w:ascii="Arial Narrow" w:eastAsia="Times New Roman" w:hAnsi="Arial Narrow" w:cs="Times New Roman"/>
                <w:sz w:val="18"/>
                <w:szCs w:val="18"/>
                <w:lang w:val="en-GB" w:eastAsia="en-US"/>
              </w:rPr>
              <w:t xml:space="preserve">Outcomes should be separated according to subpopulations if possible. </w:t>
            </w:r>
          </w:p>
        </w:tc>
      </w:tr>
    </w:tbl>
    <w:p w:rsidR="00D8067A" w:rsidRDefault="00D8067A">
      <w:pPr>
        <w:spacing w:after="0" w:line="240" w:lineRule="auto"/>
        <w:jc w:val="left"/>
      </w:pPr>
    </w:p>
    <w:p w:rsidR="00D8067A" w:rsidRDefault="00D8067A" w:rsidP="001E763C">
      <w:pPr>
        <w:pStyle w:val="Heading1"/>
      </w:pPr>
      <w:bookmarkStart w:id="49" w:name="_Toc335905425"/>
      <w:bookmarkStart w:id="50" w:name="_Toc362968500"/>
      <w:r>
        <w:t>Clinical research questions for public funding</w:t>
      </w:r>
      <w:bookmarkEnd w:id="49"/>
      <w:bookmarkEnd w:id="50"/>
    </w:p>
    <w:p w:rsidR="00D8067A" w:rsidRDefault="00D8067A" w:rsidP="00615E23">
      <w:pPr>
        <w:pStyle w:val="ListParagraph"/>
        <w:numPr>
          <w:ilvl w:val="0"/>
          <w:numId w:val="20"/>
        </w:numPr>
      </w:pPr>
      <w:r w:rsidRPr="003920DD">
        <w:t xml:space="preserve">Is the proposed population of women </w:t>
      </w:r>
      <w:r>
        <w:t>being treated with aromatase inhibitors</w:t>
      </w:r>
      <w:r w:rsidRPr="003920DD">
        <w:t>, at greater risk of minimal trauma fracture than the baseline population?</w:t>
      </w:r>
    </w:p>
    <w:p w:rsidR="00D8067A" w:rsidRDefault="00D8067A" w:rsidP="00615E23">
      <w:pPr>
        <w:pStyle w:val="ListParagraph"/>
        <w:numPr>
          <w:ilvl w:val="0"/>
          <w:numId w:val="20"/>
        </w:numPr>
      </w:pPr>
      <w:r>
        <w:t xml:space="preserve">What is the safety of DXA and management of bone mineral density compared with no DXA and no bone loss management in women taking AIs? </w:t>
      </w:r>
      <w:r w:rsidRPr="00047D5C">
        <w:t>This question should be applied to each of the specified populations:</w:t>
      </w:r>
    </w:p>
    <w:p w:rsidR="00D8067A" w:rsidRPr="00925429" w:rsidRDefault="00D8067A" w:rsidP="00615E23">
      <w:pPr>
        <w:pStyle w:val="ListParagraph"/>
        <w:numPr>
          <w:ilvl w:val="1"/>
          <w:numId w:val="20"/>
        </w:numPr>
      </w:pPr>
      <w:r w:rsidRPr="00925429">
        <w:t>Post-menopausal women with breast cancer taking aromatase inhibitors</w:t>
      </w:r>
    </w:p>
    <w:p w:rsidR="00D8067A" w:rsidRPr="00925429" w:rsidRDefault="00D8067A" w:rsidP="00615E23">
      <w:pPr>
        <w:pStyle w:val="ListParagraph"/>
        <w:numPr>
          <w:ilvl w:val="1"/>
          <w:numId w:val="20"/>
        </w:numPr>
      </w:pPr>
      <w:r w:rsidRPr="00925429">
        <w:t xml:space="preserve">Women taking aromatase inhibitors who have previously been treated with </w:t>
      </w:r>
      <w:proofErr w:type="spellStart"/>
      <w:r>
        <w:t>tamoxifen</w:t>
      </w:r>
      <w:proofErr w:type="spellEnd"/>
      <w:r w:rsidRPr="00925429">
        <w:t>.</w:t>
      </w:r>
    </w:p>
    <w:p w:rsidR="00D8067A" w:rsidRDefault="00D8067A" w:rsidP="00615E23">
      <w:pPr>
        <w:pStyle w:val="ListParagraph"/>
        <w:numPr>
          <w:ilvl w:val="0"/>
          <w:numId w:val="20"/>
        </w:numPr>
      </w:pPr>
      <w:r w:rsidRPr="00047D5C">
        <w:t xml:space="preserve">What is the </w:t>
      </w:r>
      <w:r>
        <w:t>effectiveness</w:t>
      </w:r>
      <w:r w:rsidRPr="00047D5C">
        <w:t xml:space="preserve"> of DXA and management of bone mineral density compared with no DX</w:t>
      </w:r>
      <w:r>
        <w:t xml:space="preserve">A and no bone loss management in women taking AIs? </w:t>
      </w:r>
      <w:r w:rsidRPr="00E252C3">
        <w:t>What are the long term effects of treatment on the incidence of minimal trauma fracture?</w:t>
      </w:r>
      <w:r>
        <w:t xml:space="preserve"> These questions should be applied to each of the specified populations:</w:t>
      </w:r>
    </w:p>
    <w:p w:rsidR="00D8067A" w:rsidRPr="00925429" w:rsidRDefault="00D8067A" w:rsidP="00615E23">
      <w:pPr>
        <w:pStyle w:val="ListParagraph"/>
        <w:numPr>
          <w:ilvl w:val="1"/>
          <w:numId w:val="20"/>
        </w:numPr>
      </w:pPr>
      <w:r w:rsidRPr="00925429">
        <w:t>Post-menopausal women with breast cancer taking aromatase inhibitors</w:t>
      </w:r>
    </w:p>
    <w:p w:rsidR="00D8067A" w:rsidRPr="00925429" w:rsidRDefault="00D8067A" w:rsidP="00615E23">
      <w:pPr>
        <w:pStyle w:val="ListParagraph"/>
        <w:numPr>
          <w:ilvl w:val="1"/>
          <w:numId w:val="20"/>
        </w:numPr>
      </w:pPr>
      <w:r w:rsidRPr="00925429">
        <w:t xml:space="preserve">Women taking aromatase inhibitors who have previously been treated with </w:t>
      </w:r>
      <w:proofErr w:type="spellStart"/>
      <w:r>
        <w:t>tamoxifen</w:t>
      </w:r>
      <w:proofErr w:type="spellEnd"/>
      <w:r w:rsidRPr="00925429">
        <w:t>.</w:t>
      </w:r>
    </w:p>
    <w:p w:rsidR="00D8067A" w:rsidRDefault="00D8067A" w:rsidP="00615E23">
      <w:pPr>
        <w:pStyle w:val="ListParagraph"/>
        <w:numPr>
          <w:ilvl w:val="0"/>
          <w:numId w:val="20"/>
        </w:numPr>
      </w:pPr>
      <w:r>
        <w:lastRenderedPageBreak/>
        <w:t>What is the cost e</w:t>
      </w:r>
      <w:r w:rsidRPr="00047D5C">
        <w:t>ffectiveness of DXA and management of bone mineral density compared with no DXA and no bone loss management in women taking AIs? This question should be applied to each of the specified populations:</w:t>
      </w:r>
    </w:p>
    <w:p w:rsidR="00D8067A" w:rsidRPr="00925429" w:rsidRDefault="00D8067A" w:rsidP="00615E23">
      <w:pPr>
        <w:pStyle w:val="ListParagraph"/>
        <w:numPr>
          <w:ilvl w:val="1"/>
          <w:numId w:val="20"/>
        </w:numPr>
      </w:pPr>
      <w:r w:rsidRPr="00925429">
        <w:t>Post-menopausal women with breast cancer taking aromatase inhibitors</w:t>
      </w:r>
    </w:p>
    <w:p w:rsidR="00D8067A" w:rsidRDefault="00D8067A" w:rsidP="00615E23">
      <w:pPr>
        <w:pStyle w:val="ListParagraph"/>
        <w:numPr>
          <w:ilvl w:val="1"/>
          <w:numId w:val="20"/>
        </w:numPr>
      </w:pPr>
      <w:r w:rsidRPr="00925429">
        <w:t xml:space="preserve">Women taking aromatase inhibitors who have previously been treated with </w:t>
      </w:r>
      <w:proofErr w:type="spellStart"/>
      <w:r>
        <w:t>tamoxifen</w:t>
      </w:r>
      <w:proofErr w:type="spellEnd"/>
      <w:r w:rsidRPr="00925429">
        <w:t>.</w:t>
      </w:r>
    </w:p>
    <w:p w:rsidR="00D8067A" w:rsidRPr="00925429" w:rsidRDefault="00D8067A" w:rsidP="00615E23">
      <w:pPr>
        <w:pStyle w:val="ListParagraph"/>
        <w:numPr>
          <w:ilvl w:val="1"/>
          <w:numId w:val="20"/>
        </w:numPr>
      </w:pPr>
      <w:r w:rsidRPr="003920DD">
        <w:t xml:space="preserve">Sensitivity analyses should be undertaken to provide information on the range of variables identified throughout this </w:t>
      </w:r>
      <w:proofErr w:type="gramStart"/>
      <w:r w:rsidRPr="003920DD">
        <w:t>DAP</w:t>
      </w:r>
      <w:proofErr w:type="gramEnd"/>
      <w:r w:rsidRPr="003920DD">
        <w:t>.</w:t>
      </w:r>
    </w:p>
    <w:p w:rsidR="000D491A" w:rsidRDefault="000D491A" w:rsidP="00615E23">
      <w:pPr>
        <w:pStyle w:val="ListParagraph"/>
        <w:numPr>
          <w:ilvl w:val="0"/>
          <w:numId w:val="20"/>
        </w:numPr>
      </w:pPr>
      <w:r>
        <w:t>Secondary clinical research questions include:</w:t>
      </w:r>
    </w:p>
    <w:p w:rsidR="00D8067A" w:rsidRDefault="00D8067A" w:rsidP="00615E23">
      <w:pPr>
        <w:pStyle w:val="ListParagraph"/>
        <w:numPr>
          <w:ilvl w:val="0"/>
          <w:numId w:val="20"/>
        </w:numPr>
      </w:pPr>
      <w:r>
        <w:t>What is the appropriate threshold T-score to trigger anti-</w:t>
      </w:r>
      <w:proofErr w:type="spellStart"/>
      <w:r>
        <w:t>resorptive</w:t>
      </w:r>
      <w:proofErr w:type="spellEnd"/>
      <w:r>
        <w:t xml:space="preserve"> treatment in women taking aromatase inhibitors?</w:t>
      </w:r>
    </w:p>
    <w:p w:rsidR="00D8067A" w:rsidRDefault="00D8067A" w:rsidP="00615E23">
      <w:pPr>
        <w:pStyle w:val="ListParagraph"/>
        <w:numPr>
          <w:ilvl w:val="0"/>
          <w:numId w:val="20"/>
        </w:numPr>
      </w:pPr>
      <w:r>
        <w:t>For patients reaching the threshold T-score and subsequently being treated with anti-</w:t>
      </w:r>
      <w:proofErr w:type="spellStart"/>
      <w:r>
        <w:t>resorptive</w:t>
      </w:r>
      <w:proofErr w:type="spellEnd"/>
      <w:r>
        <w:t xml:space="preserve"> therapy, with what frequency should women receive a repeat DXA scan?</w:t>
      </w:r>
    </w:p>
    <w:p w:rsidR="00D8067A" w:rsidRDefault="00D8067A" w:rsidP="00615E23">
      <w:pPr>
        <w:pStyle w:val="ListParagraph"/>
        <w:numPr>
          <w:ilvl w:val="0"/>
          <w:numId w:val="20"/>
        </w:numPr>
      </w:pPr>
      <w:r>
        <w:t xml:space="preserve">For patients not reaching the threshold T-score for therapy at their initial test, with what frequency should women undergo repeat testing? </w:t>
      </w:r>
    </w:p>
    <w:p w:rsidR="00D8067A" w:rsidRDefault="00D8067A" w:rsidP="00C6264F">
      <w:pPr>
        <w:ind w:left="360"/>
      </w:pPr>
      <w:r w:rsidRPr="003920DD">
        <w:t xml:space="preserve">PASC is interested to define the baseline fracture rate and bone mineral density loss in the </w:t>
      </w:r>
      <w:r>
        <w:t>proposed</w:t>
      </w:r>
      <w:r w:rsidRPr="003920DD">
        <w:t xml:space="preserve"> population, how this differs from fracture rate and BMD loss in the broader population with age, and how a specific intervention (scanning and medication) can improve bone loss outcomes. Ideally the main outcome measure should be fracture rate. In the absence of this information change in BMD as measured by a T-score or Z-score is an acceptable surrogate marker for the risk of MTF.</w:t>
      </w:r>
    </w:p>
    <w:p w:rsidR="00D8067A" w:rsidRDefault="00D8067A" w:rsidP="001E763C">
      <w:r>
        <w:br w:type="page"/>
      </w:r>
    </w:p>
    <w:p w:rsidR="00D8067A" w:rsidRDefault="00D8067A" w:rsidP="00D34BAD">
      <w:pPr>
        <w:pStyle w:val="Heading1"/>
        <w:spacing w:after="240"/>
      </w:pPr>
      <w:bookmarkStart w:id="51" w:name="_Toc335905426"/>
      <w:bookmarkStart w:id="52" w:name="_Toc362968501"/>
      <w:r>
        <w:lastRenderedPageBreak/>
        <w:t>References</w:t>
      </w:r>
      <w:bookmarkEnd w:id="51"/>
      <w:bookmarkEnd w:id="52"/>
    </w:p>
    <w:p w:rsidR="00E34900" w:rsidRDefault="00E34900" w:rsidP="00075E36">
      <w:proofErr w:type="gramStart"/>
      <w:r>
        <w:t>AIHW 2008.</w:t>
      </w:r>
      <w:proofErr w:type="gramEnd"/>
      <w:r>
        <w:t xml:space="preserve"> </w:t>
      </w:r>
      <w:proofErr w:type="gramStart"/>
      <w:r w:rsidRPr="006C17A9">
        <w:rPr>
          <w:i/>
        </w:rPr>
        <w:t>A picture of osteoporosis in Australia</w:t>
      </w:r>
      <w:r w:rsidRPr="00296E39">
        <w:t>.</w:t>
      </w:r>
      <w:proofErr w:type="gramEnd"/>
      <w:r w:rsidRPr="00296E39">
        <w:t xml:space="preserve"> </w:t>
      </w:r>
      <w:proofErr w:type="gramStart"/>
      <w:r w:rsidRPr="00296E39">
        <w:t>Arthritis series no.6 cat.</w:t>
      </w:r>
      <w:proofErr w:type="gramEnd"/>
      <w:r w:rsidRPr="00296E39">
        <w:t xml:space="preserve"> </w:t>
      </w:r>
      <w:proofErr w:type="gramStart"/>
      <w:r w:rsidRPr="00296E39">
        <w:t>Co. PHE 99.</w:t>
      </w:r>
      <w:proofErr w:type="gramEnd"/>
      <w:r w:rsidRPr="00296E39">
        <w:t xml:space="preserve"> </w:t>
      </w:r>
      <w:proofErr w:type="gramStart"/>
      <w:r w:rsidRPr="00296E39">
        <w:t>Australian Institute</w:t>
      </w:r>
      <w:r>
        <w:t xml:space="preserve"> </w:t>
      </w:r>
      <w:r w:rsidRPr="00296E39">
        <w:t>of Health and Welfare, Canberra</w:t>
      </w:r>
      <w:r>
        <w:t>, [Internet].</w:t>
      </w:r>
      <w:proofErr w:type="gramEnd"/>
      <w:r>
        <w:t xml:space="preserve"> Available from:</w:t>
      </w:r>
      <w:r w:rsidRPr="00296E39">
        <w:t xml:space="preserve"> </w:t>
      </w:r>
      <w:r>
        <w:t>&lt;</w:t>
      </w:r>
      <w:r w:rsidRPr="001B2CF7">
        <w:t>http://www.aihw.gov.au/</w:t>
      </w:r>
      <w:r>
        <w:t xml:space="preserve"> </w:t>
      </w:r>
      <w:r w:rsidRPr="001B2CF7">
        <w:t>publication-detail/</w:t>
      </w:r>
      <w:proofErr w:type="gramStart"/>
      <w:r w:rsidRPr="001B2CF7">
        <w:t>?id</w:t>
      </w:r>
      <w:proofErr w:type="gramEnd"/>
      <w:r w:rsidRPr="001B2CF7">
        <w:t>=6442468121</w:t>
      </w:r>
      <w:r w:rsidRPr="001B2CF7">
        <w:rPr>
          <w:rStyle w:val="Hyperlink"/>
          <w:rFonts w:cs="Tahoma"/>
          <w:color w:val="auto"/>
          <w:u w:val="none"/>
        </w:rPr>
        <w:t>&gt;</w:t>
      </w:r>
      <w:r w:rsidRPr="005128CC">
        <w:t xml:space="preserve"> </w:t>
      </w:r>
      <w:r w:rsidRPr="00296E39">
        <w:t>[Accessed 15 June 2012].</w:t>
      </w:r>
    </w:p>
    <w:p w:rsidR="00E34900" w:rsidRDefault="00E34900" w:rsidP="00075E36">
      <w:proofErr w:type="gramStart"/>
      <w:r>
        <w:t xml:space="preserve">AIHW </w:t>
      </w:r>
      <w:r w:rsidRPr="00674C70">
        <w:t>2011.</w:t>
      </w:r>
      <w:proofErr w:type="gramEnd"/>
      <w:r w:rsidRPr="00674C70">
        <w:t xml:space="preserve"> </w:t>
      </w:r>
      <w:proofErr w:type="gramStart"/>
      <w:r w:rsidRPr="00674C70">
        <w:t>A snapshot of osteoporosis in Australia 2011.</w:t>
      </w:r>
      <w:proofErr w:type="gramEnd"/>
      <w:r w:rsidRPr="00674C70">
        <w:t xml:space="preserve"> </w:t>
      </w:r>
      <w:proofErr w:type="gramStart"/>
      <w:r w:rsidRPr="00674C70">
        <w:t>Arthritis series no. 15.</w:t>
      </w:r>
      <w:proofErr w:type="gramEnd"/>
      <w:r w:rsidRPr="00674C70">
        <w:t xml:space="preserve"> Cat. </w:t>
      </w:r>
      <w:proofErr w:type="gramStart"/>
      <w:r w:rsidRPr="00674C70">
        <w:t>no</w:t>
      </w:r>
      <w:proofErr w:type="gramEnd"/>
      <w:r w:rsidRPr="00674C70">
        <w:t xml:space="preserve">. </w:t>
      </w:r>
      <w:proofErr w:type="gramStart"/>
      <w:r w:rsidRPr="00674C70">
        <w:t>PHE 137.</w:t>
      </w:r>
      <w:proofErr w:type="gramEnd"/>
      <w:r w:rsidRPr="00674C70">
        <w:t xml:space="preserve"> </w:t>
      </w:r>
      <w:proofErr w:type="gramStart"/>
      <w:r w:rsidRPr="00674C70">
        <w:t>Australian Institute of Health and Welfare</w:t>
      </w:r>
      <w:r>
        <w:t xml:space="preserve">, </w:t>
      </w:r>
      <w:r w:rsidRPr="00674C70">
        <w:t>Canberra</w:t>
      </w:r>
      <w:r>
        <w:t>.</w:t>
      </w:r>
      <w:proofErr w:type="gramEnd"/>
      <w:r w:rsidRPr="00674C70">
        <w:t xml:space="preserve"> </w:t>
      </w:r>
    </w:p>
    <w:p w:rsidR="00E34900" w:rsidRPr="00674C70" w:rsidRDefault="00E34900" w:rsidP="00075E36">
      <w:r w:rsidRPr="006754E7">
        <w:t>Aust</w:t>
      </w:r>
      <w:r>
        <w:t>ralian Medicines Handbook (AMH), URL: &lt;</w:t>
      </w:r>
      <w:r w:rsidRPr="001B2CF7">
        <w:t>https://shop.amh.net.au/January</w:t>
      </w:r>
      <w:r w:rsidRPr="001B2CF7">
        <w:rPr>
          <w:rStyle w:val="Hyperlink"/>
          <w:rFonts w:cs="Tahoma"/>
          <w:color w:val="auto"/>
          <w:u w:val="none"/>
        </w:rPr>
        <w:t>&gt;</w:t>
      </w:r>
      <w:r>
        <w:t xml:space="preserve"> [Accessed </w:t>
      </w:r>
      <w:r w:rsidRPr="000A3A7E">
        <w:t>10 March 2012</w:t>
      </w:r>
      <w:r>
        <w:t>]</w:t>
      </w:r>
    </w:p>
    <w:p w:rsidR="00E34900" w:rsidRPr="00674C70" w:rsidRDefault="00E34900" w:rsidP="00075E36">
      <w:proofErr w:type="gramStart"/>
      <w:r w:rsidRPr="00230FE6">
        <w:t>Bauer</w:t>
      </w:r>
      <w:r>
        <w:t xml:space="preserve">, J.S., </w:t>
      </w:r>
      <w:proofErr w:type="spellStart"/>
      <w:r w:rsidRPr="00230FE6">
        <w:t>Virmani</w:t>
      </w:r>
      <w:proofErr w:type="spellEnd"/>
      <w:r>
        <w:t>, S., et al. 2010.</w:t>
      </w:r>
      <w:proofErr w:type="gramEnd"/>
      <w:r>
        <w:t xml:space="preserve"> </w:t>
      </w:r>
      <w:proofErr w:type="gramStart"/>
      <w:r>
        <w:t>‘</w:t>
      </w:r>
      <w:r w:rsidRPr="00230FE6">
        <w:t>Quantitative CT to assess bone mineral density as a diagnostic tool for osteoporosis and related fractures</w:t>
      </w:r>
      <w:r>
        <w:t>’,</w:t>
      </w:r>
      <w:r w:rsidRPr="00230FE6">
        <w:t xml:space="preserve"> </w:t>
      </w:r>
      <w:proofErr w:type="spellStart"/>
      <w:r w:rsidRPr="00C30131">
        <w:rPr>
          <w:i/>
        </w:rPr>
        <w:t>Medicamunidi</w:t>
      </w:r>
      <w:proofErr w:type="spellEnd"/>
      <w:r>
        <w:t>, 54 (2), 31-37.</w:t>
      </w:r>
      <w:proofErr w:type="gramEnd"/>
    </w:p>
    <w:p w:rsidR="00E34900" w:rsidRDefault="00E34900" w:rsidP="00075E36">
      <w:proofErr w:type="spellStart"/>
      <w:proofErr w:type="gramStart"/>
      <w:r w:rsidRPr="00674C70">
        <w:t>Bjarnason</w:t>
      </w:r>
      <w:proofErr w:type="spellEnd"/>
      <w:r>
        <w:t>,</w:t>
      </w:r>
      <w:r w:rsidRPr="00674C70">
        <w:t xml:space="preserve"> N.H</w:t>
      </w:r>
      <w:r>
        <w:t>.</w:t>
      </w:r>
      <w:r w:rsidRPr="00674C70">
        <w:t xml:space="preserve">, </w:t>
      </w:r>
      <w:proofErr w:type="spellStart"/>
      <w:r w:rsidRPr="00674C70">
        <w:t>Hitz</w:t>
      </w:r>
      <w:proofErr w:type="spellEnd"/>
      <w:r>
        <w:t>,</w:t>
      </w:r>
      <w:r w:rsidRPr="00674C70">
        <w:t xml:space="preserve"> M</w:t>
      </w:r>
      <w:r>
        <w:t>.</w:t>
      </w:r>
      <w:r w:rsidRPr="00674C70">
        <w:t>,</w:t>
      </w:r>
      <w:r>
        <w:t xml:space="preserve"> et al. 2008</w:t>
      </w:r>
      <w:r w:rsidRPr="00674C70">
        <w:t>.</w:t>
      </w:r>
      <w:proofErr w:type="gramEnd"/>
      <w:r w:rsidRPr="00674C70">
        <w:t xml:space="preserve"> </w:t>
      </w:r>
      <w:proofErr w:type="gramStart"/>
      <w:r>
        <w:t>‘</w:t>
      </w:r>
      <w:r w:rsidRPr="00674C70">
        <w:t>Adverse bone effects during pharmacological breast cancer therapy</w:t>
      </w:r>
      <w:r>
        <w:t>’,</w:t>
      </w:r>
      <w:r w:rsidRPr="00674C70">
        <w:t xml:space="preserve"> </w:t>
      </w:r>
      <w:proofErr w:type="spellStart"/>
      <w:r w:rsidRPr="00C30131">
        <w:rPr>
          <w:i/>
        </w:rPr>
        <w:t>Acta</w:t>
      </w:r>
      <w:proofErr w:type="spellEnd"/>
      <w:r w:rsidRPr="00C30131">
        <w:rPr>
          <w:i/>
        </w:rPr>
        <w:t xml:space="preserve"> </w:t>
      </w:r>
      <w:proofErr w:type="spellStart"/>
      <w:r w:rsidRPr="00C30131">
        <w:rPr>
          <w:i/>
        </w:rPr>
        <w:t>Oncologica</w:t>
      </w:r>
      <w:proofErr w:type="spellEnd"/>
      <w:r>
        <w:rPr>
          <w:i/>
        </w:rPr>
        <w:t>,</w:t>
      </w:r>
      <w:r>
        <w:t xml:space="preserve"> </w:t>
      </w:r>
      <w:r w:rsidRPr="00674C70">
        <w:t>47</w:t>
      </w:r>
      <w:r>
        <w:t xml:space="preserve"> (4), </w:t>
      </w:r>
      <w:r w:rsidRPr="00674C70">
        <w:t>747-754</w:t>
      </w:r>
      <w:r>
        <w:t>.</w:t>
      </w:r>
      <w:proofErr w:type="gramEnd"/>
    </w:p>
    <w:p w:rsidR="00E34900" w:rsidRPr="00674C70" w:rsidRDefault="00E34900" w:rsidP="00075E36">
      <w:proofErr w:type="spellStart"/>
      <w:proofErr w:type="gramStart"/>
      <w:r w:rsidRPr="00674C70">
        <w:t>Center</w:t>
      </w:r>
      <w:proofErr w:type="spellEnd"/>
      <w:r>
        <w:t>,</w:t>
      </w:r>
      <w:r w:rsidRPr="00674C70">
        <w:t xml:space="preserve"> J</w:t>
      </w:r>
      <w:r>
        <w:t>.</w:t>
      </w:r>
      <w:r w:rsidRPr="00674C70">
        <w:t>R</w:t>
      </w:r>
      <w:r>
        <w:t>.</w:t>
      </w:r>
      <w:r w:rsidRPr="00674C70">
        <w:t xml:space="preserve">, </w:t>
      </w:r>
      <w:proofErr w:type="spellStart"/>
      <w:r w:rsidRPr="00674C70">
        <w:t>Bliuc</w:t>
      </w:r>
      <w:proofErr w:type="spellEnd"/>
      <w:r>
        <w:t>,</w:t>
      </w:r>
      <w:r w:rsidRPr="00674C70">
        <w:t xml:space="preserve"> D</w:t>
      </w:r>
      <w:r>
        <w:t>.</w:t>
      </w:r>
      <w:r w:rsidRPr="00674C70">
        <w:t>,</w:t>
      </w:r>
      <w:r>
        <w:t xml:space="preserve"> et al</w:t>
      </w:r>
      <w:r w:rsidRPr="00674C70">
        <w:t xml:space="preserve"> 2007.</w:t>
      </w:r>
      <w:proofErr w:type="gramEnd"/>
      <w:r w:rsidRPr="00674C70">
        <w:t xml:space="preserve"> </w:t>
      </w:r>
      <w:proofErr w:type="gramStart"/>
      <w:r>
        <w:t>‘</w:t>
      </w:r>
      <w:r w:rsidRPr="00674C70">
        <w:t>Risk of subsequent fracture after low-trauma fracture in men and women</w:t>
      </w:r>
      <w:r>
        <w:t>’,</w:t>
      </w:r>
      <w:r w:rsidRPr="00674C70">
        <w:t xml:space="preserve"> </w:t>
      </w:r>
      <w:r w:rsidRPr="00C30131">
        <w:rPr>
          <w:i/>
        </w:rPr>
        <w:t>Journal of American Medical Association</w:t>
      </w:r>
      <w:r>
        <w:t xml:space="preserve">, </w:t>
      </w:r>
      <w:r w:rsidRPr="00674C70">
        <w:t>297</w:t>
      </w:r>
      <w:r>
        <w:t xml:space="preserve"> (4), </w:t>
      </w:r>
      <w:r w:rsidRPr="00674C70">
        <w:t>387–</w:t>
      </w:r>
      <w:r>
        <w:t>3</w:t>
      </w:r>
      <w:r w:rsidRPr="00674C70">
        <w:t>94.</w:t>
      </w:r>
      <w:proofErr w:type="gramEnd"/>
    </w:p>
    <w:p w:rsidR="00E34900" w:rsidRPr="00674C70" w:rsidRDefault="00E34900" w:rsidP="00075E36">
      <w:r w:rsidRPr="00674C70">
        <w:t>Coleman</w:t>
      </w:r>
      <w:r>
        <w:t>,</w:t>
      </w:r>
      <w:r w:rsidRPr="00674C70">
        <w:t xml:space="preserve"> R</w:t>
      </w:r>
      <w:r>
        <w:t>.</w:t>
      </w:r>
      <w:r w:rsidRPr="00674C70">
        <w:t>E</w:t>
      </w:r>
      <w:r>
        <w:t>.</w:t>
      </w:r>
      <w:r w:rsidRPr="00674C70">
        <w:t>, Banks</w:t>
      </w:r>
      <w:r>
        <w:t>,</w:t>
      </w:r>
      <w:r w:rsidRPr="00674C70">
        <w:t xml:space="preserve"> L</w:t>
      </w:r>
      <w:r>
        <w:t>.</w:t>
      </w:r>
      <w:r w:rsidRPr="00674C70">
        <w:t>M</w:t>
      </w:r>
      <w:r>
        <w:t>.</w:t>
      </w:r>
      <w:r w:rsidRPr="00674C70">
        <w:t>,</w:t>
      </w:r>
      <w:r>
        <w:t xml:space="preserve"> et al 2007. </w:t>
      </w:r>
      <w:proofErr w:type="gramStart"/>
      <w:r>
        <w:t>‘</w:t>
      </w:r>
      <w:r w:rsidRPr="00674C70">
        <w:t xml:space="preserve">Intergroup </w:t>
      </w:r>
      <w:proofErr w:type="spellStart"/>
      <w:r w:rsidRPr="00674C70">
        <w:t>Exemestane</w:t>
      </w:r>
      <w:proofErr w:type="spellEnd"/>
      <w:r w:rsidRPr="00674C70">
        <w:t xml:space="preserve"> Study group.</w:t>
      </w:r>
      <w:proofErr w:type="gramEnd"/>
      <w:r w:rsidRPr="00674C70">
        <w:t xml:space="preserve"> Skeletal effects of </w:t>
      </w:r>
      <w:proofErr w:type="spellStart"/>
      <w:r w:rsidRPr="00674C70">
        <w:t>exemestane</w:t>
      </w:r>
      <w:proofErr w:type="spellEnd"/>
      <w:r w:rsidRPr="00674C70">
        <w:t xml:space="preserve"> on bone-mineral density, bone biomarkers, and fracture incidence in postmenopausal women with early breast cancer participating in the Intergroup </w:t>
      </w:r>
      <w:proofErr w:type="spellStart"/>
      <w:r w:rsidRPr="00674C70">
        <w:t>Exemestane</w:t>
      </w:r>
      <w:proofErr w:type="spellEnd"/>
      <w:r w:rsidRPr="00674C70">
        <w:t xml:space="preserve"> Study (IES): a randomised controlled study</w:t>
      </w:r>
      <w:r>
        <w:t>’,</w:t>
      </w:r>
      <w:r w:rsidRPr="00674C70">
        <w:t xml:space="preserve"> </w:t>
      </w:r>
      <w:r w:rsidRPr="00C30131">
        <w:rPr>
          <w:i/>
        </w:rPr>
        <w:t>Lancet Oncol</w:t>
      </w:r>
      <w:r>
        <w:rPr>
          <w:i/>
        </w:rPr>
        <w:t>ogy</w:t>
      </w:r>
      <w:r>
        <w:t xml:space="preserve">, 8 </w:t>
      </w:r>
      <w:r w:rsidRPr="00674C70">
        <w:t>(2)</w:t>
      </w:r>
      <w:r>
        <w:t xml:space="preserve">, </w:t>
      </w:r>
      <w:r w:rsidRPr="00674C70">
        <w:t>119-</w:t>
      </w:r>
      <w:r>
        <w:t>1</w:t>
      </w:r>
      <w:r w:rsidRPr="00674C70">
        <w:t>27</w:t>
      </w:r>
      <w:r>
        <w:t>.</w:t>
      </w:r>
    </w:p>
    <w:p w:rsidR="00E34900" w:rsidRPr="00674C70" w:rsidRDefault="00E34900" w:rsidP="00075E36">
      <w:proofErr w:type="spellStart"/>
      <w:r w:rsidRPr="00674C70">
        <w:t>Confavreux</w:t>
      </w:r>
      <w:proofErr w:type="spellEnd"/>
      <w:r>
        <w:t>,</w:t>
      </w:r>
      <w:r w:rsidRPr="00674C70">
        <w:t xml:space="preserve"> C</w:t>
      </w:r>
      <w:r>
        <w:t>.</w:t>
      </w:r>
      <w:r w:rsidRPr="00674C70">
        <w:t>B</w:t>
      </w:r>
      <w:r>
        <w:t>.</w:t>
      </w:r>
      <w:r w:rsidRPr="00674C70">
        <w:t>, Fontana</w:t>
      </w:r>
      <w:r>
        <w:t>,</w:t>
      </w:r>
      <w:r w:rsidRPr="00674C70">
        <w:t xml:space="preserve"> A</w:t>
      </w:r>
      <w:r>
        <w:t>.</w:t>
      </w:r>
      <w:r w:rsidRPr="00674C70">
        <w:t>,</w:t>
      </w:r>
      <w:r>
        <w:t xml:space="preserve"> et al 2007</w:t>
      </w:r>
      <w:r w:rsidRPr="00674C70">
        <w:t xml:space="preserve">. </w:t>
      </w:r>
      <w:r>
        <w:t>‘</w:t>
      </w:r>
      <w:proofErr w:type="spellStart"/>
      <w:r w:rsidRPr="00674C70">
        <w:t>Estrogen</w:t>
      </w:r>
      <w:proofErr w:type="spellEnd"/>
      <w:r w:rsidRPr="00674C70">
        <w:t xml:space="preserve">-dependent increase in bone turnover and bone loss in postmenopausal women with breast cancer treated with </w:t>
      </w:r>
      <w:proofErr w:type="spellStart"/>
      <w:r w:rsidRPr="00674C70">
        <w:t>anastrozole</w:t>
      </w:r>
      <w:proofErr w:type="spellEnd"/>
      <w:r w:rsidRPr="00674C70">
        <w:t xml:space="preserve">. </w:t>
      </w:r>
      <w:proofErr w:type="gramStart"/>
      <w:r w:rsidRPr="00674C70">
        <w:t>Prevention with bisphosphonates</w:t>
      </w:r>
      <w:r>
        <w:t>’,</w:t>
      </w:r>
      <w:r w:rsidRPr="00674C70">
        <w:t xml:space="preserve"> </w:t>
      </w:r>
      <w:r w:rsidRPr="00C30131">
        <w:rPr>
          <w:i/>
        </w:rPr>
        <w:t>Bone</w:t>
      </w:r>
      <w:r>
        <w:t xml:space="preserve">, 41 </w:t>
      </w:r>
      <w:r w:rsidRPr="00674C70">
        <w:t>(3)</w:t>
      </w:r>
      <w:r>
        <w:t xml:space="preserve">, </w:t>
      </w:r>
      <w:r w:rsidRPr="00674C70">
        <w:t>346-</w:t>
      </w:r>
      <w:r>
        <w:t>3</w:t>
      </w:r>
      <w:r w:rsidRPr="00674C70">
        <w:t>52</w:t>
      </w:r>
      <w:r>
        <w:t>.</w:t>
      </w:r>
      <w:proofErr w:type="gramEnd"/>
    </w:p>
    <w:p w:rsidR="00E34900" w:rsidRPr="00674C70" w:rsidRDefault="00E34900" w:rsidP="00075E36">
      <w:proofErr w:type="spellStart"/>
      <w:r w:rsidRPr="00674C70">
        <w:t>Cuzick</w:t>
      </w:r>
      <w:proofErr w:type="spellEnd"/>
      <w:r>
        <w:t>,</w:t>
      </w:r>
      <w:r w:rsidRPr="00674C70">
        <w:t xml:space="preserve"> J</w:t>
      </w:r>
      <w:r>
        <w:t>.</w:t>
      </w:r>
      <w:r w:rsidRPr="00674C70">
        <w:t xml:space="preserve">, </w:t>
      </w:r>
      <w:proofErr w:type="spellStart"/>
      <w:r w:rsidRPr="00674C70">
        <w:t>Sestak</w:t>
      </w:r>
      <w:proofErr w:type="spellEnd"/>
      <w:r>
        <w:t>,</w:t>
      </w:r>
      <w:r w:rsidRPr="00674C70">
        <w:t xml:space="preserve"> I</w:t>
      </w:r>
      <w:r>
        <w:t>.</w:t>
      </w:r>
      <w:r w:rsidRPr="00674C70">
        <w:t>,</w:t>
      </w:r>
      <w:r>
        <w:t xml:space="preserve"> et al 2010. </w:t>
      </w:r>
      <w:proofErr w:type="gramStart"/>
      <w:r>
        <w:t>‘</w:t>
      </w:r>
      <w:r w:rsidRPr="00674C70">
        <w:t>ATAC/LATTE investigators.</w:t>
      </w:r>
      <w:proofErr w:type="gramEnd"/>
      <w:r w:rsidRPr="00674C70">
        <w:t xml:space="preserve"> </w:t>
      </w:r>
      <w:proofErr w:type="gramStart"/>
      <w:r w:rsidRPr="00674C70">
        <w:t xml:space="preserve">Effect of </w:t>
      </w:r>
      <w:proofErr w:type="spellStart"/>
      <w:r w:rsidRPr="00674C70">
        <w:t>anastrozole</w:t>
      </w:r>
      <w:proofErr w:type="spellEnd"/>
      <w:r w:rsidRPr="00674C70">
        <w:t xml:space="preserve"> and </w:t>
      </w:r>
      <w:proofErr w:type="spellStart"/>
      <w:r w:rsidRPr="00674C70">
        <w:t>tamoxifen</w:t>
      </w:r>
      <w:proofErr w:type="spellEnd"/>
      <w:r w:rsidRPr="00674C70">
        <w:t xml:space="preserve"> as adjuvant treatment for early-stage breast cancer: 10-year analysis of the ATAC trial</w:t>
      </w:r>
      <w:r>
        <w:t xml:space="preserve">’, </w:t>
      </w:r>
      <w:r w:rsidRPr="00C30131">
        <w:rPr>
          <w:i/>
        </w:rPr>
        <w:t>Lancet Oncol</w:t>
      </w:r>
      <w:r>
        <w:rPr>
          <w:i/>
        </w:rPr>
        <w:t>ogy</w:t>
      </w:r>
      <w:r>
        <w:t xml:space="preserve">, </w:t>
      </w:r>
      <w:r w:rsidRPr="00674C70">
        <w:t>11</w:t>
      </w:r>
      <w:r>
        <w:t xml:space="preserve"> </w:t>
      </w:r>
      <w:r w:rsidRPr="00674C70">
        <w:t>(12)</w:t>
      </w:r>
      <w:r>
        <w:t xml:space="preserve">, </w:t>
      </w:r>
      <w:r w:rsidRPr="00674C70">
        <w:t>1135-</w:t>
      </w:r>
      <w:r>
        <w:t>11</w:t>
      </w:r>
      <w:r w:rsidRPr="00674C70">
        <w:t>41</w:t>
      </w:r>
      <w:r>
        <w:t>.</w:t>
      </w:r>
      <w:proofErr w:type="gramEnd"/>
    </w:p>
    <w:p w:rsidR="00E34900" w:rsidRDefault="00E34900" w:rsidP="00075E36">
      <w:proofErr w:type="spellStart"/>
      <w:r w:rsidRPr="00183D04">
        <w:t>Damilakis</w:t>
      </w:r>
      <w:proofErr w:type="spellEnd"/>
      <w:r>
        <w:t>,</w:t>
      </w:r>
      <w:r w:rsidRPr="00183D04">
        <w:t xml:space="preserve"> J</w:t>
      </w:r>
      <w:r>
        <w:t>. and</w:t>
      </w:r>
      <w:r w:rsidRPr="00183D04">
        <w:t xml:space="preserve"> </w:t>
      </w:r>
      <w:proofErr w:type="spellStart"/>
      <w:r w:rsidRPr="00183D04">
        <w:t>Guglielmi</w:t>
      </w:r>
      <w:proofErr w:type="spellEnd"/>
      <w:r>
        <w:t>,</w:t>
      </w:r>
      <w:r w:rsidRPr="00183D04">
        <w:t xml:space="preserve"> G.</w:t>
      </w:r>
      <w:r>
        <w:t xml:space="preserve"> 2010.</w:t>
      </w:r>
      <w:r w:rsidRPr="00183D04">
        <w:t xml:space="preserve"> </w:t>
      </w:r>
      <w:r>
        <w:t>‘</w:t>
      </w:r>
      <w:r w:rsidRPr="00183D04">
        <w:t xml:space="preserve">Quality Assurance and </w:t>
      </w:r>
      <w:proofErr w:type="spellStart"/>
      <w:r w:rsidRPr="00183D04">
        <w:t>Dosimetry</w:t>
      </w:r>
      <w:proofErr w:type="spellEnd"/>
      <w:r w:rsidRPr="00183D04">
        <w:t xml:space="preserve"> in Bone Densitometry</w:t>
      </w:r>
      <w:r>
        <w:t>’</w:t>
      </w:r>
      <w:proofErr w:type="gramStart"/>
      <w:r>
        <w:t xml:space="preserve">, </w:t>
      </w:r>
      <w:r w:rsidRPr="00183D04">
        <w:t xml:space="preserve"> </w:t>
      </w:r>
      <w:r w:rsidRPr="00C30131">
        <w:rPr>
          <w:i/>
        </w:rPr>
        <w:t>Radiology</w:t>
      </w:r>
      <w:proofErr w:type="gramEnd"/>
      <w:r w:rsidRPr="00C30131">
        <w:rPr>
          <w:i/>
        </w:rPr>
        <w:t xml:space="preserve"> Clinics of North America</w:t>
      </w:r>
      <w:r>
        <w:t xml:space="preserve">,  </w:t>
      </w:r>
      <w:r w:rsidRPr="00183D04">
        <w:t>48</w:t>
      </w:r>
      <w:r>
        <w:t xml:space="preserve"> </w:t>
      </w:r>
      <w:r w:rsidRPr="00183D04">
        <w:t>(3)</w:t>
      </w:r>
      <w:r>
        <w:t xml:space="preserve">, </w:t>
      </w:r>
      <w:r w:rsidRPr="00183D04">
        <w:t>629-640</w:t>
      </w:r>
      <w:r>
        <w:t>.</w:t>
      </w:r>
    </w:p>
    <w:p w:rsidR="00E34900" w:rsidRDefault="00E34900" w:rsidP="00075E36">
      <w:proofErr w:type="gramStart"/>
      <w:r w:rsidRPr="00BA1BB3">
        <w:t>Dasher</w:t>
      </w:r>
      <w:r>
        <w:t>,</w:t>
      </w:r>
      <w:r w:rsidRPr="00BA1BB3">
        <w:t xml:space="preserve"> L</w:t>
      </w:r>
      <w:r>
        <w:t>.</w:t>
      </w:r>
      <w:r w:rsidRPr="00BA1BB3">
        <w:t>G</w:t>
      </w:r>
      <w:r>
        <w:t>.</w:t>
      </w:r>
      <w:r w:rsidRPr="00BA1BB3">
        <w:t>, Newton</w:t>
      </w:r>
      <w:r>
        <w:t>,</w:t>
      </w:r>
      <w:r w:rsidRPr="00BA1BB3">
        <w:t xml:space="preserve"> C</w:t>
      </w:r>
      <w:r>
        <w:t>.</w:t>
      </w:r>
      <w:r w:rsidRPr="00BA1BB3">
        <w:t>D</w:t>
      </w:r>
      <w:r>
        <w:t>.</w:t>
      </w:r>
      <w:r w:rsidRPr="00BA1BB3">
        <w:t>,</w:t>
      </w:r>
      <w:r>
        <w:t xml:space="preserve"> et al 2010</w:t>
      </w:r>
      <w:r w:rsidRPr="00BA1BB3">
        <w:t>.</w:t>
      </w:r>
      <w:proofErr w:type="gramEnd"/>
      <w:r w:rsidRPr="00BA1BB3">
        <w:t xml:space="preserve"> </w:t>
      </w:r>
      <w:proofErr w:type="gramStart"/>
      <w:r>
        <w:t>‘</w:t>
      </w:r>
      <w:r w:rsidRPr="00BA1BB3">
        <w:t>Dual X-ray Absorptiometry in Today’s Clinical Practice</w:t>
      </w:r>
      <w:r>
        <w:t>’,</w:t>
      </w:r>
      <w:r w:rsidRPr="00BA1BB3">
        <w:t xml:space="preserve"> </w:t>
      </w:r>
      <w:r w:rsidRPr="00C30131">
        <w:rPr>
          <w:i/>
        </w:rPr>
        <w:t>Radiologic Clinics of North America</w:t>
      </w:r>
      <w:r>
        <w:t>,</w:t>
      </w:r>
      <w:r w:rsidRPr="00BA1BB3">
        <w:t xml:space="preserve"> </w:t>
      </w:r>
      <w:r>
        <w:t xml:space="preserve">48 </w:t>
      </w:r>
      <w:r w:rsidRPr="00BA1BB3">
        <w:t>(3)</w:t>
      </w:r>
      <w:r>
        <w:t xml:space="preserve">, </w:t>
      </w:r>
      <w:r w:rsidRPr="00BA1BB3">
        <w:t>541-560</w:t>
      </w:r>
      <w:r>
        <w:t>.</w:t>
      </w:r>
      <w:proofErr w:type="gramEnd"/>
    </w:p>
    <w:p w:rsidR="00E34900" w:rsidRPr="00C321D6" w:rsidRDefault="00E34900" w:rsidP="00C321D6">
      <w:proofErr w:type="gramStart"/>
      <w:r w:rsidRPr="00C321D6">
        <w:t xml:space="preserve">Elders, P.J.M., </w:t>
      </w:r>
      <w:proofErr w:type="spellStart"/>
      <w:r w:rsidRPr="00C321D6">
        <w:t>Netelenbos</w:t>
      </w:r>
      <w:proofErr w:type="spellEnd"/>
      <w:r w:rsidRPr="00C321D6">
        <w:t>, J.C., et al 1988.</w:t>
      </w:r>
      <w:proofErr w:type="gramEnd"/>
      <w:r w:rsidRPr="00C321D6">
        <w:t xml:space="preserve"> ‘Accelerated vertebral bone loss in relation to menopause: a cross-sectional study on lumbar bone density in 286 women of 46-55 years of age’, </w:t>
      </w:r>
      <w:r w:rsidRPr="00C321D6">
        <w:rPr>
          <w:i/>
        </w:rPr>
        <w:t>Bone and Mineral</w:t>
      </w:r>
      <w:r w:rsidRPr="00C321D6">
        <w:t>, 5 (1), 11-19.</w:t>
      </w:r>
    </w:p>
    <w:p w:rsidR="00E34900" w:rsidRPr="00674C70" w:rsidRDefault="00E34900" w:rsidP="00075E36">
      <w:proofErr w:type="spellStart"/>
      <w:r w:rsidRPr="00674C70">
        <w:t>Hadji</w:t>
      </w:r>
      <w:proofErr w:type="spellEnd"/>
      <w:r>
        <w:t>,</w:t>
      </w:r>
      <w:r w:rsidRPr="00674C70">
        <w:t xml:space="preserve"> P</w:t>
      </w:r>
      <w:r>
        <w:t>.</w:t>
      </w:r>
      <w:r w:rsidRPr="00674C70">
        <w:t xml:space="preserve"> 2009</w:t>
      </w:r>
      <w:r>
        <w:t>.</w:t>
      </w:r>
      <w:r w:rsidRPr="00674C70">
        <w:t xml:space="preserve"> </w:t>
      </w:r>
      <w:r>
        <w:t>‘</w:t>
      </w:r>
      <w:r w:rsidRPr="00674C70">
        <w:t>Aromatase inhibitor-associated bone loss in breast cancer patients is distinct from postmenopausal osteoporosis</w:t>
      </w:r>
      <w:r>
        <w:t>’,</w:t>
      </w:r>
      <w:r w:rsidRPr="00674C70">
        <w:t xml:space="preserve"> </w:t>
      </w:r>
      <w:r w:rsidRPr="00C30131">
        <w:rPr>
          <w:i/>
        </w:rPr>
        <w:t>Crit</w:t>
      </w:r>
      <w:r>
        <w:rPr>
          <w:i/>
        </w:rPr>
        <w:t>ical</w:t>
      </w:r>
      <w:r w:rsidRPr="00C30131">
        <w:rPr>
          <w:i/>
        </w:rPr>
        <w:t xml:space="preserve"> Rev</w:t>
      </w:r>
      <w:r>
        <w:rPr>
          <w:i/>
        </w:rPr>
        <w:t>iews in</w:t>
      </w:r>
      <w:r w:rsidRPr="00C30131">
        <w:rPr>
          <w:i/>
        </w:rPr>
        <w:t xml:space="preserve"> Oncol</w:t>
      </w:r>
      <w:r>
        <w:rPr>
          <w:i/>
        </w:rPr>
        <w:t>ogy/</w:t>
      </w:r>
      <w:proofErr w:type="spellStart"/>
      <w:r w:rsidRPr="00C30131">
        <w:rPr>
          <w:i/>
        </w:rPr>
        <w:t>Hematol</w:t>
      </w:r>
      <w:r>
        <w:rPr>
          <w:i/>
        </w:rPr>
        <w:t>ogy</w:t>
      </w:r>
      <w:proofErr w:type="spellEnd"/>
      <w:r>
        <w:t>,</w:t>
      </w:r>
      <w:r w:rsidRPr="00674C70">
        <w:t xml:space="preserve"> 69</w:t>
      </w:r>
      <w:r>
        <w:t xml:space="preserve"> (1), </w:t>
      </w:r>
      <w:r w:rsidRPr="00674C70">
        <w:t>73–82</w:t>
      </w:r>
      <w:r>
        <w:t>.</w:t>
      </w:r>
    </w:p>
    <w:p w:rsidR="00E34900" w:rsidRDefault="00E34900" w:rsidP="00075E36">
      <w:proofErr w:type="spellStart"/>
      <w:r w:rsidRPr="00674C70">
        <w:lastRenderedPageBreak/>
        <w:t>Hadji</w:t>
      </w:r>
      <w:proofErr w:type="spellEnd"/>
      <w:r>
        <w:t>,</w:t>
      </w:r>
      <w:r w:rsidRPr="00674C70">
        <w:t xml:space="preserve"> P</w:t>
      </w:r>
      <w:r>
        <w:t>.</w:t>
      </w:r>
      <w:r w:rsidRPr="00674C70">
        <w:t xml:space="preserve">, </w:t>
      </w:r>
      <w:proofErr w:type="spellStart"/>
      <w:r w:rsidRPr="00674C70">
        <w:t>Ziller</w:t>
      </w:r>
      <w:proofErr w:type="spellEnd"/>
      <w:r>
        <w:t>,</w:t>
      </w:r>
      <w:r w:rsidRPr="00674C70">
        <w:t xml:space="preserve"> M</w:t>
      </w:r>
      <w:r>
        <w:t>.</w:t>
      </w:r>
      <w:r w:rsidRPr="00674C70">
        <w:t xml:space="preserve">, </w:t>
      </w:r>
      <w:proofErr w:type="gramStart"/>
      <w:r>
        <w:t>et</w:t>
      </w:r>
      <w:proofErr w:type="gramEnd"/>
      <w:r>
        <w:t xml:space="preserve"> al2009.</w:t>
      </w:r>
      <w:r w:rsidRPr="00674C70">
        <w:t xml:space="preserve"> </w:t>
      </w:r>
      <w:r>
        <w:t>‘</w:t>
      </w:r>
      <w:r w:rsidRPr="00674C70">
        <w:t xml:space="preserve">Effects of </w:t>
      </w:r>
      <w:proofErr w:type="spellStart"/>
      <w:r w:rsidRPr="00674C70">
        <w:t>exemestane</w:t>
      </w:r>
      <w:proofErr w:type="spellEnd"/>
      <w:r w:rsidRPr="00674C70">
        <w:t xml:space="preserve"> and </w:t>
      </w:r>
      <w:proofErr w:type="spellStart"/>
      <w:r w:rsidRPr="00674C70">
        <w:t>tamoxifen</w:t>
      </w:r>
      <w:proofErr w:type="spellEnd"/>
      <w:r w:rsidRPr="00674C70">
        <w:t xml:space="preserve"> on bone health within the </w:t>
      </w:r>
      <w:proofErr w:type="spellStart"/>
      <w:r w:rsidRPr="00674C70">
        <w:t>Tamoxifen</w:t>
      </w:r>
      <w:proofErr w:type="spellEnd"/>
      <w:r w:rsidRPr="00674C70">
        <w:t xml:space="preserve"> </w:t>
      </w:r>
      <w:proofErr w:type="spellStart"/>
      <w:r w:rsidRPr="00674C70">
        <w:t>Exemestane</w:t>
      </w:r>
      <w:proofErr w:type="spellEnd"/>
      <w:r w:rsidRPr="00674C70">
        <w:t xml:space="preserve"> Adjuvant Multicentre (TEAM) trial: results of a German, 12-month, prospective, randomised </w:t>
      </w:r>
      <w:proofErr w:type="spellStart"/>
      <w:r w:rsidRPr="00674C70">
        <w:t>substudy</w:t>
      </w:r>
      <w:proofErr w:type="spellEnd"/>
      <w:r>
        <w:t>’,</w:t>
      </w:r>
      <w:r w:rsidRPr="00674C70">
        <w:t xml:space="preserve"> </w:t>
      </w:r>
      <w:r w:rsidRPr="00C30131">
        <w:rPr>
          <w:i/>
        </w:rPr>
        <w:t>Ann</w:t>
      </w:r>
      <w:r>
        <w:rPr>
          <w:i/>
        </w:rPr>
        <w:t>als of</w:t>
      </w:r>
      <w:r w:rsidRPr="00C30131">
        <w:rPr>
          <w:i/>
        </w:rPr>
        <w:t xml:space="preserve"> Oncol</w:t>
      </w:r>
      <w:r>
        <w:rPr>
          <w:i/>
        </w:rPr>
        <w:t>ogy</w:t>
      </w:r>
      <w:r>
        <w:t xml:space="preserve">, 20 </w:t>
      </w:r>
      <w:r w:rsidRPr="00674C70">
        <w:t>(7)</w:t>
      </w:r>
      <w:r>
        <w:t xml:space="preserve">, </w:t>
      </w:r>
      <w:r w:rsidRPr="00674C70">
        <w:t>1203-</w:t>
      </w:r>
      <w:r>
        <w:t>120</w:t>
      </w:r>
      <w:r w:rsidRPr="00674C70">
        <w:t>9</w:t>
      </w:r>
      <w:r>
        <w:t>.</w:t>
      </w:r>
    </w:p>
    <w:p w:rsidR="00E34900" w:rsidRDefault="00E34900" w:rsidP="00075E36">
      <w:proofErr w:type="gramStart"/>
      <w:r w:rsidRPr="003D17F0">
        <w:t>Marcus</w:t>
      </w:r>
      <w:r>
        <w:t>,</w:t>
      </w:r>
      <w:r w:rsidRPr="003D17F0">
        <w:t xml:space="preserve"> R</w:t>
      </w:r>
      <w:r>
        <w:t>.</w:t>
      </w:r>
      <w:r w:rsidRPr="003D17F0">
        <w:t>, Feldman</w:t>
      </w:r>
      <w:r>
        <w:t>,</w:t>
      </w:r>
      <w:r w:rsidRPr="003D17F0">
        <w:t xml:space="preserve"> D</w:t>
      </w:r>
      <w:r>
        <w:t>.,</w:t>
      </w:r>
      <w:r w:rsidRPr="003D17F0">
        <w:t xml:space="preserve"> Nelson</w:t>
      </w:r>
      <w:r>
        <w:t>,</w:t>
      </w:r>
      <w:r w:rsidRPr="003D17F0">
        <w:t xml:space="preserve"> D</w:t>
      </w:r>
      <w:r>
        <w:t>.</w:t>
      </w:r>
      <w:r w:rsidRPr="003D17F0">
        <w:t>A</w:t>
      </w:r>
      <w:r>
        <w:t>.</w:t>
      </w:r>
      <w:r w:rsidRPr="003D17F0">
        <w:t>, Rosen</w:t>
      </w:r>
      <w:r>
        <w:t>,</w:t>
      </w:r>
      <w:r w:rsidRPr="003D17F0">
        <w:t xml:space="preserve"> C</w:t>
      </w:r>
      <w:r>
        <w:t>.</w:t>
      </w:r>
      <w:r w:rsidRPr="003D17F0">
        <w:t>R</w:t>
      </w:r>
      <w:r>
        <w:t>. 2008,</w:t>
      </w:r>
      <w:r w:rsidRPr="003D17F0">
        <w:t xml:space="preserve"> </w:t>
      </w:r>
      <w:r w:rsidRPr="003D17F0">
        <w:rPr>
          <w:i/>
        </w:rPr>
        <w:t>Osteoporosis</w:t>
      </w:r>
      <w:r>
        <w:rPr>
          <w:i/>
        </w:rPr>
        <w:t>,</w:t>
      </w:r>
      <w:r w:rsidRPr="000A3A7E">
        <w:rPr>
          <w:i/>
        </w:rPr>
        <w:t xml:space="preserve"> </w:t>
      </w:r>
      <w:r w:rsidRPr="003D17F0">
        <w:t>3rd ed</w:t>
      </w:r>
      <w:r w:rsidRPr="000A3A7E">
        <w:t>ition</w:t>
      </w:r>
      <w:r>
        <w:t xml:space="preserve">, </w:t>
      </w:r>
      <w:r w:rsidRPr="003D17F0">
        <w:t>Elsevier Academic Press</w:t>
      </w:r>
      <w:r>
        <w:t xml:space="preserve">, </w:t>
      </w:r>
      <w:r w:rsidRPr="003D17F0">
        <w:t>San Diego, Calif</w:t>
      </w:r>
      <w:r>
        <w:t>.</w:t>
      </w:r>
      <w:proofErr w:type="gramEnd"/>
      <w:r>
        <w:t xml:space="preserve"> </w:t>
      </w:r>
    </w:p>
    <w:p w:rsidR="00E34900" w:rsidRPr="00674C70" w:rsidRDefault="00E34900" w:rsidP="00075E36">
      <w:proofErr w:type="gramStart"/>
      <w:r w:rsidRPr="005D130F">
        <w:t>National Breast Cancer Centre.</w:t>
      </w:r>
      <w:proofErr w:type="gramEnd"/>
      <w:r w:rsidRPr="005D130F">
        <w:t xml:space="preserve"> </w:t>
      </w:r>
      <w:proofErr w:type="gramStart"/>
      <w:r w:rsidRPr="005D130F">
        <w:t>Recommendations for aromatase inhibitors as adjuvant endocrine therapy for post-menopausal women with hormone receptor-positive early breast cancer.</w:t>
      </w:r>
      <w:proofErr w:type="gramEnd"/>
      <w:r w:rsidRPr="005D130F">
        <w:t xml:space="preserve"> National Breast Cancer Centre, Camperdown, NSW, 1450.</w:t>
      </w:r>
    </w:p>
    <w:p w:rsidR="00E34900" w:rsidRPr="00674C70" w:rsidRDefault="00E34900" w:rsidP="00C6264F">
      <w:pPr>
        <w:jc w:val="left"/>
      </w:pPr>
      <w:proofErr w:type="gramStart"/>
      <w:r>
        <w:t>National Institutes of Health (NIH).</w:t>
      </w:r>
      <w:proofErr w:type="gramEnd"/>
      <w:r>
        <w:t xml:space="preserve"> 2012, </w:t>
      </w:r>
      <w:r w:rsidRPr="000E7170">
        <w:t>Bone Mass Measurement: What the Numbers Mean</w:t>
      </w:r>
      <w:r>
        <w:t xml:space="preserve"> [internet]. Available from: </w:t>
      </w:r>
      <w:hyperlink r:id="rId15" w:tooltip="This is a link to National Institutes of Health " w:history="1">
        <w:r w:rsidRPr="003B12EB">
          <w:rPr>
            <w:rStyle w:val="Hyperlink"/>
            <w:rFonts w:cs="Tahoma"/>
          </w:rPr>
          <w:t>http://www.niams.nih.gov/Health_Info/Bone/Bone_Health/bone_mass_measure.asp</w:t>
        </w:r>
      </w:hyperlink>
      <w:r>
        <w:t xml:space="preserve"> [Accessed 3 June 2013].</w:t>
      </w:r>
    </w:p>
    <w:p w:rsidR="00E34900" w:rsidRDefault="00E34900" w:rsidP="00075E36">
      <w:r w:rsidRPr="00674C70">
        <w:t>New Zealand Guidelines Group.</w:t>
      </w:r>
      <w:r>
        <w:t xml:space="preserve"> </w:t>
      </w:r>
      <w:proofErr w:type="gramStart"/>
      <w:r>
        <w:t>2009,</w:t>
      </w:r>
      <w:r w:rsidRPr="00674C70">
        <w:t xml:space="preserve"> </w:t>
      </w:r>
      <w:r w:rsidRPr="00776AAC">
        <w:rPr>
          <w:i/>
        </w:rPr>
        <w:t>Management of early breast cancer</w:t>
      </w:r>
      <w:r>
        <w:rPr>
          <w:i/>
        </w:rPr>
        <w:t xml:space="preserve"> </w:t>
      </w:r>
      <w:r w:rsidRPr="00776AAC">
        <w:t>[</w:t>
      </w:r>
      <w:r>
        <w:t>I</w:t>
      </w:r>
      <w:r w:rsidRPr="00776AAC">
        <w:t>nternet]</w:t>
      </w:r>
      <w:r w:rsidRPr="00584138">
        <w:t>.</w:t>
      </w:r>
      <w:proofErr w:type="gramEnd"/>
      <w:r w:rsidRPr="00674C70">
        <w:t xml:space="preserve"> New Zealand Guidelines Group (NZGG)</w:t>
      </w:r>
      <w:r>
        <w:t>, Wellington (NZ). Available from: &lt;</w:t>
      </w:r>
      <w:r w:rsidRPr="001B2CF7">
        <w:t>http://www.guideline.gov/</w:t>
      </w:r>
      <w:r>
        <w:t xml:space="preserve"> </w:t>
      </w:r>
      <w:proofErr w:type="spellStart"/>
      <w:r w:rsidRPr="001B2CF7">
        <w:t>content.aspx</w:t>
      </w:r>
      <w:proofErr w:type="gramStart"/>
      <w:r w:rsidRPr="001B2CF7">
        <w:t>?id</w:t>
      </w:r>
      <w:proofErr w:type="spellEnd"/>
      <w:proofErr w:type="gramEnd"/>
      <w:r w:rsidRPr="001B2CF7">
        <w:t>=15463&amp;search=Stage+0+Breast+Carcinoma</w:t>
      </w:r>
      <w:r w:rsidRPr="00584138">
        <w:t>+</w:t>
      </w:r>
      <w:r>
        <w:t xml:space="preserve">&gt; </w:t>
      </w:r>
      <w:r w:rsidRPr="00776AAC">
        <w:t>[</w:t>
      </w:r>
      <w:r>
        <w:t>A</w:t>
      </w:r>
      <w:r w:rsidRPr="00776AAC">
        <w:t xml:space="preserve">ccessed </w:t>
      </w:r>
      <w:r w:rsidRPr="000A3A7E">
        <w:t>10 March 2012</w:t>
      </w:r>
      <w:r w:rsidRPr="00776AAC">
        <w:t xml:space="preserve">]. </w:t>
      </w:r>
    </w:p>
    <w:p w:rsidR="00E34900" w:rsidRPr="00096DA0" w:rsidRDefault="00E34900" w:rsidP="00096DA0">
      <w:proofErr w:type="spellStart"/>
      <w:proofErr w:type="gramStart"/>
      <w:r w:rsidRPr="00096DA0">
        <w:t>Nowson</w:t>
      </w:r>
      <w:proofErr w:type="spellEnd"/>
      <w:r w:rsidRPr="00096DA0">
        <w:t>, C.A., McGrath, J.J., et al 2012.</w:t>
      </w:r>
      <w:proofErr w:type="gramEnd"/>
      <w:r w:rsidRPr="00096DA0">
        <w:t xml:space="preserve"> ‘Working Group of the Australian and New Zealand Bone and Mineral Society, Endocrine Society of Australia and Osteoporosis Australia; Vitamin D and health in adults in Australia and New Zealand: a position statement’, </w:t>
      </w:r>
      <w:r w:rsidRPr="00096DA0">
        <w:rPr>
          <w:i/>
        </w:rPr>
        <w:t>Medical Journal of Australia</w:t>
      </w:r>
      <w:r w:rsidRPr="00096DA0">
        <w:t>, 196 (11), 686-687.</w:t>
      </w:r>
    </w:p>
    <w:p w:rsidR="00E34900" w:rsidRPr="00096DA0" w:rsidRDefault="00E34900" w:rsidP="00096DA0">
      <w:r w:rsidRPr="00096DA0">
        <w:t>Osteoporosis Australia 2011, ‘Who gets osteoporosis’ [Internet], available from &lt;</w:t>
      </w:r>
      <w:hyperlink r:id="rId16" w:tooltip="This is a link to Osteoporosis Australia" w:history="1">
        <w:r w:rsidRPr="00096DA0">
          <w:rPr>
            <w:color w:val="0000FF"/>
            <w:u w:val="single"/>
          </w:rPr>
          <w:t>http://www.osteoporosis.org.au/about/about-osteoporosis/risk-factors/</w:t>
        </w:r>
      </w:hyperlink>
      <w:r w:rsidRPr="00096DA0">
        <w:t>&gt;, last updated on 6 July 2011.</w:t>
      </w:r>
    </w:p>
    <w:p w:rsidR="00E34900" w:rsidRPr="00674C70" w:rsidRDefault="00E34900" w:rsidP="00075E36">
      <w:r w:rsidRPr="00674C70">
        <w:t>Perez</w:t>
      </w:r>
      <w:r>
        <w:t>,</w:t>
      </w:r>
      <w:r w:rsidRPr="00674C70">
        <w:t xml:space="preserve"> E</w:t>
      </w:r>
      <w:r>
        <w:t>.</w:t>
      </w:r>
      <w:r w:rsidRPr="00674C70">
        <w:t>A</w:t>
      </w:r>
      <w:r>
        <w:t>.</w:t>
      </w:r>
      <w:r w:rsidRPr="00674C70">
        <w:t xml:space="preserve">, </w:t>
      </w:r>
      <w:proofErr w:type="spellStart"/>
      <w:r w:rsidRPr="00674C70">
        <w:t>Josse</w:t>
      </w:r>
      <w:proofErr w:type="spellEnd"/>
      <w:r>
        <w:t>,</w:t>
      </w:r>
      <w:r w:rsidRPr="00674C70">
        <w:t xml:space="preserve"> R</w:t>
      </w:r>
      <w:r>
        <w:t>.</w:t>
      </w:r>
      <w:r w:rsidRPr="00674C70">
        <w:t>G</w:t>
      </w:r>
      <w:r>
        <w:t>.</w:t>
      </w:r>
      <w:r w:rsidRPr="00674C70">
        <w:t>,</w:t>
      </w:r>
      <w:r>
        <w:t xml:space="preserve"> et al 2006</w:t>
      </w:r>
      <w:r w:rsidRPr="00674C70">
        <w:t xml:space="preserve">. </w:t>
      </w:r>
      <w:r>
        <w:t>‘</w:t>
      </w:r>
      <w:r w:rsidRPr="00674C70">
        <w:t xml:space="preserve">Effect of </w:t>
      </w:r>
      <w:proofErr w:type="spellStart"/>
      <w:r w:rsidRPr="00674C70">
        <w:t>letrozole</w:t>
      </w:r>
      <w:proofErr w:type="spellEnd"/>
      <w:r w:rsidRPr="00674C70">
        <w:t xml:space="preserve"> versus placebo on bone mineral density in women with primary breast cancer completing 5 or more years of adjuvant </w:t>
      </w:r>
      <w:proofErr w:type="spellStart"/>
      <w:r w:rsidRPr="00674C70">
        <w:t>tamoxifen</w:t>
      </w:r>
      <w:proofErr w:type="spellEnd"/>
      <w:r w:rsidRPr="00674C70">
        <w:t>: a companion study to NCIC CTG MA.17</w:t>
      </w:r>
      <w:r>
        <w:t>’,</w:t>
      </w:r>
      <w:r w:rsidRPr="00674C70">
        <w:t xml:space="preserve"> </w:t>
      </w:r>
      <w:r w:rsidRPr="00C30131">
        <w:rPr>
          <w:i/>
        </w:rPr>
        <w:t>J</w:t>
      </w:r>
      <w:r>
        <w:rPr>
          <w:i/>
        </w:rPr>
        <w:t xml:space="preserve">ournal of </w:t>
      </w:r>
      <w:r w:rsidRPr="00C30131">
        <w:rPr>
          <w:i/>
        </w:rPr>
        <w:t xml:space="preserve"> Clin</w:t>
      </w:r>
      <w:r>
        <w:rPr>
          <w:i/>
        </w:rPr>
        <w:t>ical</w:t>
      </w:r>
      <w:r w:rsidRPr="00C30131">
        <w:rPr>
          <w:i/>
        </w:rPr>
        <w:t xml:space="preserve"> Oncol</w:t>
      </w:r>
      <w:r>
        <w:rPr>
          <w:i/>
        </w:rPr>
        <w:t>ogy</w:t>
      </w:r>
      <w:r>
        <w:t xml:space="preserve">, </w:t>
      </w:r>
      <w:r w:rsidRPr="00674C70">
        <w:t>24</w:t>
      </w:r>
      <w:r>
        <w:t xml:space="preserve"> </w:t>
      </w:r>
      <w:r w:rsidRPr="00674C70">
        <w:t>(22)</w:t>
      </w:r>
      <w:r>
        <w:t xml:space="preserve">, </w:t>
      </w:r>
      <w:r w:rsidRPr="00674C70">
        <w:t>3629-</w:t>
      </w:r>
      <w:r>
        <w:t>36</w:t>
      </w:r>
      <w:r w:rsidRPr="00674C70">
        <w:t>35</w:t>
      </w:r>
      <w:r>
        <w:t>.</w:t>
      </w:r>
    </w:p>
    <w:p w:rsidR="00E34900" w:rsidRPr="008B7D53" w:rsidRDefault="00E34900" w:rsidP="00FE165B">
      <w:r>
        <w:t xml:space="preserve">RACGP 2010a, </w:t>
      </w:r>
      <w:r w:rsidRPr="0094474D">
        <w:t>Algorithm for the prevention and treatment of osteoporosis in postmenopausal women and older men</w:t>
      </w:r>
      <w:r>
        <w:t xml:space="preserve">. </w:t>
      </w:r>
      <w:proofErr w:type="gramStart"/>
      <w:r w:rsidRPr="0094474D">
        <w:t>The Royal Australian College of General Practitioners, [Internet].</w:t>
      </w:r>
      <w:proofErr w:type="gramEnd"/>
      <w:r w:rsidRPr="0094474D">
        <w:t xml:space="preserve"> Available from: &lt;http://www.racgp.org.au/guidelines/musculoskeletaldisea</w:t>
      </w:r>
      <w:r>
        <w:t>ses/osteoporosis&gt; [Accessed July 2013</w:t>
      </w:r>
      <w:r w:rsidRPr="0094474D">
        <w:t>].</w:t>
      </w:r>
    </w:p>
    <w:p w:rsidR="00E34900" w:rsidRDefault="00E34900" w:rsidP="00FE165B">
      <w:proofErr w:type="gramStart"/>
      <w:r w:rsidRPr="00FA61B1">
        <w:t>RACGP 2010b, Clinical guideline for the prevention and treatment of osteoporosis in postmenopausal women and older men.</w:t>
      </w:r>
      <w:proofErr w:type="gramEnd"/>
      <w:r w:rsidRPr="00FA61B1">
        <w:t xml:space="preserve"> </w:t>
      </w:r>
      <w:proofErr w:type="gramStart"/>
      <w:r w:rsidRPr="00FA61B1">
        <w:t>The Royal Australian College of General Practitioners, [Internet].</w:t>
      </w:r>
      <w:proofErr w:type="gramEnd"/>
      <w:r w:rsidRPr="00FA61B1">
        <w:t xml:space="preserve"> Available from: &lt;http://www.racgp.org.au/guidelines/musculoskeletaldiseases/osteoporosis&gt; [Accessed </w:t>
      </w:r>
      <w:proofErr w:type="spellStart"/>
      <w:r w:rsidRPr="00FA61B1">
        <w:t>Julyne</w:t>
      </w:r>
      <w:proofErr w:type="spellEnd"/>
      <w:r w:rsidRPr="00FA61B1">
        <w:t xml:space="preserve"> 20131].</w:t>
      </w:r>
    </w:p>
    <w:p w:rsidR="00E34900" w:rsidRPr="00674C70" w:rsidRDefault="00E34900" w:rsidP="00075E36">
      <w:r w:rsidRPr="00674C70">
        <w:t>Reid</w:t>
      </w:r>
      <w:r>
        <w:t>,</w:t>
      </w:r>
      <w:r w:rsidRPr="00674C70">
        <w:t xml:space="preserve"> D</w:t>
      </w:r>
      <w:r>
        <w:t>.</w:t>
      </w:r>
      <w:r w:rsidRPr="00674C70">
        <w:t>M</w:t>
      </w:r>
      <w:r>
        <w:t>.</w:t>
      </w:r>
      <w:r w:rsidRPr="00674C70">
        <w:t>, Doughty</w:t>
      </w:r>
      <w:r>
        <w:t>,</w:t>
      </w:r>
      <w:r w:rsidRPr="00674C70">
        <w:t xml:space="preserve"> J</w:t>
      </w:r>
      <w:r>
        <w:t>.</w:t>
      </w:r>
      <w:r w:rsidRPr="00674C70">
        <w:t xml:space="preserve">, </w:t>
      </w:r>
      <w:r>
        <w:t>et al 2008</w:t>
      </w:r>
      <w:r w:rsidRPr="00674C70">
        <w:t xml:space="preserve">. </w:t>
      </w:r>
      <w:proofErr w:type="gramStart"/>
      <w:r>
        <w:t>‘</w:t>
      </w:r>
      <w:r w:rsidRPr="00674C70">
        <w:t>Guidance for the management of breast cancer treatment-induced bone loss: a consensus position statement from a UK Expert Group</w:t>
      </w:r>
      <w:r>
        <w:t>’,</w:t>
      </w:r>
      <w:r w:rsidRPr="00674C70">
        <w:t xml:space="preserve"> </w:t>
      </w:r>
      <w:r w:rsidRPr="00C30131">
        <w:rPr>
          <w:i/>
        </w:rPr>
        <w:t>Cancer Treat</w:t>
      </w:r>
      <w:r>
        <w:rPr>
          <w:i/>
        </w:rPr>
        <w:t>ment</w:t>
      </w:r>
      <w:r w:rsidRPr="00C30131">
        <w:rPr>
          <w:i/>
        </w:rPr>
        <w:t xml:space="preserve"> Rev</w:t>
      </w:r>
      <w:r>
        <w:rPr>
          <w:i/>
        </w:rPr>
        <w:t>iews</w:t>
      </w:r>
      <w:r>
        <w:t xml:space="preserve">, </w:t>
      </w:r>
      <w:r w:rsidRPr="00674C70">
        <w:t>34</w:t>
      </w:r>
      <w:r>
        <w:t xml:space="preserve">, </w:t>
      </w:r>
      <w:r w:rsidRPr="00674C70">
        <w:t>S1–S18</w:t>
      </w:r>
      <w:r>
        <w:t>.</w:t>
      </w:r>
      <w:proofErr w:type="gramEnd"/>
    </w:p>
    <w:p w:rsidR="00E34900" w:rsidRPr="00674C70" w:rsidRDefault="00E34900" w:rsidP="00075E36">
      <w:r w:rsidRPr="00674C70">
        <w:lastRenderedPageBreak/>
        <w:t>Santen, R.J.</w:t>
      </w:r>
      <w:r>
        <w:t>2011.</w:t>
      </w:r>
      <w:r w:rsidRPr="00674C70">
        <w:t xml:space="preserve"> </w:t>
      </w:r>
      <w:proofErr w:type="gramStart"/>
      <w:r>
        <w:t>‘</w:t>
      </w:r>
      <w:r w:rsidRPr="00674C70">
        <w:t>Effect of endocrine therapies on bone in breast cancer patients</w:t>
      </w:r>
      <w:r>
        <w:t>’,</w:t>
      </w:r>
      <w:r w:rsidRPr="00674C70">
        <w:t xml:space="preserve"> </w:t>
      </w:r>
      <w:r w:rsidRPr="00674C70">
        <w:rPr>
          <w:i/>
        </w:rPr>
        <w:t xml:space="preserve">Journal of </w:t>
      </w:r>
      <w:r>
        <w:rPr>
          <w:i/>
        </w:rPr>
        <w:t>Cl</w:t>
      </w:r>
      <w:r w:rsidRPr="00674C70">
        <w:rPr>
          <w:i/>
        </w:rPr>
        <w:t xml:space="preserve">inical </w:t>
      </w:r>
      <w:r>
        <w:rPr>
          <w:i/>
        </w:rPr>
        <w:t>E</w:t>
      </w:r>
      <w:r w:rsidRPr="00674C70">
        <w:rPr>
          <w:i/>
        </w:rPr>
        <w:t xml:space="preserve">ndocrinology </w:t>
      </w:r>
      <w:r>
        <w:rPr>
          <w:i/>
        </w:rPr>
        <w:t>and M</w:t>
      </w:r>
      <w:r w:rsidRPr="00674C70">
        <w:rPr>
          <w:i/>
        </w:rPr>
        <w:t>etabolism</w:t>
      </w:r>
      <w:r>
        <w:rPr>
          <w:i/>
        </w:rPr>
        <w:t>,</w:t>
      </w:r>
      <w:r>
        <w:t xml:space="preserve"> </w:t>
      </w:r>
      <w:r w:rsidRPr="00674C70">
        <w:t>98</w:t>
      </w:r>
      <w:r>
        <w:t xml:space="preserve"> (2), </w:t>
      </w:r>
      <w:r w:rsidRPr="00674C70">
        <w:t>308-319</w:t>
      </w:r>
      <w:r>
        <w:t>.</w:t>
      </w:r>
      <w:proofErr w:type="gramEnd"/>
    </w:p>
    <w:p w:rsidR="00E34900" w:rsidRDefault="00E34900" w:rsidP="00075E36">
      <w:proofErr w:type="gramStart"/>
      <w:r w:rsidRPr="003B7A54">
        <w:t>SIGN 2003.</w:t>
      </w:r>
      <w:proofErr w:type="gramEnd"/>
      <w:r w:rsidRPr="003B7A54">
        <w:t xml:space="preserve"> Scottish Intercollegiate Guidelines Network – Management of osteoporosis, </w:t>
      </w:r>
      <w:proofErr w:type="gramStart"/>
      <w:r w:rsidRPr="003B7A54">
        <w:t>A</w:t>
      </w:r>
      <w:proofErr w:type="gramEnd"/>
      <w:r w:rsidRPr="003B7A54">
        <w:t xml:space="preserve"> national clinical guidel</w:t>
      </w:r>
      <w:r>
        <w:t>ine, [Internet]. Available from</w:t>
      </w:r>
      <w:r w:rsidRPr="003B7A54">
        <w:t xml:space="preserve">: </w:t>
      </w:r>
      <w:r>
        <w:t>&lt;</w:t>
      </w:r>
      <w:r w:rsidRPr="001B2CF7">
        <w:t>http://www.sign.ac.uk/pdf/sign71.pdf</w:t>
      </w:r>
      <w:r w:rsidRPr="00850C5B">
        <w:rPr>
          <w:rStyle w:val="Hyperlink"/>
          <w:rFonts w:cs="Tahoma"/>
          <w:color w:val="auto"/>
          <w:u w:val="none"/>
        </w:rPr>
        <w:t>&gt;</w:t>
      </w:r>
      <w:r w:rsidRPr="003B7A54">
        <w:t xml:space="preserve"> [Accessed June 2011].</w:t>
      </w:r>
    </w:p>
    <w:p w:rsidR="00E34900" w:rsidRPr="00E64E4E" w:rsidRDefault="00E34900" w:rsidP="00E64E4E">
      <w:proofErr w:type="gramStart"/>
      <w:r w:rsidRPr="00E64E4E">
        <w:t xml:space="preserve">Smith, M. 2006, ‘Treatment-Related Osteoporosis in Men with Prostate Cancer’, </w:t>
      </w:r>
      <w:proofErr w:type="spellStart"/>
      <w:r w:rsidRPr="00E64E4E">
        <w:rPr>
          <w:i/>
        </w:rPr>
        <w:t>Clin</w:t>
      </w:r>
      <w:proofErr w:type="spellEnd"/>
      <w:r w:rsidRPr="00E64E4E">
        <w:rPr>
          <w:i/>
        </w:rPr>
        <w:t xml:space="preserve"> Cancer Res</w:t>
      </w:r>
      <w:r w:rsidRPr="00E64E4E">
        <w:t>, 12 (20), 6315s-6319s.</w:t>
      </w:r>
      <w:proofErr w:type="gramEnd"/>
    </w:p>
    <w:p w:rsidR="00E34900" w:rsidRDefault="00E34900" w:rsidP="00075E36">
      <w:pPr>
        <w:rPr>
          <w:rStyle w:val="Hyperlink"/>
          <w:rFonts w:cs="Tahoma"/>
        </w:rPr>
      </w:pPr>
      <w:proofErr w:type="gramStart"/>
      <w:r w:rsidRPr="003B7A54">
        <w:t>WHO 2007.</w:t>
      </w:r>
      <w:proofErr w:type="gramEnd"/>
      <w:r w:rsidRPr="003B7A54">
        <w:t xml:space="preserve"> </w:t>
      </w:r>
      <w:proofErr w:type="gramStart"/>
      <w:r w:rsidRPr="003B7A54">
        <w:t>‘Assessment of osteoporosis at the primary health care level.</w:t>
      </w:r>
      <w:proofErr w:type="gramEnd"/>
      <w:r w:rsidRPr="003B7A54">
        <w:t xml:space="preserve"> </w:t>
      </w:r>
      <w:proofErr w:type="gramStart"/>
      <w:r w:rsidRPr="003B7A54">
        <w:t>Summary Report of a WHO Scientific Group’ World Health Organisation, Geneva, [Internet].</w:t>
      </w:r>
      <w:proofErr w:type="gramEnd"/>
      <w:r w:rsidRPr="003B7A54">
        <w:t xml:space="preserve"> Available from:</w:t>
      </w:r>
      <w:r>
        <w:t xml:space="preserve"> &lt;</w:t>
      </w:r>
      <w:r w:rsidRPr="001B2CF7">
        <w:t>http://www.shef.ac.uk/FRAX/pdfs/WHO_Technical_Report.pdf</w:t>
      </w:r>
      <w:r w:rsidRPr="00850C5B">
        <w:rPr>
          <w:rStyle w:val="Hyperlink"/>
          <w:rFonts w:cs="Tahoma"/>
          <w:color w:val="auto"/>
          <w:u w:val="none"/>
        </w:rPr>
        <w:t>&gt;</w:t>
      </w:r>
      <w:r>
        <w:t xml:space="preserve"> </w:t>
      </w:r>
      <w:r w:rsidRPr="003B7A54">
        <w:t xml:space="preserve">[Accessed 10 March 2012].  </w:t>
      </w:r>
    </w:p>
    <w:p w:rsidR="00E34900" w:rsidRDefault="00E34900" w:rsidP="00075E36">
      <w:proofErr w:type="gramStart"/>
      <w:r w:rsidRPr="00296E39">
        <w:t>WHO</w:t>
      </w:r>
      <w:r>
        <w:t xml:space="preserve"> </w:t>
      </w:r>
      <w:r w:rsidRPr="00296E39">
        <w:t>2012.</w:t>
      </w:r>
      <w:proofErr w:type="gramEnd"/>
      <w:r w:rsidRPr="00296E39">
        <w:t xml:space="preserve"> ‘FRAX WHO Fracture Risk Assessment Tool’, World Health Organization Collaborating Centre for Metabolic Bone Diseases, University of Sheffield, UK, [Internet]. Available from: </w:t>
      </w:r>
      <w:r>
        <w:t>&lt;</w:t>
      </w:r>
      <w:r w:rsidRPr="001B2CF7">
        <w:t>http://www.shef.ac.uk/FRAX/tool.jsp?country=31</w:t>
      </w:r>
      <w:r w:rsidRPr="00850C5B">
        <w:rPr>
          <w:rStyle w:val="Hyperlink"/>
          <w:rFonts w:cs="Tahoma"/>
          <w:color w:val="auto"/>
          <w:u w:val="none"/>
        </w:rPr>
        <w:t>&gt;</w:t>
      </w:r>
      <w:r>
        <w:t xml:space="preserve"> </w:t>
      </w:r>
      <w:r w:rsidRPr="00296E39">
        <w:t xml:space="preserve">[Accessed 15 June 2012].  </w:t>
      </w:r>
    </w:p>
    <w:p w:rsidR="00D8067A" w:rsidRDefault="00D8067A">
      <w:pPr>
        <w:spacing w:after="0" w:line="240" w:lineRule="auto"/>
        <w:jc w:val="left"/>
      </w:pPr>
      <w:r>
        <w:br w:type="page"/>
      </w:r>
    </w:p>
    <w:p w:rsidR="00D8067A" w:rsidRPr="00613957" w:rsidRDefault="00D8067A" w:rsidP="0031428F">
      <w:pPr>
        <w:pStyle w:val="Heading1"/>
      </w:pPr>
      <w:bookmarkStart w:id="53" w:name="_Toc335902683"/>
      <w:bookmarkStart w:id="54" w:name="_Toc335905427"/>
      <w:bookmarkStart w:id="55" w:name="_Toc362968502"/>
      <w:r w:rsidRPr="00613957">
        <w:lastRenderedPageBreak/>
        <w:t>Appendix 1</w:t>
      </w:r>
      <w:r>
        <w:tab/>
      </w:r>
      <w:r w:rsidRPr="007E0830">
        <w:t>Examples of treatments currently listed on the ARTG for the treatment of osteoporosis</w:t>
      </w:r>
      <w:bookmarkEnd w:id="53"/>
      <w:bookmarkEnd w:id="54"/>
      <w:bookmarkEnd w:id="55"/>
    </w:p>
    <w:p w:rsidR="00D8067A" w:rsidRPr="00CF6D1F" w:rsidRDefault="00D8067A" w:rsidP="0031428F"/>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093"/>
        <w:gridCol w:w="1559"/>
        <w:gridCol w:w="4820"/>
      </w:tblGrid>
      <w:tr w:rsidR="00D8067A" w:rsidRPr="00A07B5F" w:rsidTr="0031428F">
        <w:tc>
          <w:tcPr>
            <w:tcW w:w="2093" w:type="dxa"/>
          </w:tcPr>
          <w:p w:rsidR="00D8067A" w:rsidRPr="00A07B5F" w:rsidRDefault="00D8067A" w:rsidP="0031428F">
            <w:pPr>
              <w:tabs>
                <w:tab w:val="left" w:pos="2835"/>
              </w:tabs>
              <w:spacing w:after="0"/>
              <w:rPr>
                <w:rFonts w:ascii="Arial Narrow" w:hAnsi="Arial Narrow"/>
                <w:lang w:eastAsia="ja-JP"/>
              </w:rPr>
            </w:pPr>
            <w:r w:rsidRPr="00A07B5F">
              <w:rPr>
                <w:rFonts w:ascii="Arial Narrow" w:hAnsi="Arial Narrow"/>
                <w:lang w:eastAsia="ja-JP"/>
              </w:rPr>
              <w:t>ARTG number</w:t>
            </w:r>
          </w:p>
        </w:tc>
        <w:tc>
          <w:tcPr>
            <w:tcW w:w="1559" w:type="dxa"/>
          </w:tcPr>
          <w:p w:rsidR="00D8067A" w:rsidRPr="00A07B5F" w:rsidRDefault="00D8067A" w:rsidP="0031428F">
            <w:pPr>
              <w:tabs>
                <w:tab w:val="left" w:pos="2835"/>
              </w:tabs>
              <w:spacing w:after="0"/>
              <w:rPr>
                <w:rFonts w:ascii="Arial Narrow" w:hAnsi="Arial Narrow"/>
                <w:lang w:eastAsia="ja-JP"/>
              </w:rPr>
            </w:pPr>
            <w:r w:rsidRPr="00A07B5F">
              <w:rPr>
                <w:rFonts w:ascii="Arial Narrow" w:hAnsi="Arial Narrow"/>
                <w:lang w:eastAsia="ja-JP"/>
              </w:rPr>
              <w:t>Product name</w:t>
            </w:r>
          </w:p>
        </w:tc>
        <w:tc>
          <w:tcPr>
            <w:tcW w:w="4820" w:type="dxa"/>
          </w:tcPr>
          <w:p w:rsidR="00D8067A" w:rsidRPr="00A07B5F" w:rsidRDefault="00D8067A" w:rsidP="0031428F">
            <w:pPr>
              <w:tabs>
                <w:tab w:val="left" w:pos="2835"/>
              </w:tabs>
              <w:spacing w:after="0"/>
              <w:rPr>
                <w:rFonts w:ascii="Arial Narrow" w:hAnsi="Arial Narrow"/>
                <w:lang w:eastAsia="ja-JP"/>
              </w:rPr>
            </w:pPr>
            <w:r w:rsidRPr="00A07B5F">
              <w:rPr>
                <w:rFonts w:ascii="Arial Narrow" w:hAnsi="Arial Narrow"/>
                <w:lang w:eastAsia="ja-JP"/>
              </w:rPr>
              <w:t>Approved indication</w:t>
            </w:r>
          </w:p>
        </w:tc>
      </w:tr>
      <w:tr w:rsidR="00D8067A" w:rsidRPr="00A07B5F" w:rsidTr="0031428F">
        <w:tc>
          <w:tcPr>
            <w:tcW w:w="8472" w:type="dxa"/>
            <w:gridSpan w:val="3"/>
          </w:tcPr>
          <w:p w:rsidR="00D8067A" w:rsidRPr="00A07B5F" w:rsidRDefault="00D8067A" w:rsidP="0031428F">
            <w:pPr>
              <w:tabs>
                <w:tab w:val="left" w:pos="2835"/>
              </w:tabs>
              <w:spacing w:after="0"/>
              <w:rPr>
                <w:rFonts w:ascii="Arial Narrow" w:hAnsi="Arial Narrow"/>
                <w:b/>
                <w:lang w:eastAsia="ja-JP"/>
              </w:rPr>
            </w:pPr>
            <w:r w:rsidRPr="00A07B5F">
              <w:rPr>
                <w:rFonts w:ascii="Arial Narrow" w:hAnsi="Arial Narrow"/>
                <w:b/>
                <w:lang w:eastAsia="ja-JP"/>
              </w:rPr>
              <w:t>Selective oestrogen receptor modulators (SERMs)</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161797</w:t>
            </w:r>
          </w:p>
        </w:tc>
        <w:tc>
          <w:tcPr>
            <w:tcW w:w="1559" w:type="dxa"/>
          </w:tcPr>
          <w:p w:rsidR="00D8067A" w:rsidRPr="00A07B5F" w:rsidRDefault="00D8067A" w:rsidP="0031428F">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Femarelle</w:t>
            </w:r>
            <w:proofErr w:type="spellEnd"/>
          </w:p>
        </w:tc>
        <w:tc>
          <w:tcPr>
            <w:tcW w:w="4820" w:type="dxa"/>
          </w:tcPr>
          <w:p w:rsidR="00D8067A" w:rsidRPr="00A07B5F" w:rsidRDefault="00D8067A" w:rsidP="0031428F">
            <w:pPr>
              <w:tabs>
                <w:tab w:val="left" w:pos="2835"/>
              </w:tabs>
              <w:spacing w:after="0"/>
              <w:ind w:left="4"/>
              <w:contextualSpacing/>
              <w:rPr>
                <w:rFonts w:ascii="Arial Narrow" w:hAnsi="Arial Narrow"/>
                <w:lang w:eastAsia="ja-JP"/>
              </w:rPr>
            </w:pPr>
            <w:r w:rsidRPr="00A07B5F">
              <w:rPr>
                <w:rFonts w:ascii="Arial Narrow" w:hAnsi="Arial Narrow"/>
                <w:lang w:eastAsia="ja-JP"/>
              </w:rPr>
              <w:t>Standard:</w:t>
            </w:r>
            <w:r w:rsidRPr="00A07B5F">
              <w:rPr>
                <w:rFonts w:ascii="Arial Narrow" w:hAnsi="Arial Narrow"/>
              </w:rPr>
              <w:t xml:space="preserve"> </w:t>
            </w:r>
            <w:r w:rsidRPr="00A07B5F">
              <w:rPr>
                <w:rFonts w:ascii="Arial Narrow" w:hAnsi="Arial Narrow"/>
                <w:lang w:eastAsia="ja-JP"/>
              </w:rPr>
              <w:t>For the symptomatic relief of menopause.</w:t>
            </w:r>
          </w:p>
          <w:p w:rsidR="00D8067A" w:rsidRPr="00A07B5F" w:rsidRDefault="00D8067A" w:rsidP="0031428F">
            <w:pPr>
              <w:tabs>
                <w:tab w:val="left" w:pos="2835"/>
              </w:tabs>
              <w:spacing w:after="0"/>
              <w:rPr>
                <w:rFonts w:ascii="Arial Narrow" w:hAnsi="Arial Narrow"/>
                <w:lang w:eastAsia="ja-JP"/>
              </w:rPr>
            </w:pPr>
            <w:r w:rsidRPr="00A07B5F">
              <w:rPr>
                <w:rFonts w:ascii="Arial Narrow" w:hAnsi="Arial Narrow"/>
                <w:lang w:eastAsia="ja-JP"/>
              </w:rPr>
              <w:t>Specific: Maintenance of bone health.</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64709</w:t>
            </w:r>
          </w:p>
        </w:tc>
        <w:tc>
          <w:tcPr>
            <w:tcW w:w="1559" w:type="dxa"/>
          </w:tcPr>
          <w:p w:rsidR="00D8067A" w:rsidRPr="00A07B5F" w:rsidRDefault="00D8067A" w:rsidP="0031428F">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Evista</w:t>
            </w:r>
            <w:proofErr w:type="spellEnd"/>
          </w:p>
        </w:tc>
        <w:tc>
          <w:tcPr>
            <w:tcW w:w="4820" w:type="dxa"/>
          </w:tcPr>
          <w:p w:rsidR="00D8067A" w:rsidRPr="00A07B5F" w:rsidRDefault="00D8067A" w:rsidP="0031428F">
            <w:pPr>
              <w:tabs>
                <w:tab w:val="left" w:pos="2835"/>
              </w:tabs>
              <w:spacing w:after="0"/>
              <w:ind w:left="4"/>
              <w:contextualSpacing/>
              <w:rPr>
                <w:rFonts w:ascii="Arial Narrow" w:hAnsi="Arial Narrow"/>
                <w:lang w:eastAsia="ja-JP"/>
              </w:rPr>
            </w:pPr>
            <w:proofErr w:type="spellStart"/>
            <w:r w:rsidRPr="00A07B5F">
              <w:rPr>
                <w:rFonts w:ascii="Arial Narrow" w:hAnsi="Arial Narrow"/>
                <w:lang w:eastAsia="ja-JP"/>
              </w:rPr>
              <w:t>Evista</w:t>
            </w:r>
            <w:proofErr w:type="spellEnd"/>
            <w:r w:rsidRPr="00A07B5F">
              <w:rPr>
                <w:rFonts w:ascii="Arial Narrow" w:hAnsi="Arial Narrow"/>
                <w:lang w:eastAsia="ja-JP"/>
              </w:rPr>
              <w:t xml:space="preserve"> is indicated for the prevention and treatment of osteoporosis in post-menopausal women. </w:t>
            </w:r>
            <w:proofErr w:type="spellStart"/>
            <w:r w:rsidRPr="00A07B5F">
              <w:rPr>
                <w:rFonts w:ascii="Arial Narrow" w:hAnsi="Arial Narrow"/>
                <w:lang w:eastAsia="ja-JP"/>
              </w:rPr>
              <w:t>Evista</w:t>
            </w:r>
            <w:proofErr w:type="spellEnd"/>
            <w:r w:rsidRPr="00A07B5F">
              <w:rPr>
                <w:rFonts w:ascii="Arial Narrow" w:hAnsi="Arial Narrow"/>
                <w:lang w:eastAsia="ja-JP"/>
              </w:rPr>
              <w:t xml:space="preserve"> is indicated for the reduction in the risk of invasive breast cancer in postmenopausal women with osteoporosis. </w:t>
            </w:r>
            <w:proofErr w:type="spellStart"/>
            <w:r w:rsidRPr="00A07B5F">
              <w:rPr>
                <w:rFonts w:ascii="Arial Narrow" w:hAnsi="Arial Narrow"/>
                <w:lang w:eastAsia="ja-JP"/>
              </w:rPr>
              <w:t>Evista</w:t>
            </w:r>
            <w:proofErr w:type="spellEnd"/>
            <w:r w:rsidRPr="00A07B5F">
              <w:rPr>
                <w:rFonts w:ascii="Arial Narrow" w:hAnsi="Arial Narrow"/>
                <w:lang w:eastAsia="ja-JP"/>
              </w:rPr>
              <w:t xml:space="preserve"> is indicated for the reduction in the risk of invasive breast cancer in postmenopausal women at high risk of invasive breast cancer.</w:t>
            </w:r>
          </w:p>
        </w:tc>
      </w:tr>
      <w:tr w:rsidR="00D8067A" w:rsidRPr="00A07B5F" w:rsidTr="0031428F">
        <w:tc>
          <w:tcPr>
            <w:tcW w:w="8472" w:type="dxa"/>
            <w:gridSpan w:val="3"/>
          </w:tcPr>
          <w:p w:rsidR="00D8067A" w:rsidRPr="00A07B5F" w:rsidRDefault="00D8067A" w:rsidP="0031428F">
            <w:pPr>
              <w:tabs>
                <w:tab w:val="left" w:pos="2835"/>
              </w:tabs>
              <w:spacing w:after="0"/>
              <w:ind w:left="720"/>
              <w:contextualSpacing/>
              <w:rPr>
                <w:rFonts w:ascii="Arial Narrow" w:hAnsi="Arial Narrow"/>
                <w:b/>
                <w:lang w:eastAsia="ja-JP"/>
              </w:rPr>
            </w:pPr>
            <w:r w:rsidRPr="00A07B5F">
              <w:rPr>
                <w:rFonts w:ascii="Arial Narrow" w:hAnsi="Arial Narrow"/>
                <w:b/>
                <w:lang w:eastAsia="ja-JP"/>
              </w:rPr>
              <w:t xml:space="preserve">Bisphosphonates </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rPr>
            </w:pPr>
            <w:r w:rsidRPr="00A07B5F">
              <w:rPr>
                <w:rFonts w:ascii="Arial Narrow" w:hAnsi="Arial Narrow"/>
              </w:rPr>
              <w:t>ARTG number</w:t>
            </w:r>
          </w:p>
        </w:tc>
        <w:tc>
          <w:tcPr>
            <w:tcW w:w="1559" w:type="dxa"/>
          </w:tcPr>
          <w:p w:rsidR="00D8067A" w:rsidRPr="00A07B5F" w:rsidRDefault="00D8067A" w:rsidP="0031428F">
            <w:pPr>
              <w:tabs>
                <w:tab w:val="left" w:pos="2835"/>
              </w:tabs>
              <w:spacing w:after="0"/>
              <w:ind w:left="34"/>
              <w:contextualSpacing/>
              <w:rPr>
                <w:rFonts w:ascii="Arial Narrow" w:hAnsi="Arial Narrow"/>
              </w:rPr>
            </w:pPr>
            <w:r w:rsidRPr="00A07B5F">
              <w:rPr>
                <w:rFonts w:ascii="Arial Narrow" w:hAnsi="Arial Narrow"/>
              </w:rPr>
              <w:t>Product name</w:t>
            </w:r>
          </w:p>
        </w:tc>
        <w:tc>
          <w:tcPr>
            <w:tcW w:w="4820" w:type="dxa"/>
          </w:tcPr>
          <w:p w:rsidR="00D8067A" w:rsidRPr="00A07B5F" w:rsidRDefault="00D8067A" w:rsidP="0031428F">
            <w:pPr>
              <w:tabs>
                <w:tab w:val="left" w:pos="2835"/>
              </w:tabs>
              <w:spacing w:after="0"/>
              <w:ind w:left="720"/>
              <w:contextualSpacing/>
              <w:rPr>
                <w:rFonts w:ascii="Arial Narrow" w:hAnsi="Arial Narrow"/>
              </w:rPr>
            </w:pPr>
            <w:r w:rsidRPr="00A07B5F">
              <w:rPr>
                <w:rFonts w:ascii="Arial Narrow" w:hAnsi="Arial Narrow"/>
              </w:rPr>
              <w:t>Approved indication</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113482,120028,136846,157805, 161137, 53158, 54380, 67262, 68428, 73520, 73772, 76851, 93333, 98944</w:t>
            </w:r>
          </w:p>
        </w:tc>
        <w:tc>
          <w:tcPr>
            <w:tcW w:w="1559" w:type="dxa"/>
          </w:tcPr>
          <w:p w:rsidR="00D8067A" w:rsidRPr="00A07B5F" w:rsidRDefault="00D8067A" w:rsidP="0031428F">
            <w:pPr>
              <w:tabs>
                <w:tab w:val="left" w:pos="2835"/>
              </w:tabs>
              <w:spacing w:after="0"/>
              <w:ind w:left="175"/>
              <w:contextualSpacing/>
              <w:rPr>
                <w:rFonts w:ascii="Arial Narrow" w:hAnsi="Arial Narrow"/>
                <w:lang w:eastAsia="ja-JP"/>
              </w:rPr>
            </w:pPr>
            <w:r w:rsidRPr="00A07B5F">
              <w:rPr>
                <w:rFonts w:ascii="Arial Narrow" w:hAnsi="Arial Narrow"/>
                <w:lang w:eastAsia="ja-JP"/>
              </w:rPr>
              <w:t>Fosamax</w:t>
            </w:r>
          </w:p>
        </w:tc>
        <w:tc>
          <w:tcPr>
            <w:tcW w:w="4820"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Specific: Treatment of osteoporosis in postmenopausal women to prevent fractures, including those of the hip and spine (vertebral compression fractures) and to help ensure vitamin D adequacy and/or to reduce the risk of Vitamin D insufficiency. Treatment of osteoporosis in men to prevent fractures and to help ensure vitamin D adequacy and/or to reduce the risk of Vitamin D insufficiency indicated for the treatment of Paget's disease of bone in men &amp; women.</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46852</w:t>
            </w:r>
          </w:p>
        </w:tc>
        <w:tc>
          <w:tcPr>
            <w:tcW w:w="1559" w:type="dxa"/>
          </w:tcPr>
          <w:p w:rsidR="00D8067A" w:rsidRPr="00A07B5F" w:rsidRDefault="00D8067A" w:rsidP="0031428F">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Didrocal</w:t>
            </w:r>
            <w:proofErr w:type="spellEnd"/>
          </w:p>
        </w:tc>
        <w:tc>
          <w:tcPr>
            <w:tcW w:w="4820"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Specific: Treatment of osteoporosis. Osteoporosis must be confirmed by the finding of low bone mass (at least two standard deviations below the gender-specific mean for young adults) or by the presence or history of osteoporotic fracture. Prevention of bone loss in patients for whom long-term treatment with high-dose corticosteroids is either about to be commenced or has been recently initiated</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117667, 138211, 141530, 150618, 166838, 166853, 166942,74135, 74136, 82746</w:t>
            </w:r>
          </w:p>
        </w:tc>
        <w:tc>
          <w:tcPr>
            <w:tcW w:w="1559" w:type="dxa"/>
          </w:tcPr>
          <w:p w:rsidR="00D8067A" w:rsidRPr="00A07B5F" w:rsidRDefault="00D8067A" w:rsidP="0031428F">
            <w:pPr>
              <w:tabs>
                <w:tab w:val="left" w:pos="2835"/>
              </w:tabs>
              <w:spacing w:after="0"/>
              <w:ind w:left="175"/>
              <w:contextualSpacing/>
              <w:rPr>
                <w:rFonts w:ascii="Arial Narrow" w:hAnsi="Arial Narrow"/>
                <w:lang w:eastAsia="ja-JP"/>
              </w:rPr>
            </w:pPr>
            <w:r w:rsidRPr="00A07B5F">
              <w:rPr>
                <w:rFonts w:ascii="Arial Narrow" w:hAnsi="Arial Narrow"/>
                <w:lang w:eastAsia="ja-JP"/>
              </w:rPr>
              <w:t>Actonel</w:t>
            </w:r>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Specific: Treatment of osteoporosis. Treatment of glucocorticoid-induced osteoporosis. Preservation of bone mineral density in patients on long-term corticosteroid therapy.</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134664</w:t>
            </w:r>
          </w:p>
        </w:tc>
        <w:tc>
          <w:tcPr>
            <w:tcW w:w="1559" w:type="dxa"/>
          </w:tcPr>
          <w:p w:rsidR="00D8067A" w:rsidRPr="00A07B5F" w:rsidRDefault="00D8067A" w:rsidP="0031428F">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Aclasta</w:t>
            </w:r>
            <w:proofErr w:type="spellEnd"/>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Specific: Treatment of osteoporosis in postmenopausal women to reduce the incidence of hip, vertebral and non-vertebral fractures. - Treatment of osteoporosis in patients over 50 years of age with a history of at least one low trauma hip fracture, to reduce the incidence of further fractures. - To increase bone mineral density in men with osteoporosis. - To increase bone mineral density in patients with osteoporosis associated with long term glucocorticoid use. To prevent glucocorticoid-induced bone mineral density loss. - Treatment of Paget's </w:t>
            </w:r>
            <w:r w:rsidRPr="00A07B5F">
              <w:rPr>
                <w:rFonts w:ascii="Arial Narrow" w:hAnsi="Arial Narrow"/>
                <w:lang w:eastAsia="ja-JP"/>
              </w:rPr>
              <w:lastRenderedPageBreak/>
              <w:t>disease of bone.</w:t>
            </w:r>
          </w:p>
        </w:tc>
      </w:tr>
      <w:tr w:rsidR="00D8067A" w:rsidRPr="00A07B5F" w:rsidTr="0031428F">
        <w:tc>
          <w:tcPr>
            <w:tcW w:w="2093" w:type="dxa"/>
          </w:tcPr>
          <w:p w:rsidR="00D8067A" w:rsidRPr="00A07B5F" w:rsidRDefault="00D8067A" w:rsidP="0031428F">
            <w:pPr>
              <w:tabs>
                <w:tab w:val="left" w:pos="2835"/>
              </w:tabs>
              <w:spacing w:after="0"/>
              <w:rPr>
                <w:rFonts w:ascii="Arial Narrow" w:hAnsi="Arial Narrow"/>
                <w:lang w:eastAsia="ja-JP"/>
              </w:rPr>
            </w:pPr>
          </w:p>
        </w:tc>
        <w:tc>
          <w:tcPr>
            <w:tcW w:w="1559" w:type="dxa"/>
          </w:tcPr>
          <w:p w:rsidR="00D8067A" w:rsidRPr="00A07B5F" w:rsidRDefault="00D8067A" w:rsidP="0031428F">
            <w:pPr>
              <w:tabs>
                <w:tab w:val="left" w:pos="2835"/>
              </w:tabs>
              <w:spacing w:after="0"/>
              <w:rPr>
                <w:rFonts w:ascii="Arial Narrow" w:hAnsi="Arial Narrow"/>
                <w:lang w:eastAsia="ja-JP"/>
              </w:rPr>
            </w:pPr>
          </w:p>
        </w:tc>
        <w:tc>
          <w:tcPr>
            <w:tcW w:w="4820" w:type="dxa"/>
          </w:tcPr>
          <w:p w:rsidR="00D8067A" w:rsidRPr="00A07B5F" w:rsidRDefault="00D8067A" w:rsidP="0031428F">
            <w:pPr>
              <w:tabs>
                <w:tab w:val="left" w:pos="2835"/>
              </w:tabs>
              <w:spacing w:after="0"/>
              <w:rPr>
                <w:rFonts w:ascii="Arial Narrow" w:hAnsi="Arial Narrow"/>
                <w:lang w:eastAsia="ja-JP"/>
              </w:rPr>
            </w:pPr>
          </w:p>
        </w:tc>
      </w:tr>
      <w:tr w:rsidR="00D8067A" w:rsidRPr="00A07B5F" w:rsidTr="0031428F">
        <w:tc>
          <w:tcPr>
            <w:tcW w:w="8472" w:type="dxa"/>
            <w:gridSpan w:val="3"/>
          </w:tcPr>
          <w:p w:rsidR="00D8067A" w:rsidRPr="00A07B5F" w:rsidRDefault="00D8067A" w:rsidP="0031428F">
            <w:pPr>
              <w:tabs>
                <w:tab w:val="left" w:pos="2835"/>
              </w:tabs>
              <w:spacing w:after="0"/>
              <w:ind w:left="720"/>
              <w:contextualSpacing/>
              <w:rPr>
                <w:rFonts w:ascii="Arial Narrow" w:hAnsi="Arial Narrow"/>
                <w:b/>
                <w:lang w:eastAsia="ja-JP"/>
              </w:rPr>
            </w:pPr>
            <w:r w:rsidRPr="00A07B5F">
              <w:rPr>
                <w:rFonts w:ascii="Arial Narrow" w:hAnsi="Arial Narrow"/>
                <w:b/>
                <w:lang w:eastAsia="ja-JP"/>
              </w:rPr>
              <w:t>Monoclonal antibodies</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rPr>
            </w:pPr>
            <w:r w:rsidRPr="00A07B5F">
              <w:rPr>
                <w:rFonts w:ascii="Arial Narrow" w:hAnsi="Arial Narrow"/>
              </w:rPr>
              <w:t>ARTG number</w:t>
            </w:r>
          </w:p>
        </w:tc>
        <w:tc>
          <w:tcPr>
            <w:tcW w:w="1559" w:type="dxa"/>
          </w:tcPr>
          <w:p w:rsidR="00D8067A" w:rsidRPr="00A07B5F" w:rsidRDefault="00D8067A" w:rsidP="0031428F">
            <w:pPr>
              <w:tabs>
                <w:tab w:val="left" w:pos="2835"/>
              </w:tabs>
              <w:spacing w:after="0"/>
              <w:ind w:left="34"/>
              <w:contextualSpacing/>
              <w:rPr>
                <w:rFonts w:ascii="Arial Narrow" w:hAnsi="Arial Narrow"/>
              </w:rPr>
            </w:pPr>
            <w:r w:rsidRPr="00A07B5F">
              <w:rPr>
                <w:rFonts w:ascii="Arial Narrow" w:hAnsi="Arial Narrow"/>
              </w:rPr>
              <w:t>Product name</w:t>
            </w:r>
          </w:p>
        </w:tc>
        <w:tc>
          <w:tcPr>
            <w:tcW w:w="4820" w:type="dxa"/>
          </w:tcPr>
          <w:p w:rsidR="00D8067A" w:rsidRPr="00A07B5F" w:rsidRDefault="00D8067A" w:rsidP="0031428F">
            <w:pPr>
              <w:tabs>
                <w:tab w:val="left" w:pos="2835"/>
              </w:tabs>
              <w:spacing w:after="0"/>
              <w:ind w:left="34"/>
              <w:contextualSpacing/>
              <w:rPr>
                <w:rFonts w:ascii="Arial Narrow" w:hAnsi="Arial Narrow"/>
              </w:rPr>
            </w:pPr>
            <w:r w:rsidRPr="00A07B5F">
              <w:rPr>
                <w:rFonts w:ascii="Arial Narrow" w:hAnsi="Arial Narrow"/>
              </w:rPr>
              <w:t>Approved indication</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159322, 159323, 159324</w:t>
            </w:r>
          </w:p>
        </w:tc>
        <w:tc>
          <w:tcPr>
            <w:tcW w:w="1559" w:type="dxa"/>
          </w:tcPr>
          <w:p w:rsidR="00D8067A" w:rsidRPr="00A07B5F" w:rsidRDefault="00D8067A" w:rsidP="0031428F">
            <w:pPr>
              <w:tabs>
                <w:tab w:val="left" w:pos="2835"/>
              </w:tabs>
              <w:spacing w:after="0"/>
              <w:contextualSpacing/>
              <w:rPr>
                <w:rFonts w:ascii="Arial Narrow" w:hAnsi="Arial Narrow"/>
                <w:lang w:eastAsia="ja-JP"/>
              </w:rPr>
            </w:pPr>
            <w:proofErr w:type="spellStart"/>
            <w:r w:rsidRPr="00A07B5F">
              <w:rPr>
                <w:rFonts w:ascii="Arial Narrow" w:hAnsi="Arial Narrow"/>
                <w:lang w:eastAsia="ja-JP"/>
              </w:rPr>
              <w:t>Denosumab</w:t>
            </w:r>
            <w:proofErr w:type="spellEnd"/>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The treatment of osteoporosis in postmenopausal women. </w:t>
            </w:r>
            <w:proofErr w:type="spellStart"/>
            <w:r w:rsidRPr="00A07B5F">
              <w:rPr>
                <w:rFonts w:ascii="Arial Narrow" w:hAnsi="Arial Narrow"/>
                <w:lang w:eastAsia="ja-JP"/>
              </w:rPr>
              <w:t>Prolia</w:t>
            </w:r>
            <w:proofErr w:type="spellEnd"/>
            <w:r w:rsidRPr="00A07B5F">
              <w:rPr>
                <w:rFonts w:ascii="Arial Narrow" w:hAnsi="Arial Narrow"/>
                <w:lang w:eastAsia="ja-JP"/>
              </w:rPr>
              <w:t xml:space="preserve"> significantly reduces the risk of vertebral, non-vertebral and hip fractures.</w:t>
            </w:r>
          </w:p>
        </w:tc>
      </w:tr>
      <w:tr w:rsidR="00D8067A" w:rsidRPr="00A07B5F" w:rsidTr="0031428F">
        <w:tc>
          <w:tcPr>
            <w:tcW w:w="8472" w:type="dxa"/>
            <w:gridSpan w:val="3"/>
          </w:tcPr>
          <w:p w:rsidR="00D8067A" w:rsidRPr="00A07B5F" w:rsidRDefault="00D8067A" w:rsidP="0031428F">
            <w:pPr>
              <w:tabs>
                <w:tab w:val="left" w:pos="2835"/>
              </w:tabs>
              <w:spacing w:after="0"/>
              <w:ind w:left="720"/>
              <w:contextualSpacing/>
              <w:rPr>
                <w:rFonts w:ascii="Arial Narrow" w:hAnsi="Arial Narrow"/>
                <w:b/>
                <w:lang w:eastAsia="ja-JP"/>
              </w:rPr>
            </w:pPr>
            <w:r>
              <w:rPr>
                <w:rFonts w:ascii="Arial Narrow" w:hAnsi="Arial Narrow"/>
                <w:b/>
                <w:lang w:eastAsia="ja-JP"/>
              </w:rPr>
              <w:t>P</w:t>
            </w:r>
            <w:r w:rsidRPr="00A07B5F">
              <w:rPr>
                <w:rFonts w:ascii="Arial Narrow" w:hAnsi="Arial Narrow"/>
                <w:b/>
                <w:lang w:eastAsia="ja-JP"/>
              </w:rPr>
              <w:t>arathyroid hormone</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ARTG number</w:t>
            </w:r>
          </w:p>
        </w:tc>
        <w:tc>
          <w:tcPr>
            <w:tcW w:w="1559"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Product name</w:t>
            </w:r>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Approved indication</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80333</w:t>
            </w:r>
          </w:p>
        </w:tc>
        <w:tc>
          <w:tcPr>
            <w:tcW w:w="1559" w:type="dxa"/>
          </w:tcPr>
          <w:p w:rsidR="00D8067A" w:rsidRPr="00A07B5F" w:rsidRDefault="00D8067A" w:rsidP="0031428F">
            <w:pPr>
              <w:tabs>
                <w:tab w:val="left" w:pos="2835"/>
              </w:tabs>
              <w:spacing w:after="0"/>
              <w:ind w:left="34"/>
              <w:contextualSpacing/>
              <w:rPr>
                <w:rFonts w:ascii="Arial Narrow" w:hAnsi="Arial Narrow"/>
                <w:lang w:eastAsia="ja-JP"/>
              </w:rPr>
            </w:pPr>
            <w:proofErr w:type="spellStart"/>
            <w:r w:rsidRPr="00A07B5F">
              <w:rPr>
                <w:rFonts w:ascii="Arial Narrow" w:hAnsi="Arial Narrow"/>
                <w:lang w:eastAsia="ja-JP"/>
              </w:rPr>
              <w:t>Teriparatide</w:t>
            </w:r>
            <w:proofErr w:type="spellEnd"/>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proofErr w:type="gramStart"/>
            <w:r w:rsidRPr="00A07B5F">
              <w:rPr>
                <w:rFonts w:ascii="Arial Narrow" w:hAnsi="Arial Narrow"/>
                <w:lang w:eastAsia="ja-JP"/>
              </w:rPr>
              <w:t>indicated</w:t>
            </w:r>
            <w:proofErr w:type="gramEnd"/>
            <w:r w:rsidRPr="00A07B5F">
              <w:rPr>
                <w:rFonts w:ascii="Arial Narrow" w:hAnsi="Arial Narrow"/>
                <w:lang w:eastAsia="ja-JP"/>
              </w:rPr>
              <w:t xml:space="preserve"> for the treatment of osteoporosis in postmenopausal women and the treatment of primary osteoporosis in men when other agents are considered unsuitable and when there is a high risk of fractures. </w:t>
            </w:r>
            <w:proofErr w:type="spellStart"/>
            <w:r w:rsidRPr="00A07B5F">
              <w:rPr>
                <w:rFonts w:ascii="Arial Narrow" w:hAnsi="Arial Narrow"/>
                <w:lang w:eastAsia="ja-JP"/>
              </w:rPr>
              <w:t>Teriparatide</w:t>
            </w:r>
            <w:proofErr w:type="spellEnd"/>
            <w:r w:rsidRPr="00A07B5F">
              <w:rPr>
                <w:rFonts w:ascii="Arial Narrow" w:hAnsi="Arial Narrow"/>
                <w:lang w:eastAsia="ja-JP"/>
              </w:rPr>
              <w:t xml:space="preserve"> is indicated for the treatment of osteoporosis associated with sustained systemic glucocorticoid therapy in women and men at high risk for fracture.</w:t>
            </w:r>
          </w:p>
        </w:tc>
      </w:tr>
      <w:tr w:rsidR="00D8067A" w:rsidRPr="00A07B5F" w:rsidTr="0031428F">
        <w:tc>
          <w:tcPr>
            <w:tcW w:w="2093" w:type="dxa"/>
          </w:tcPr>
          <w:p w:rsidR="00D8067A" w:rsidRPr="00A07B5F" w:rsidRDefault="00D8067A" w:rsidP="0031428F">
            <w:pPr>
              <w:tabs>
                <w:tab w:val="left" w:pos="2835"/>
              </w:tabs>
              <w:spacing w:after="0"/>
              <w:ind w:left="720"/>
              <w:contextualSpacing/>
              <w:rPr>
                <w:rFonts w:ascii="Arial Narrow" w:hAnsi="Arial Narrow"/>
                <w:lang w:eastAsia="ja-JP"/>
              </w:rPr>
            </w:pPr>
          </w:p>
        </w:tc>
        <w:tc>
          <w:tcPr>
            <w:tcW w:w="1559" w:type="dxa"/>
          </w:tcPr>
          <w:p w:rsidR="00D8067A" w:rsidRPr="00A07B5F" w:rsidRDefault="00D8067A" w:rsidP="0031428F">
            <w:pPr>
              <w:tabs>
                <w:tab w:val="left" w:pos="2835"/>
              </w:tabs>
              <w:spacing w:after="0"/>
              <w:ind w:left="34"/>
              <w:contextualSpacing/>
              <w:rPr>
                <w:rFonts w:ascii="Arial Narrow" w:hAnsi="Arial Narrow"/>
                <w:lang w:eastAsia="ja-JP"/>
              </w:rPr>
            </w:pPr>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p>
        </w:tc>
      </w:tr>
      <w:tr w:rsidR="00D8067A" w:rsidRPr="00A07B5F" w:rsidTr="0031428F">
        <w:tc>
          <w:tcPr>
            <w:tcW w:w="8472" w:type="dxa"/>
            <w:gridSpan w:val="3"/>
          </w:tcPr>
          <w:p w:rsidR="00D8067A" w:rsidRPr="00A07B5F" w:rsidRDefault="00D8067A" w:rsidP="0031428F">
            <w:pPr>
              <w:tabs>
                <w:tab w:val="left" w:pos="2835"/>
              </w:tabs>
              <w:spacing w:after="0"/>
              <w:ind w:left="720"/>
              <w:contextualSpacing/>
              <w:rPr>
                <w:rFonts w:ascii="Arial Narrow" w:hAnsi="Arial Narrow"/>
                <w:b/>
                <w:lang w:eastAsia="ja-JP"/>
              </w:rPr>
            </w:pPr>
            <w:r w:rsidRPr="00A07B5F">
              <w:rPr>
                <w:rFonts w:ascii="Arial Narrow" w:hAnsi="Arial Narrow"/>
                <w:b/>
                <w:lang w:eastAsia="ja-JP"/>
              </w:rPr>
              <w:t xml:space="preserve">Strontium </w:t>
            </w:r>
            <w:proofErr w:type="spellStart"/>
            <w:r w:rsidRPr="00A07B5F">
              <w:rPr>
                <w:rFonts w:ascii="Arial Narrow" w:hAnsi="Arial Narrow"/>
                <w:b/>
                <w:lang w:eastAsia="ja-JP"/>
              </w:rPr>
              <w:t>ranelate</w:t>
            </w:r>
            <w:proofErr w:type="spellEnd"/>
          </w:p>
        </w:tc>
      </w:tr>
      <w:tr w:rsidR="00D8067A" w:rsidRPr="00A07B5F" w:rsidTr="0031428F">
        <w:tc>
          <w:tcPr>
            <w:tcW w:w="2093" w:type="dxa"/>
          </w:tcPr>
          <w:p w:rsidR="00D8067A" w:rsidRPr="00A07B5F" w:rsidRDefault="00D8067A" w:rsidP="0031428F">
            <w:pPr>
              <w:spacing w:after="0"/>
              <w:rPr>
                <w:rFonts w:ascii="Arial Narrow" w:hAnsi="Arial Narrow"/>
              </w:rPr>
            </w:pPr>
            <w:r w:rsidRPr="00A07B5F">
              <w:rPr>
                <w:rFonts w:ascii="Arial Narrow" w:hAnsi="Arial Narrow"/>
              </w:rPr>
              <w:t>ARTG number</w:t>
            </w:r>
          </w:p>
        </w:tc>
        <w:tc>
          <w:tcPr>
            <w:tcW w:w="1559" w:type="dxa"/>
          </w:tcPr>
          <w:p w:rsidR="00D8067A" w:rsidRPr="00A07B5F" w:rsidRDefault="00D8067A" w:rsidP="0031428F">
            <w:pPr>
              <w:spacing w:after="0"/>
              <w:rPr>
                <w:rFonts w:ascii="Arial Narrow" w:hAnsi="Arial Narrow"/>
              </w:rPr>
            </w:pPr>
            <w:r w:rsidRPr="00A07B5F">
              <w:rPr>
                <w:rFonts w:ascii="Arial Narrow" w:hAnsi="Arial Narrow"/>
              </w:rPr>
              <w:t>Product name</w:t>
            </w:r>
          </w:p>
        </w:tc>
        <w:tc>
          <w:tcPr>
            <w:tcW w:w="4820" w:type="dxa"/>
          </w:tcPr>
          <w:p w:rsidR="00D8067A" w:rsidRPr="00A07B5F" w:rsidRDefault="00D8067A" w:rsidP="0031428F">
            <w:pPr>
              <w:spacing w:after="0"/>
              <w:rPr>
                <w:rFonts w:ascii="Arial Narrow" w:hAnsi="Arial Narrow"/>
              </w:rPr>
            </w:pPr>
            <w:r w:rsidRPr="00A07B5F">
              <w:rPr>
                <w:rFonts w:ascii="Arial Narrow" w:hAnsi="Arial Narrow"/>
              </w:rPr>
              <w:t>Approved indication</w:t>
            </w:r>
          </w:p>
        </w:tc>
      </w:tr>
      <w:tr w:rsidR="00D8067A" w:rsidRPr="00A07B5F" w:rsidTr="0031428F">
        <w:tc>
          <w:tcPr>
            <w:tcW w:w="2093" w:type="dxa"/>
          </w:tcPr>
          <w:p w:rsidR="00D8067A" w:rsidRPr="00A07B5F" w:rsidRDefault="00D8067A" w:rsidP="0031428F">
            <w:pPr>
              <w:tabs>
                <w:tab w:val="left" w:pos="2835"/>
              </w:tabs>
              <w:spacing w:after="0"/>
              <w:contextualSpacing/>
              <w:rPr>
                <w:rFonts w:ascii="Arial Narrow" w:hAnsi="Arial Narrow"/>
                <w:lang w:eastAsia="ja-JP"/>
              </w:rPr>
            </w:pPr>
            <w:r w:rsidRPr="00A07B5F">
              <w:rPr>
                <w:rFonts w:ascii="Arial Narrow" w:hAnsi="Arial Narrow"/>
                <w:lang w:eastAsia="ja-JP"/>
              </w:rPr>
              <w:t>99978</w:t>
            </w:r>
          </w:p>
        </w:tc>
        <w:tc>
          <w:tcPr>
            <w:tcW w:w="1559"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Strontium </w:t>
            </w:r>
            <w:proofErr w:type="spellStart"/>
            <w:r w:rsidRPr="00A07B5F">
              <w:rPr>
                <w:rFonts w:ascii="Arial Narrow" w:hAnsi="Arial Narrow"/>
                <w:lang w:eastAsia="ja-JP"/>
              </w:rPr>
              <w:t>ranelate</w:t>
            </w:r>
            <w:proofErr w:type="spellEnd"/>
            <w:r w:rsidRPr="00A07B5F">
              <w:rPr>
                <w:rFonts w:ascii="Arial Narrow" w:hAnsi="Arial Narrow"/>
                <w:lang w:eastAsia="ja-JP"/>
              </w:rPr>
              <w:t xml:space="preserve"> (</w:t>
            </w:r>
            <w:proofErr w:type="spellStart"/>
            <w:r w:rsidRPr="00A07B5F">
              <w:rPr>
                <w:rFonts w:ascii="Arial Narrow" w:hAnsi="Arial Narrow"/>
                <w:lang w:eastAsia="ja-JP"/>
              </w:rPr>
              <w:t>Protos</w:t>
            </w:r>
            <w:proofErr w:type="spellEnd"/>
            <w:r w:rsidRPr="00A07B5F">
              <w:rPr>
                <w:rFonts w:ascii="Arial Narrow" w:hAnsi="Arial Narrow"/>
                <w:lang w:eastAsia="ja-JP"/>
              </w:rPr>
              <w:t>)</w:t>
            </w:r>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Treatment of postmenopausal osteoporosis to reduce the risk of fracture.</w:t>
            </w:r>
          </w:p>
          <w:p w:rsidR="00D8067A" w:rsidRPr="00A07B5F" w:rsidRDefault="00D8067A" w:rsidP="0031428F">
            <w:pPr>
              <w:tabs>
                <w:tab w:val="left" w:pos="2835"/>
              </w:tabs>
              <w:spacing w:after="0"/>
              <w:ind w:left="34"/>
              <w:contextualSpacing/>
              <w:rPr>
                <w:rFonts w:ascii="Arial Narrow" w:hAnsi="Arial Narrow"/>
                <w:lang w:eastAsia="ja-JP"/>
              </w:rPr>
            </w:pPr>
            <w:r w:rsidRPr="00A07B5F">
              <w:rPr>
                <w:rFonts w:ascii="Arial Narrow" w:hAnsi="Arial Narrow"/>
                <w:lang w:eastAsia="ja-JP"/>
              </w:rPr>
              <w:t>Treatment of osteoporosis in men at increased risk of fracture.</w:t>
            </w:r>
          </w:p>
        </w:tc>
      </w:tr>
      <w:tr w:rsidR="00D8067A" w:rsidRPr="00A07B5F" w:rsidTr="0031428F">
        <w:tc>
          <w:tcPr>
            <w:tcW w:w="2093" w:type="dxa"/>
          </w:tcPr>
          <w:p w:rsidR="00D8067A" w:rsidRPr="00A07B5F" w:rsidRDefault="00D8067A" w:rsidP="0031428F">
            <w:pPr>
              <w:tabs>
                <w:tab w:val="left" w:pos="2835"/>
              </w:tabs>
              <w:spacing w:after="0"/>
              <w:ind w:left="720"/>
              <w:contextualSpacing/>
              <w:rPr>
                <w:rFonts w:ascii="Arial Narrow" w:hAnsi="Arial Narrow"/>
                <w:lang w:eastAsia="ja-JP"/>
              </w:rPr>
            </w:pPr>
          </w:p>
        </w:tc>
        <w:tc>
          <w:tcPr>
            <w:tcW w:w="1559" w:type="dxa"/>
          </w:tcPr>
          <w:p w:rsidR="00D8067A" w:rsidRPr="00A07B5F" w:rsidRDefault="00D8067A" w:rsidP="0031428F">
            <w:pPr>
              <w:tabs>
                <w:tab w:val="left" w:pos="2835"/>
              </w:tabs>
              <w:spacing w:after="0"/>
              <w:ind w:left="34"/>
              <w:contextualSpacing/>
              <w:rPr>
                <w:rFonts w:ascii="Arial Narrow" w:hAnsi="Arial Narrow"/>
                <w:lang w:eastAsia="ja-JP"/>
              </w:rPr>
            </w:pPr>
          </w:p>
        </w:tc>
        <w:tc>
          <w:tcPr>
            <w:tcW w:w="4820" w:type="dxa"/>
          </w:tcPr>
          <w:p w:rsidR="00D8067A" w:rsidRPr="00A07B5F" w:rsidRDefault="00D8067A" w:rsidP="0031428F">
            <w:pPr>
              <w:tabs>
                <w:tab w:val="left" w:pos="2835"/>
              </w:tabs>
              <w:spacing w:after="0"/>
              <w:ind w:left="34"/>
              <w:contextualSpacing/>
              <w:rPr>
                <w:rFonts w:ascii="Arial Narrow" w:hAnsi="Arial Narrow"/>
                <w:lang w:eastAsia="ja-JP"/>
              </w:rPr>
            </w:pPr>
          </w:p>
        </w:tc>
      </w:tr>
    </w:tbl>
    <w:p w:rsidR="00D8067A" w:rsidRPr="008D7982" w:rsidRDefault="00D8067A" w:rsidP="0031428F">
      <w:pPr>
        <w:rPr>
          <w:rFonts w:ascii="Arial Narrow" w:hAnsi="Arial Narrow"/>
          <w:lang w:eastAsia="ja-JP"/>
        </w:rPr>
      </w:pPr>
      <w:r w:rsidRPr="008D7982">
        <w:rPr>
          <w:rFonts w:ascii="Arial Narrow" w:hAnsi="Arial Narrow"/>
          <w:lang w:eastAsia="ja-JP"/>
        </w:rPr>
        <w:t>Source: Australian Register of Therapeutic Goods (ARTG) searched on 01/08/2012 &lt; https://www.ebs.tga.gov.au/&gt;</w:t>
      </w:r>
    </w:p>
    <w:p w:rsidR="00D8067A" w:rsidRDefault="00D8067A" w:rsidP="0031428F"/>
    <w:p w:rsidR="00D8067A" w:rsidRDefault="00D8067A" w:rsidP="0031428F">
      <w:pPr>
        <w:spacing w:after="0" w:line="240" w:lineRule="auto"/>
        <w:jc w:val="left"/>
      </w:pPr>
      <w:r>
        <w:br w:type="page"/>
      </w:r>
    </w:p>
    <w:p w:rsidR="005E09EC" w:rsidRDefault="00D8067A" w:rsidP="0031428F">
      <w:pPr>
        <w:pStyle w:val="Heading1"/>
      </w:pPr>
      <w:bookmarkStart w:id="56" w:name="_Toc335902684"/>
      <w:bookmarkStart w:id="57" w:name="_Toc335905428"/>
      <w:bookmarkStart w:id="58" w:name="_Toc362968503"/>
      <w:r w:rsidRPr="00613957">
        <w:lastRenderedPageBreak/>
        <w:t xml:space="preserve">Appendix </w:t>
      </w:r>
      <w:r>
        <w:t>2</w:t>
      </w:r>
      <w:bookmarkEnd w:id="58"/>
    </w:p>
    <w:p w:rsidR="00D8067A" w:rsidRPr="005E09EC" w:rsidRDefault="00D8067A" w:rsidP="005E09EC">
      <w:pPr>
        <w:rPr>
          <w:b/>
          <w:sz w:val="24"/>
          <w:szCs w:val="24"/>
        </w:rPr>
      </w:pPr>
      <w:r w:rsidRPr="005E09EC">
        <w:rPr>
          <w:b/>
          <w:sz w:val="24"/>
          <w:szCs w:val="24"/>
        </w:rPr>
        <w:t>Indications, contraindications and potential complications of the co-administered interventions</w:t>
      </w:r>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Co-administered interventions</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b/>
                <w:i/>
                <w:sz w:val="18"/>
                <w:szCs w:val="22"/>
                <w:lang w:eastAsia="en-US"/>
              </w:rPr>
            </w:pPr>
            <w:r w:rsidRPr="008D7982">
              <w:rPr>
                <w:rFonts w:ascii="Calibri" w:hAnsi="Calibri" w:cs="Calibri"/>
                <w:b/>
                <w:sz w:val="18"/>
                <w:szCs w:val="22"/>
                <w:lang w:eastAsia="en-US"/>
              </w:rPr>
              <w:t xml:space="preserve">Bisphosphonates; Alendronate (Fosamax), Disodium </w:t>
            </w:r>
            <w:proofErr w:type="spellStart"/>
            <w:r w:rsidRPr="008D7982">
              <w:rPr>
                <w:rFonts w:ascii="Calibri" w:hAnsi="Calibri" w:cs="Calibri"/>
                <w:b/>
                <w:sz w:val="18"/>
                <w:szCs w:val="22"/>
                <w:lang w:eastAsia="en-US"/>
              </w:rPr>
              <w:t>etidronate</w:t>
            </w:r>
            <w:proofErr w:type="spellEnd"/>
            <w:r w:rsidRPr="008D7982">
              <w:rPr>
                <w:rFonts w:ascii="Calibri" w:hAnsi="Calibri" w:cs="Calibri"/>
                <w:b/>
                <w:sz w:val="18"/>
                <w:szCs w:val="22"/>
                <w:lang w:eastAsia="en-US"/>
              </w:rPr>
              <w:t xml:space="preserve"> (</w:t>
            </w:r>
            <w:proofErr w:type="spellStart"/>
            <w:r w:rsidRPr="008D7982">
              <w:rPr>
                <w:rFonts w:ascii="Calibri" w:hAnsi="Calibri" w:cs="Calibri"/>
                <w:b/>
                <w:sz w:val="18"/>
                <w:szCs w:val="22"/>
                <w:lang w:eastAsia="en-US"/>
              </w:rPr>
              <w:t>Didrocal</w:t>
            </w:r>
            <w:proofErr w:type="spellEnd"/>
            <w:r w:rsidRPr="008D7982">
              <w:rPr>
                <w:rFonts w:ascii="Calibri" w:hAnsi="Calibri" w:cs="Calibri"/>
                <w:b/>
                <w:sz w:val="18"/>
                <w:szCs w:val="22"/>
                <w:lang w:eastAsia="en-US"/>
              </w:rPr>
              <w:t xml:space="preserve">), </w:t>
            </w:r>
            <w:proofErr w:type="spellStart"/>
            <w:r w:rsidRPr="008D7982">
              <w:rPr>
                <w:rFonts w:ascii="Calibri" w:hAnsi="Calibri" w:cs="Calibri"/>
                <w:b/>
                <w:sz w:val="18"/>
                <w:szCs w:val="22"/>
                <w:lang w:eastAsia="en-US"/>
              </w:rPr>
              <w:t>Risedronate</w:t>
            </w:r>
            <w:proofErr w:type="spellEnd"/>
            <w:r w:rsidRPr="008D7982">
              <w:t xml:space="preserve"> (</w:t>
            </w:r>
            <w:r w:rsidRPr="008D7982">
              <w:rPr>
                <w:rFonts w:ascii="Calibri" w:hAnsi="Calibri" w:cs="Calibri"/>
                <w:b/>
                <w:sz w:val="18"/>
                <w:szCs w:val="22"/>
                <w:lang w:eastAsia="en-US"/>
              </w:rPr>
              <w:t xml:space="preserve">Actonel), </w:t>
            </w:r>
            <w:proofErr w:type="spellStart"/>
            <w:r w:rsidRPr="008D7982">
              <w:rPr>
                <w:rFonts w:ascii="Calibri" w:hAnsi="Calibri" w:cs="Calibri"/>
                <w:b/>
                <w:sz w:val="18"/>
                <w:szCs w:val="22"/>
                <w:lang w:eastAsia="en-US"/>
              </w:rPr>
              <w:t>Zoledronic</w:t>
            </w:r>
            <w:proofErr w:type="spellEnd"/>
            <w:r w:rsidRPr="008D7982">
              <w:rPr>
                <w:rFonts w:ascii="Calibri" w:hAnsi="Calibri" w:cs="Calibri"/>
                <w:b/>
                <w:sz w:val="18"/>
                <w:szCs w:val="22"/>
                <w:lang w:eastAsia="en-US"/>
              </w:rPr>
              <w:t xml:space="preserve"> Acid (</w:t>
            </w:r>
            <w:proofErr w:type="spellStart"/>
            <w:r w:rsidRPr="008D7982">
              <w:rPr>
                <w:rFonts w:ascii="Calibri" w:hAnsi="Calibri" w:cs="Calibri"/>
                <w:b/>
                <w:sz w:val="18"/>
                <w:szCs w:val="22"/>
                <w:lang w:eastAsia="en-US"/>
              </w:rPr>
              <w:t>Aclasta</w:t>
            </w:r>
            <w:proofErr w:type="spellEnd"/>
            <w:r w:rsidRPr="008D7982">
              <w:rPr>
                <w:rFonts w:ascii="Calibri" w:hAnsi="Calibri" w:cs="Calibri"/>
                <w:b/>
                <w:sz w:val="18"/>
                <w:szCs w:val="22"/>
                <w:lang w:eastAsia="en-US"/>
              </w:rPr>
              <w:t>)</w:t>
            </w:r>
            <w:r w:rsidR="005E09EC" w:rsidRPr="008D7982">
              <w:rPr>
                <w:rFonts w:ascii="Calibri" w:hAnsi="Calibri" w:cs="Calibri"/>
                <w:b/>
                <w:i/>
                <w:sz w:val="18"/>
                <w:szCs w:val="22"/>
                <w:lang w:eastAsia="en-US"/>
              </w:rPr>
              <w:t xml:space="preserve"> </w:t>
            </w:r>
            <w:r w:rsidRPr="008D7982">
              <w:rPr>
                <w:rFonts w:ascii="Calibri" w:hAnsi="Calibri" w:cs="Calibri"/>
                <w:b/>
                <w:i/>
                <w:sz w:val="18"/>
                <w:szCs w:val="22"/>
                <w:lang w:eastAsia="en-US"/>
              </w:rPr>
              <w:t>[prevention (Grade A), treatment (Grade A)]</w:t>
            </w:r>
          </w:p>
          <w:p w:rsidR="00D8067A" w:rsidRPr="008D7982" w:rsidRDefault="00D8067A" w:rsidP="008D7982">
            <w:pPr>
              <w:spacing w:after="0" w:line="240" w:lineRule="auto"/>
              <w:jc w:val="center"/>
              <w:rPr>
                <w:rFonts w:ascii="Calibri" w:hAnsi="Calibri" w:cs="Calibri"/>
                <w:b/>
                <w:i/>
                <w:sz w:val="18"/>
                <w:szCs w:val="22"/>
                <w:lang w:eastAsia="en-US"/>
              </w:rPr>
            </w:pPr>
            <w:r w:rsidRPr="008D7982">
              <w:rPr>
                <w:rFonts w:ascii="Calibri" w:hAnsi="Calibri" w:cs="Calibri"/>
                <w:sz w:val="18"/>
                <w:szCs w:val="22"/>
                <w:lang w:eastAsia="en-US"/>
              </w:rPr>
              <w:t xml:space="preserve">ARTG: Fosamax: </w:t>
            </w:r>
            <w:r w:rsidRPr="008D7982">
              <w:rPr>
                <w:rFonts w:ascii="Arial Narrow" w:hAnsi="Arial Narrow"/>
                <w:lang w:eastAsia="ja-JP"/>
              </w:rPr>
              <w:t xml:space="preserve">113482,120028,136846,157805, 161137, 53158, 54380, 67262, 68428, 73520, 73772, 76851, 93333, 98944; </w:t>
            </w:r>
            <w:proofErr w:type="spellStart"/>
            <w:r w:rsidRPr="008D7982">
              <w:rPr>
                <w:rFonts w:ascii="Arial Narrow" w:hAnsi="Arial Narrow"/>
                <w:lang w:eastAsia="ja-JP"/>
              </w:rPr>
              <w:t>Dirrocal</w:t>
            </w:r>
            <w:proofErr w:type="spellEnd"/>
            <w:r w:rsidRPr="008D7982">
              <w:rPr>
                <w:rFonts w:ascii="Arial Narrow" w:hAnsi="Arial Narrow"/>
                <w:lang w:eastAsia="ja-JP"/>
              </w:rPr>
              <w:t xml:space="preserve">: 46852; Actonel: 117667, 138211, 141530, 150618, 166838, 166853, 166942,74135, 74136, 82746; </w:t>
            </w:r>
            <w:proofErr w:type="spellStart"/>
            <w:r w:rsidRPr="008D7982">
              <w:rPr>
                <w:rFonts w:ascii="Arial Narrow" w:hAnsi="Arial Narrow"/>
                <w:lang w:eastAsia="ja-JP"/>
              </w:rPr>
              <w:t>Aclasta</w:t>
            </w:r>
            <w:proofErr w:type="spellEnd"/>
            <w:r w:rsidRPr="008D7982">
              <w:rPr>
                <w:rFonts w:ascii="Arial Narrow" w:hAnsi="Arial Narrow"/>
                <w:lang w:eastAsia="ja-JP"/>
              </w:rPr>
              <w:t xml:space="preserve">: 134664; </w:t>
            </w:r>
            <w:proofErr w:type="spellStart"/>
            <w:r w:rsidRPr="008D7982">
              <w:rPr>
                <w:rFonts w:ascii="Arial Narrow" w:hAnsi="Arial Narrow"/>
                <w:lang w:eastAsia="ja-JP"/>
              </w:rPr>
              <w:t>Clodronate</w:t>
            </w:r>
            <w:proofErr w:type="spellEnd"/>
            <w:r w:rsidRPr="008D7982">
              <w:rPr>
                <w:rFonts w:ascii="Arial Narrow" w:hAnsi="Arial Narrow"/>
                <w:lang w:eastAsia="ja-JP"/>
              </w:rPr>
              <w:t>: 181921, 181922, 66703, 66704, 80125, 80130</w:t>
            </w:r>
          </w:p>
          <w:p w:rsidR="00D8067A" w:rsidRPr="008D7982" w:rsidRDefault="00D8067A" w:rsidP="008D7982">
            <w:pPr>
              <w:spacing w:after="0" w:line="240" w:lineRule="auto"/>
              <w:jc w:val="center"/>
              <w:rPr>
                <w:rFonts w:ascii="Calibri" w:hAnsi="Calibri" w:cs="Calibri"/>
                <w:sz w:val="18"/>
                <w:szCs w:val="22"/>
                <w:lang w:eastAsia="en-US"/>
              </w:rPr>
            </w:pP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Paget's disease of bone</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Prevention and treatment of osteoporosis (including postmenopausal and corticosteroid-induced)</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Hypercalcaemia</w:t>
            </w:r>
            <w:proofErr w:type="spellEnd"/>
            <w:r w:rsidRPr="008D7982">
              <w:rPr>
                <w:rFonts w:ascii="Calibri" w:hAnsi="Calibri" w:cs="Calibri"/>
                <w:sz w:val="18"/>
                <w:szCs w:val="22"/>
                <w:lang w:eastAsia="en-US"/>
              </w:rPr>
              <w:t xml:space="preserve"> of malignancy</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Prevention of skeletal-related events in patients with malignancies involving bone</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Prevention and treatment of heterotopic ossification due to spinal cord injury or complicating total hip replacement</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Abnormalities of the oesophagus which delay oesophageal emptying, such as stricture or achalasia.</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Inability to stand or sit upright for at least 30 minutes.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Hypersensitivity to any component of bisphosphonates.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Hypocalcaemia.</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Severe </w:t>
            </w:r>
            <w:proofErr w:type="spellStart"/>
            <w:r w:rsidRPr="008D7982">
              <w:rPr>
                <w:rFonts w:ascii="Calibri" w:hAnsi="Calibri" w:cs="Calibri"/>
                <w:sz w:val="18"/>
                <w:szCs w:val="22"/>
                <w:lang w:eastAsia="en-US"/>
              </w:rPr>
              <w:t>hypercalciuria</w:t>
            </w:r>
            <w:proofErr w:type="spellEnd"/>
            <w:r w:rsidRPr="008D7982">
              <w:rPr>
                <w:rFonts w:ascii="Calibri" w:hAnsi="Calibri" w:cs="Calibri"/>
                <w:sz w:val="18"/>
                <w:szCs w:val="22"/>
                <w:lang w:eastAsia="en-US"/>
              </w:rPr>
              <w:t>.</w:t>
            </w: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nausea, vomiting, diarrhoea, headache, hypocalcaemia, musculoskeletal pain (may rarely be severe and/or disabling)</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IV: fever, flu-like symptoms, injection site reaction, increased </w:t>
            </w:r>
            <w:proofErr w:type="spellStart"/>
            <w:r w:rsidRPr="008D7982">
              <w:rPr>
                <w:rFonts w:ascii="Calibri" w:hAnsi="Calibri" w:cs="Calibri"/>
                <w:sz w:val="18"/>
                <w:szCs w:val="22"/>
                <w:lang w:eastAsia="en-US"/>
              </w:rPr>
              <w:t>creatinine</w:t>
            </w:r>
            <w:proofErr w:type="spellEnd"/>
            <w:r w:rsidRPr="008D7982">
              <w:rPr>
                <w:rFonts w:ascii="Calibri" w:hAnsi="Calibri" w:cs="Calibri"/>
                <w:sz w:val="18"/>
                <w:szCs w:val="22"/>
                <w:lang w:eastAsia="en-US"/>
              </w:rPr>
              <w:t xml:space="preserve"> concentration, </w:t>
            </w:r>
            <w:proofErr w:type="spellStart"/>
            <w:r w:rsidRPr="008D7982">
              <w:rPr>
                <w:rFonts w:ascii="Calibri" w:hAnsi="Calibri" w:cs="Calibri"/>
                <w:sz w:val="18"/>
                <w:szCs w:val="22"/>
                <w:lang w:eastAsia="en-US"/>
              </w:rPr>
              <w:t>hypophosphataemia</w:t>
            </w:r>
            <w:proofErr w:type="spellEnd"/>
            <w:r w:rsidRPr="008D7982">
              <w:rPr>
                <w:rFonts w:ascii="Calibri" w:hAnsi="Calibri" w:cs="Calibri"/>
                <w:sz w:val="18"/>
                <w:szCs w:val="22"/>
                <w:lang w:eastAsia="en-US"/>
              </w:rPr>
              <w:t>, myalgia, bone pain, hypertension</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Infrequent</w:t>
            </w:r>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oesophagitis</w:t>
            </w:r>
            <w:proofErr w:type="spellEnd"/>
            <w:r w:rsidRPr="008D7982">
              <w:rPr>
                <w:rFonts w:ascii="Calibri" w:hAnsi="Calibri" w:cs="Calibri"/>
                <w:sz w:val="18"/>
                <w:szCs w:val="22"/>
                <w:lang w:eastAsia="en-US"/>
              </w:rPr>
              <w:t xml:space="preserve">, oesophageal erosions and ulcers (mainly with alendronate), gastritis, </w:t>
            </w:r>
            <w:proofErr w:type="spellStart"/>
            <w:r w:rsidRPr="008D7982">
              <w:rPr>
                <w:rFonts w:ascii="Calibri" w:hAnsi="Calibri" w:cs="Calibri"/>
                <w:sz w:val="18"/>
                <w:szCs w:val="22"/>
                <w:lang w:eastAsia="en-US"/>
              </w:rPr>
              <w:t>duodenitis</w:t>
            </w:r>
            <w:proofErr w:type="spellEnd"/>
            <w:r w:rsidRPr="008D7982">
              <w:rPr>
                <w:rFonts w:ascii="Calibri" w:hAnsi="Calibri" w:cs="Calibri"/>
                <w:sz w:val="18"/>
                <w:szCs w:val="22"/>
                <w:lang w:eastAsia="en-US"/>
              </w:rPr>
              <w:t xml:space="preserve">, </w:t>
            </w:r>
            <w:proofErr w:type="spellStart"/>
            <w:r w:rsidRPr="008D7982">
              <w:rPr>
                <w:rFonts w:ascii="Calibri" w:hAnsi="Calibri" w:cs="Calibri"/>
                <w:sz w:val="18"/>
                <w:szCs w:val="22"/>
                <w:lang w:eastAsia="en-US"/>
              </w:rPr>
              <w:t>glossitis</w:t>
            </w:r>
            <w:proofErr w:type="spellEnd"/>
            <w:r w:rsidRPr="008D7982">
              <w:rPr>
                <w:rFonts w:ascii="Calibri" w:hAnsi="Calibri" w:cs="Calibri"/>
                <w:sz w:val="18"/>
                <w:szCs w:val="22"/>
                <w:lang w:eastAsia="en-US"/>
              </w:rPr>
              <w:t>, rash</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IV: hypotension, hypomagnesaemia, hypokalaemia</w:t>
            </w: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Rare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heart failure, renal impairment, ocular inflammation, osteonecrosis of the jaw, allergic reactions including angioedema</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IV: anaphylactic shock</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*Osteonecrosis of the jaw</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Risk appears to be associated with the potency, route and total dose of bisphosphonate and a history of dental surgery, trauma or disease. </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Possible associations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Atypical low-energy femoral fractures have occurred rarely during long-term bisphosphonate treatment for osteoporosis. It is possible that bisphosphonates slightly increase the risk of AF, although this association was not found in all studies. Some epidemiological data suggest an association between long-term use of oral bisphosphonates and an increased risk of oesophageal cancer; further evidence is needed.</w:t>
            </w:r>
          </w:p>
          <w:p w:rsidR="00D8067A" w:rsidRPr="008D7982" w:rsidRDefault="00D8067A" w:rsidP="008D7982">
            <w:pPr>
              <w:spacing w:after="0" w:line="240" w:lineRule="auto"/>
              <w:jc w:val="left"/>
              <w:rPr>
                <w:rFonts w:ascii="Calibri" w:hAnsi="Calibri" w:cs="Calibri"/>
                <w:sz w:val="18"/>
                <w:szCs w:val="22"/>
                <w:lang w:eastAsia="en-US"/>
              </w:rPr>
            </w:pP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b/>
                <w:sz w:val="18"/>
                <w:szCs w:val="22"/>
                <w:lang w:eastAsia="en-US"/>
              </w:rPr>
            </w:pPr>
            <w:r w:rsidRPr="008D7982">
              <w:rPr>
                <w:rFonts w:ascii="Calibri" w:hAnsi="Calibri" w:cs="Calibri"/>
                <w:b/>
                <w:sz w:val="18"/>
                <w:szCs w:val="22"/>
                <w:lang w:eastAsia="en-US"/>
              </w:rPr>
              <w:t xml:space="preserve">Hormone Replacement Therapy </w:t>
            </w:r>
          </w:p>
          <w:p w:rsidR="00D8067A" w:rsidRPr="008D7982" w:rsidRDefault="00D8067A" w:rsidP="008D7982">
            <w:pPr>
              <w:spacing w:after="0" w:line="240" w:lineRule="auto"/>
              <w:jc w:val="center"/>
              <w:rPr>
                <w:rFonts w:ascii="Calibri" w:hAnsi="Calibri" w:cs="Calibri"/>
                <w:b/>
                <w:i/>
                <w:sz w:val="18"/>
                <w:szCs w:val="22"/>
                <w:lang w:eastAsia="en-US"/>
              </w:rPr>
            </w:pPr>
            <w:r w:rsidRPr="008D7982">
              <w:rPr>
                <w:rFonts w:ascii="Calibri" w:hAnsi="Calibri" w:cs="Calibri"/>
                <w:b/>
                <w:sz w:val="18"/>
                <w:szCs w:val="22"/>
                <w:lang w:eastAsia="en-US"/>
              </w:rPr>
              <w:t xml:space="preserve"> </w:t>
            </w:r>
            <w:r w:rsidRPr="008D7982">
              <w:rPr>
                <w:rFonts w:ascii="Calibri" w:hAnsi="Calibri" w:cs="Calibri"/>
                <w:b/>
                <w:i/>
                <w:sz w:val="18"/>
                <w:szCs w:val="22"/>
                <w:lang w:eastAsia="en-US"/>
              </w:rPr>
              <w:t>[prevention (Grade A), treatment (Grade A)]</w:t>
            </w:r>
          </w:p>
          <w:p w:rsidR="00D8067A" w:rsidRPr="008D7982" w:rsidRDefault="00D8067A" w:rsidP="008D7982">
            <w:pPr>
              <w:spacing w:after="0" w:line="240" w:lineRule="auto"/>
              <w:jc w:val="center"/>
              <w:rPr>
                <w:rFonts w:ascii="Calibri" w:hAnsi="Calibri" w:cs="Calibri"/>
                <w:sz w:val="18"/>
                <w:szCs w:val="22"/>
                <w:lang w:eastAsia="en-US"/>
              </w:rPr>
            </w:pP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lastRenderedPageBreak/>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Prevention of postmenopausal osteoporosis when there is a high risk of fractures and alternative treatment is inappropriate</w:t>
            </w: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Breast cancer or other oestrogen-dependent tumour.</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Unexplained vaginal bleeding.</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History of endometriosis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Uterine fibroids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Migraine—may be exacerbated or relieved.</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Diabetes—HRT may improve glycaemic control</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Epilepsy</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Treatment with enzyme-inducing drugs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Smoking</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Systemic lupus </w:t>
            </w:r>
            <w:proofErr w:type="spellStart"/>
            <w:r w:rsidRPr="008D7982">
              <w:rPr>
                <w:rFonts w:ascii="Calibri" w:hAnsi="Calibri" w:cs="Calibri"/>
                <w:sz w:val="18"/>
                <w:szCs w:val="22"/>
                <w:lang w:eastAsia="en-US"/>
              </w:rPr>
              <w:t>erythematosus</w:t>
            </w:r>
            <w:proofErr w:type="spellEnd"/>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Hereditary angioedema</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breast enlargement and tenderness, abnormal mammogram, headache, depression, change in libido, irregular or breakthrough bleeding, spotting, endometrial hyperplasia (oestrogen-only HRT; infrequent with combined HRT), leg cramps, dry eye syndrome (oestrogen-only HRT; infrequent with combined HRT)</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Infrequent</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benign proliferative breast disease, breast cancer, premenstrual-like syndrome, dementia, migraine, cardiovascular events, fluid retention, oedema, increased BP, exacerbation or recurrence of endometriosis, acne, itch, nausea, increased triglycerides, gall stones</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Rare</w:t>
            </w:r>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cholestatic</w:t>
            </w:r>
            <w:proofErr w:type="spellEnd"/>
            <w:r w:rsidRPr="008D7982">
              <w:rPr>
                <w:rFonts w:ascii="Calibri" w:hAnsi="Calibri" w:cs="Calibri"/>
                <w:sz w:val="18"/>
                <w:szCs w:val="22"/>
                <w:lang w:eastAsia="en-US"/>
              </w:rPr>
              <w:t xml:space="preserve"> jaundice, pancreatitis, glucose intolerance, </w:t>
            </w:r>
            <w:proofErr w:type="spellStart"/>
            <w:r w:rsidRPr="008D7982">
              <w:rPr>
                <w:rFonts w:ascii="Calibri" w:hAnsi="Calibri" w:cs="Calibri"/>
                <w:sz w:val="18"/>
                <w:szCs w:val="22"/>
                <w:lang w:eastAsia="en-US"/>
              </w:rPr>
              <w:t>galactorrhoea</w:t>
            </w:r>
            <w:proofErr w:type="spellEnd"/>
            <w:r w:rsidRPr="008D7982">
              <w:rPr>
                <w:rFonts w:ascii="Calibri" w:hAnsi="Calibri" w:cs="Calibri"/>
                <w:sz w:val="18"/>
                <w:szCs w:val="22"/>
                <w:lang w:eastAsia="en-US"/>
              </w:rPr>
              <w:t xml:space="preserve">, visual changes, </w:t>
            </w:r>
            <w:proofErr w:type="spellStart"/>
            <w:r w:rsidRPr="008D7982">
              <w:rPr>
                <w:rFonts w:ascii="Calibri" w:hAnsi="Calibri" w:cs="Calibri"/>
                <w:sz w:val="18"/>
                <w:szCs w:val="22"/>
                <w:lang w:eastAsia="en-US"/>
              </w:rPr>
              <w:t>chloasma</w:t>
            </w:r>
            <w:proofErr w:type="spellEnd"/>
            <w:r w:rsidRPr="008D7982">
              <w:rPr>
                <w:rFonts w:ascii="Calibri" w:hAnsi="Calibri" w:cs="Calibri"/>
                <w:sz w:val="18"/>
                <w:szCs w:val="22"/>
                <w:lang w:eastAsia="en-US"/>
              </w:rPr>
              <w:t xml:space="preserve">, hypersensitivity (angioedema, </w:t>
            </w:r>
            <w:proofErr w:type="spellStart"/>
            <w:r w:rsidRPr="008D7982">
              <w:rPr>
                <w:rFonts w:ascii="Calibri" w:hAnsi="Calibri" w:cs="Calibri"/>
                <w:sz w:val="18"/>
                <w:szCs w:val="22"/>
                <w:lang w:eastAsia="en-US"/>
              </w:rPr>
              <w:t>urticaria</w:t>
            </w:r>
            <w:proofErr w:type="spellEnd"/>
            <w:r w:rsidRPr="008D7982">
              <w:rPr>
                <w:rFonts w:ascii="Calibri" w:hAnsi="Calibri" w:cs="Calibri"/>
                <w:sz w:val="18"/>
                <w:szCs w:val="22"/>
                <w:lang w:eastAsia="en-US"/>
              </w:rPr>
              <w:t xml:space="preserve">), ovarian cancer, endometrial cancer, enlargement of uterine fibroids, enlargement of hepatic </w:t>
            </w:r>
            <w:proofErr w:type="spellStart"/>
            <w:r w:rsidRPr="008D7982">
              <w:rPr>
                <w:rFonts w:ascii="Calibri" w:hAnsi="Calibri" w:cs="Calibri"/>
                <w:sz w:val="18"/>
                <w:szCs w:val="22"/>
                <w:lang w:eastAsia="en-US"/>
              </w:rPr>
              <w:t>haemangiomas</w:t>
            </w:r>
            <w:proofErr w:type="spellEnd"/>
          </w:p>
          <w:p w:rsidR="00D8067A" w:rsidRPr="008D7982" w:rsidRDefault="00D8067A" w:rsidP="008D7982">
            <w:pPr>
              <w:spacing w:after="0" w:line="240" w:lineRule="auto"/>
              <w:jc w:val="left"/>
              <w:rPr>
                <w:rFonts w:ascii="Calibri" w:hAnsi="Calibri" w:cs="Calibri"/>
                <w:sz w:val="18"/>
                <w:szCs w:val="22"/>
                <w:lang w:eastAsia="en-US"/>
              </w:rPr>
            </w:pP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b/>
                <w:i/>
                <w:sz w:val="18"/>
                <w:szCs w:val="22"/>
                <w:lang w:eastAsia="en-US"/>
              </w:rPr>
            </w:pPr>
            <w:r w:rsidRPr="008D7982">
              <w:rPr>
                <w:rFonts w:ascii="Calibri" w:hAnsi="Calibri" w:cs="Calibri"/>
                <w:b/>
                <w:sz w:val="18"/>
                <w:szCs w:val="22"/>
                <w:lang w:eastAsia="en-US"/>
              </w:rPr>
              <w:t>Selective oestrogen receptor modulators (SERMs);</w:t>
            </w:r>
            <w:r w:rsidRPr="008D7982">
              <w:t xml:space="preserve"> </w:t>
            </w:r>
            <w:proofErr w:type="spellStart"/>
            <w:r w:rsidRPr="008D7982">
              <w:rPr>
                <w:rFonts w:ascii="Calibri" w:hAnsi="Calibri" w:cs="Calibri"/>
                <w:b/>
                <w:i/>
                <w:sz w:val="18"/>
                <w:szCs w:val="22"/>
                <w:lang w:eastAsia="en-US"/>
              </w:rPr>
              <w:t>Raloxifene</w:t>
            </w:r>
            <w:proofErr w:type="spellEnd"/>
            <w:r w:rsidRPr="008D7982">
              <w:rPr>
                <w:rFonts w:ascii="Calibri" w:hAnsi="Calibri" w:cs="Calibri"/>
                <w:b/>
                <w:i/>
                <w:sz w:val="18"/>
                <w:szCs w:val="22"/>
                <w:lang w:eastAsia="en-US"/>
              </w:rPr>
              <w:t xml:space="preserve"> hydrochloride</w:t>
            </w:r>
            <w:r w:rsidRPr="008D7982">
              <w:rPr>
                <w:rFonts w:ascii="Calibri" w:hAnsi="Calibri" w:cs="Calibri"/>
                <w:b/>
                <w:sz w:val="18"/>
                <w:szCs w:val="22"/>
                <w:lang w:eastAsia="en-US"/>
              </w:rPr>
              <w:t xml:space="preserve"> ( </w:t>
            </w:r>
            <w:proofErr w:type="spellStart"/>
            <w:r w:rsidRPr="008D7982">
              <w:rPr>
                <w:rFonts w:ascii="Calibri" w:hAnsi="Calibri" w:cs="Calibri"/>
                <w:b/>
                <w:sz w:val="18"/>
                <w:szCs w:val="22"/>
                <w:lang w:eastAsia="en-US"/>
              </w:rPr>
              <w:t>Evista</w:t>
            </w:r>
            <w:proofErr w:type="spellEnd"/>
            <w:r w:rsidRPr="008D7982">
              <w:rPr>
                <w:rFonts w:ascii="Calibri" w:hAnsi="Calibri" w:cs="Calibri"/>
                <w:b/>
                <w:i/>
                <w:sz w:val="18"/>
                <w:szCs w:val="22"/>
                <w:lang w:eastAsia="en-US"/>
              </w:rPr>
              <w:t>)</w:t>
            </w:r>
          </w:p>
          <w:p w:rsidR="00D8067A" w:rsidRPr="008D7982" w:rsidRDefault="00D8067A" w:rsidP="008D7982">
            <w:pPr>
              <w:spacing w:after="0" w:line="240" w:lineRule="auto"/>
              <w:jc w:val="center"/>
              <w:rPr>
                <w:rFonts w:ascii="Calibri" w:hAnsi="Calibri" w:cs="Calibri"/>
                <w:b/>
                <w:i/>
                <w:sz w:val="18"/>
                <w:szCs w:val="22"/>
                <w:lang w:eastAsia="en-US"/>
              </w:rPr>
            </w:pPr>
            <w:r w:rsidRPr="008D7982">
              <w:rPr>
                <w:rFonts w:ascii="Calibri" w:hAnsi="Calibri" w:cs="Calibri"/>
                <w:b/>
                <w:i/>
                <w:sz w:val="18"/>
                <w:szCs w:val="22"/>
                <w:lang w:eastAsia="en-US"/>
              </w:rPr>
              <w:t>[treatment (Grade A)]</w:t>
            </w:r>
          </w:p>
          <w:p w:rsidR="00D8067A" w:rsidRPr="008D7982" w:rsidRDefault="00D8067A" w:rsidP="008D7982">
            <w:pPr>
              <w:spacing w:after="0" w:line="240" w:lineRule="auto"/>
              <w:jc w:val="center"/>
              <w:rPr>
                <w:rFonts w:ascii="Calibri" w:hAnsi="Calibri" w:cs="Calibri"/>
                <w:i/>
                <w:sz w:val="18"/>
                <w:szCs w:val="22"/>
                <w:lang w:eastAsia="en-US"/>
              </w:rPr>
            </w:pPr>
            <w:r w:rsidRPr="008D7982">
              <w:rPr>
                <w:rFonts w:ascii="Calibri" w:hAnsi="Calibri" w:cs="Calibri"/>
                <w:sz w:val="18"/>
                <w:szCs w:val="22"/>
                <w:lang w:eastAsia="en-US"/>
              </w:rPr>
              <w:t xml:space="preserve">ARTG: </w:t>
            </w:r>
            <w:proofErr w:type="spellStart"/>
            <w:r w:rsidRPr="008D7982">
              <w:rPr>
                <w:rFonts w:ascii="Calibri" w:hAnsi="Calibri" w:cs="Calibri"/>
                <w:sz w:val="18"/>
                <w:szCs w:val="22"/>
                <w:lang w:eastAsia="en-US"/>
              </w:rPr>
              <w:t>Evista</w:t>
            </w:r>
            <w:proofErr w:type="spellEnd"/>
            <w:r w:rsidRPr="008D7982">
              <w:rPr>
                <w:rFonts w:ascii="Calibri" w:hAnsi="Calibri" w:cs="Calibri"/>
                <w:sz w:val="18"/>
                <w:szCs w:val="22"/>
                <w:lang w:eastAsia="en-US"/>
              </w:rPr>
              <w:t>:</w:t>
            </w:r>
            <w:r w:rsidRPr="008D7982">
              <w:t xml:space="preserve"> </w:t>
            </w:r>
            <w:r w:rsidRPr="008D7982">
              <w:rPr>
                <w:rFonts w:ascii="Calibri" w:hAnsi="Calibri" w:cs="Calibri"/>
                <w:sz w:val="18"/>
                <w:szCs w:val="22"/>
                <w:lang w:eastAsia="en-US"/>
              </w:rPr>
              <w:t xml:space="preserve">64709; </w:t>
            </w:r>
            <w:proofErr w:type="spellStart"/>
            <w:r w:rsidRPr="008D7982">
              <w:rPr>
                <w:rFonts w:ascii="Calibri" w:hAnsi="Calibri" w:cs="Calibri"/>
                <w:sz w:val="18"/>
                <w:szCs w:val="22"/>
                <w:lang w:eastAsia="en-US"/>
              </w:rPr>
              <w:t>Femarelle</w:t>
            </w:r>
            <w:proofErr w:type="spellEnd"/>
            <w:r w:rsidRPr="008D7982">
              <w:rPr>
                <w:rFonts w:ascii="Calibri" w:hAnsi="Calibri" w:cs="Calibri"/>
                <w:sz w:val="18"/>
                <w:szCs w:val="22"/>
                <w:lang w:eastAsia="en-US"/>
              </w:rPr>
              <w:t>: 161797</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For the symptomatic relief of menopause.</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Maintenance of bone </w:t>
            </w:r>
            <w:proofErr w:type="spellStart"/>
            <w:r w:rsidRPr="008D7982">
              <w:rPr>
                <w:rFonts w:ascii="Calibri" w:hAnsi="Calibri" w:cs="Calibri"/>
                <w:sz w:val="18"/>
                <w:szCs w:val="22"/>
                <w:lang w:eastAsia="en-US"/>
              </w:rPr>
              <w:t>health</w:t>
            </w:r>
            <w:proofErr w:type="gramStart"/>
            <w:r w:rsidRPr="008D7982">
              <w:rPr>
                <w:rFonts w:ascii="Calibri" w:hAnsi="Calibri" w:cs="Calibri"/>
                <w:sz w:val="18"/>
                <w:szCs w:val="22"/>
                <w:lang w:eastAsia="en-US"/>
              </w:rPr>
              <w:t>,indicated</w:t>
            </w:r>
            <w:proofErr w:type="spellEnd"/>
            <w:proofErr w:type="gramEnd"/>
            <w:r w:rsidRPr="008D7982">
              <w:rPr>
                <w:rFonts w:ascii="Calibri" w:hAnsi="Calibri" w:cs="Calibri"/>
                <w:sz w:val="18"/>
                <w:szCs w:val="22"/>
                <w:lang w:eastAsia="en-US"/>
              </w:rPr>
              <w:t xml:space="preserve"> for the prevention and treatment of osteoporosis. </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Hormone receptor-positive breast cancer</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Venous thromboembolism (VTE) —contraindicated in patients with a history of VTE or risk factors for </w:t>
            </w:r>
            <w:proofErr w:type="gramStart"/>
            <w:r w:rsidRPr="008D7982">
              <w:rPr>
                <w:rFonts w:ascii="Calibri" w:hAnsi="Calibri" w:cs="Calibri"/>
                <w:sz w:val="18"/>
                <w:szCs w:val="22"/>
                <w:lang w:eastAsia="en-US"/>
              </w:rPr>
              <w:t>VTE .</w:t>
            </w:r>
            <w:proofErr w:type="gramEnd"/>
            <w:r w:rsidRPr="008D7982">
              <w:rPr>
                <w:rFonts w:ascii="Calibri" w:hAnsi="Calibri" w:cs="Calibri"/>
                <w:sz w:val="18"/>
                <w:szCs w:val="22"/>
                <w:lang w:eastAsia="en-US"/>
              </w:rPr>
              <w:t xml:space="preserve"> Prolonged immobilisation—increases risk of VTE.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Women with or at risk of coronary heart disease—increased risk of VTE or fatal stroke.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History of </w:t>
            </w:r>
            <w:proofErr w:type="spellStart"/>
            <w:r w:rsidRPr="008D7982">
              <w:rPr>
                <w:rFonts w:ascii="Calibri" w:hAnsi="Calibri" w:cs="Calibri"/>
                <w:sz w:val="18"/>
                <w:szCs w:val="22"/>
                <w:lang w:eastAsia="en-US"/>
              </w:rPr>
              <w:t>hypertriglyceridaemia</w:t>
            </w:r>
            <w:proofErr w:type="spellEnd"/>
            <w:r w:rsidRPr="008D7982">
              <w:rPr>
                <w:rFonts w:ascii="Calibri" w:hAnsi="Calibri" w:cs="Calibri"/>
                <w:sz w:val="18"/>
                <w:szCs w:val="22"/>
                <w:lang w:eastAsia="en-US"/>
              </w:rPr>
              <w:t xml:space="preserve"> induced by oestrogens—increased risk of </w:t>
            </w:r>
            <w:proofErr w:type="spellStart"/>
            <w:r w:rsidRPr="008D7982">
              <w:rPr>
                <w:rFonts w:ascii="Calibri" w:hAnsi="Calibri" w:cs="Calibri"/>
                <w:sz w:val="18"/>
                <w:szCs w:val="22"/>
                <w:lang w:eastAsia="en-US"/>
              </w:rPr>
              <w:t>hypertriglyceridaemia</w:t>
            </w:r>
            <w:proofErr w:type="spellEnd"/>
            <w:r w:rsidRPr="008D7982">
              <w:rPr>
                <w:rFonts w:ascii="Calibri" w:hAnsi="Calibri" w:cs="Calibri"/>
                <w:sz w:val="18"/>
                <w:szCs w:val="22"/>
                <w:lang w:eastAsia="en-US"/>
              </w:rPr>
              <w:t>.</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History of breast cancer—</w:t>
            </w:r>
            <w:proofErr w:type="spellStart"/>
            <w:r w:rsidRPr="008D7982">
              <w:rPr>
                <w:rFonts w:ascii="Calibri" w:hAnsi="Calibri" w:cs="Calibri"/>
                <w:sz w:val="18"/>
                <w:szCs w:val="22"/>
                <w:lang w:eastAsia="en-US"/>
              </w:rPr>
              <w:t>raloxifene</w:t>
            </w:r>
            <w:proofErr w:type="spellEnd"/>
            <w:r w:rsidRPr="008D7982">
              <w:rPr>
                <w:rFonts w:ascii="Calibri" w:hAnsi="Calibri" w:cs="Calibri"/>
                <w:sz w:val="18"/>
                <w:szCs w:val="22"/>
                <w:lang w:eastAsia="en-US"/>
              </w:rPr>
              <w:t xml:space="preserve"> is not indicated for treating, or reducing risk of recurrence of, breast cancer.</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hepatic impairment</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Surgery</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Pregnancy</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Breastfeeding</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Contraindicated.</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hot flushes, sweating, leg cramps, peripheral oedema, sleep disorders</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Infrequent</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VTE</w:t>
            </w:r>
          </w:p>
          <w:p w:rsidR="00D8067A" w:rsidRPr="008D7982" w:rsidRDefault="00D8067A" w:rsidP="008D7982">
            <w:pPr>
              <w:spacing w:after="0" w:line="240" w:lineRule="auto"/>
              <w:jc w:val="left"/>
              <w:rPr>
                <w:rFonts w:ascii="Calibri" w:hAnsi="Calibri" w:cs="Calibri"/>
                <w:sz w:val="18"/>
                <w:szCs w:val="22"/>
                <w:lang w:eastAsia="en-US"/>
              </w:rPr>
            </w:pP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b/>
                <w:i/>
                <w:sz w:val="18"/>
                <w:szCs w:val="22"/>
                <w:lang w:eastAsia="en-US"/>
              </w:rPr>
            </w:pPr>
            <w:r w:rsidRPr="008D7982">
              <w:rPr>
                <w:rFonts w:ascii="Calibri" w:hAnsi="Calibri" w:cs="Calibri"/>
                <w:b/>
                <w:sz w:val="18"/>
                <w:szCs w:val="22"/>
                <w:lang w:eastAsia="en-US"/>
              </w:rPr>
              <w:t xml:space="preserve">Monoclonal antibodies; </w:t>
            </w:r>
            <w:proofErr w:type="spellStart"/>
            <w:r w:rsidRPr="008D7982">
              <w:rPr>
                <w:rFonts w:ascii="Calibri" w:hAnsi="Calibri" w:cs="Calibri"/>
                <w:b/>
                <w:i/>
                <w:sz w:val="18"/>
                <w:szCs w:val="22"/>
                <w:lang w:eastAsia="en-US"/>
              </w:rPr>
              <w:t>Denosumab</w:t>
            </w:r>
            <w:proofErr w:type="spellEnd"/>
            <w:r w:rsidRPr="008D7982">
              <w:rPr>
                <w:rFonts w:ascii="Calibri" w:hAnsi="Calibri" w:cs="Calibri"/>
                <w:b/>
                <w:i/>
                <w:sz w:val="18"/>
                <w:szCs w:val="22"/>
                <w:lang w:eastAsia="en-US"/>
              </w:rPr>
              <w:t xml:space="preserve"> (</w:t>
            </w:r>
            <w:proofErr w:type="spellStart"/>
            <w:r w:rsidRPr="008D7982">
              <w:rPr>
                <w:rFonts w:ascii="Calibri" w:hAnsi="Calibri" w:cs="Calibri"/>
                <w:b/>
                <w:sz w:val="18"/>
                <w:szCs w:val="22"/>
                <w:lang w:eastAsia="en-US"/>
              </w:rPr>
              <w:t>Prolia</w:t>
            </w:r>
            <w:proofErr w:type="spellEnd"/>
            <w:r w:rsidRPr="008D7982">
              <w:rPr>
                <w:rFonts w:ascii="Calibri" w:hAnsi="Calibri" w:cs="Calibri"/>
                <w:b/>
                <w:sz w:val="18"/>
                <w:szCs w:val="22"/>
                <w:lang w:eastAsia="en-US"/>
              </w:rPr>
              <w:t>)</w:t>
            </w:r>
          </w:p>
          <w:p w:rsidR="00D8067A" w:rsidRPr="008D7982" w:rsidRDefault="00D8067A" w:rsidP="008D7982">
            <w:pPr>
              <w:spacing w:after="0" w:line="240" w:lineRule="auto"/>
              <w:jc w:val="center"/>
              <w:rPr>
                <w:rFonts w:ascii="Calibri" w:hAnsi="Calibri" w:cs="Calibri"/>
                <w:b/>
                <w:sz w:val="18"/>
                <w:szCs w:val="22"/>
                <w:lang w:eastAsia="en-US"/>
              </w:rPr>
            </w:pPr>
            <w:r w:rsidRPr="008D7982">
              <w:rPr>
                <w:rFonts w:ascii="Calibri" w:hAnsi="Calibri" w:cs="Calibri"/>
                <w:b/>
                <w:sz w:val="18"/>
                <w:szCs w:val="22"/>
                <w:lang w:eastAsia="en-US"/>
              </w:rPr>
              <w:t xml:space="preserve"> </w:t>
            </w:r>
            <w:r w:rsidRPr="008D7982">
              <w:rPr>
                <w:rFonts w:ascii="Calibri" w:hAnsi="Calibri" w:cs="Calibri"/>
                <w:sz w:val="18"/>
                <w:szCs w:val="22"/>
                <w:lang w:eastAsia="en-US"/>
              </w:rPr>
              <w:t>ARTG: 159322,159323, 159324</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Treatment of postmenopausal osteoporosis</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Hypocalcaemia</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Renal increased risk of hypocalcaemia if </w:t>
            </w:r>
            <w:proofErr w:type="spellStart"/>
            <w:r w:rsidRPr="008D7982">
              <w:rPr>
                <w:rFonts w:ascii="Calibri" w:hAnsi="Calibri" w:cs="Calibri"/>
                <w:sz w:val="18"/>
                <w:szCs w:val="22"/>
                <w:lang w:eastAsia="en-US"/>
              </w:rPr>
              <w:t>CrCl</w:t>
            </w:r>
            <w:proofErr w:type="spellEnd"/>
            <w:r w:rsidRPr="008D7982">
              <w:rPr>
                <w:rFonts w:ascii="Calibri" w:hAnsi="Calibri" w:cs="Calibri"/>
                <w:sz w:val="18"/>
                <w:szCs w:val="22"/>
                <w:lang w:eastAsia="en-US"/>
              </w:rPr>
              <w:t xml:space="preserve"> &lt;30 mL/minute.</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lastRenderedPageBreak/>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eczema, </w:t>
            </w:r>
            <w:proofErr w:type="spellStart"/>
            <w:r w:rsidRPr="008D7982">
              <w:rPr>
                <w:rFonts w:ascii="Calibri" w:hAnsi="Calibri" w:cs="Calibri"/>
                <w:sz w:val="18"/>
                <w:szCs w:val="22"/>
                <w:lang w:eastAsia="en-US"/>
              </w:rPr>
              <w:t>hypercholesterolaemia</w:t>
            </w:r>
            <w:proofErr w:type="spellEnd"/>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lastRenderedPageBreak/>
              <w:t>Infrequent</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skin infections (mainly cellulitis)</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Rare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hypocalcaemia, osteonecrosis of the jaw</w:t>
            </w: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i/>
                <w:sz w:val="18"/>
                <w:szCs w:val="22"/>
                <w:lang w:eastAsia="en-US"/>
              </w:rPr>
            </w:pPr>
            <w:proofErr w:type="spellStart"/>
            <w:r w:rsidRPr="008D7982">
              <w:rPr>
                <w:rFonts w:ascii="Calibri" w:hAnsi="Calibri" w:cs="Calibri"/>
                <w:b/>
                <w:sz w:val="18"/>
                <w:szCs w:val="22"/>
                <w:lang w:eastAsia="en-US"/>
              </w:rPr>
              <w:lastRenderedPageBreak/>
              <w:t>Teriparatide</w:t>
            </w:r>
            <w:proofErr w:type="spellEnd"/>
            <w:r w:rsidRPr="008D7982">
              <w:rPr>
                <w:rFonts w:ascii="Calibri" w:hAnsi="Calibri" w:cs="Calibri"/>
                <w:b/>
                <w:sz w:val="18"/>
                <w:szCs w:val="22"/>
                <w:lang w:eastAsia="en-US"/>
              </w:rPr>
              <w:t xml:space="preserve"> (</w:t>
            </w:r>
            <w:proofErr w:type="spellStart"/>
            <w:r w:rsidRPr="008D7982">
              <w:rPr>
                <w:rFonts w:ascii="Calibri" w:hAnsi="Calibri" w:cs="Calibri"/>
                <w:b/>
                <w:sz w:val="18"/>
                <w:szCs w:val="22"/>
                <w:lang w:eastAsia="en-US"/>
              </w:rPr>
              <w:t>Forteo</w:t>
            </w:r>
            <w:proofErr w:type="spellEnd"/>
            <w:r w:rsidRPr="008D7982">
              <w:rPr>
                <w:rFonts w:ascii="Calibri" w:hAnsi="Calibri" w:cs="Calibri"/>
                <w:b/>
                <w:sz w:val="18"/>
                <w:szCs w:val="22"/>
                <w:lang w:eastAsia="en-US"/>
              </w:rPr>
              <w:t>) (parathyroid hormone)</w:t>
            </w:r>
            <w:r w:rsidRPr="008D7982">
              <w:rPr>
                <w:rFonts w:ascii="Calibri" w:hAnsi="Calibri" w:cs="Calibri"/>
                <w:i/>
                <w:sz w:val="18"/>
                <w:szCs w:val="22"/>
                <w:lang w:eastAsia="en-US"/>
              </w:rPr>
              <w:t xml:space="preserve"> [treatment – (Grade A)]</w:t>
            </w:r>
          </w:p>
          <w:p w:rsidR="00D8067A" w:rsidRPr="008D7982" w:rsidRDefault="00D8067A" w:rsidP="008D7982">
            <w:pPr>
              <w:spacing w:after="0" w:line="240" w:lineRule="auto"/>
              <w:jc w:val="center"/>
              <w:rPr>
                <w:rFonts w:ascii="Calibri" w:hAnsi="Calibri" w:cs="Calibri"/>
                <w:sz w:val="18"/>
                <w:szCs w:val="22"/>
                <w:lang w:eastAsia="en-US"/>
              </w:rPr>
            </w:pPr>
            <w:r w:rsidRPr="008D7982">
              <w:rPr>
                <w:rFonts w:ascii="Calibri" w:hAnsi="Calibri" w:cs="Calibri"/>
                <w:sz w:val="18"/>
                <w:szCs w:val="22"/>
                <w:lang w:eastAsia="en-US"/>
              </w:rPr>
              <w:t>ARTG:</w:t>
            </w:r>
            <w:r w:rsidRPr="008D7982">
              <w:t xml:space="preserve"> </w:t>
            </w:r>
            <w:r w:rsidRPr="008D7982">
              <w:rPr>
                <w:rFonts w:ascii="Calibri" w:hAnsi="Calibri" w:cs="Calibri"/>
                <w:sz w:val="18"/>
                <w:szCs w:val="22"/>
                <w:lang w:eastAsia="en-US"/>
              </w:rPr>
              <w:t>80333</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Postmenopausal osteoporosis when there is a high risk of fractures and other agents are unsuitable</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Primary osteoporosis in men when there is a high risk of fractures and other agents are unsuitable</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Corticosteroid-induced osteoporosis in patients at high risk of fractures</w:t>
            </w:r>
          </w:p>
          <w:p w:rsidR="00D8067A" w:rsidRPr="008D7982" w:rsidRDefault="00D8067A" w:rsidP="008D7982">
            <w:pPr>
              <w:spacing w:after="0" w:line="240" w:lineRule="auto"/>
              <w:jc w:val="left"/>
              <w:rPr>
                <w:rFonts w:ascii="Calibri" w:hAnsi="Calibri" w:cs="Calibri"/>
                <w:b/>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Paget's disease of bone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Hyperparathyroidism</w:t>
            </w:r>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Urolithiasis</w:t>
            </w:r>
            <w:proofErr w:type="spellEnd"/>
            <w:r w:rsidRPr="008D7982">
              <w:rPr>
                <w:rFonts w:ascii="Calibri" w:hAnsi="Calibri" w:cs="Calibri"/>
                <w:sz w:val="18"/>
                <w:szCs w:val="22"/>
                <w:lang w:eastAsia="en-US"/>
              </w:rPr>
              <w:t xml:space="preserve">, </w:t>
            </w:r>
            <w:proofErr w:type="spellStart"/>
            <w:r w:rsidRPr="008D7982">
              <w:rPr>
                <w:rFonts w:ascii="Calibri" w:hAnsi="Calibri" w:cs="Calibri"/>
                <w:sz w:val="18"/>
                <w:szCs w:val="22"/>
                <w:lang w:eastAsia="en-US"/>
              </w:rPr>
              <w:t>hypercalcaemia</w:t>
            </w:r>
            <w:proofErr w:type="spellEnd"/>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Skeletal malignancies, history of skeletal radiation treatment, unexplained increases in ALP—manufacturer discourages use.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Treatment with alendronate—may reduce the effectiveness of </w:t>
            </w:r>
            <w:proofErr w:type="spellStart"/>
            <w:r w:rsidRPr="008D7982">
              <w:rPr>
                <w:rFonts w:ascii="Calibri" w:hAnsi="Calibri" w:cs="Calibri"/>
                <w:sz w:val="18"/>
                <w:szCs w:val="22"/>
                <w:lang w:eastAsia="en-US"/>
              </w:rPr>
              <w:t>teriparatide</w:t>
            </w:r>
            <w:proofErr w:type="spellEnd"/>
            <w:r w:rsidRPr="008D7982">
              <w:rPr>
                <w:rFonts w:ascii="Calibri" w:hAnsi="Calibri" w:cs="Calibri"/>
                <w:sz w:val="18"/>
                <w:szCs w:val="22"/>
                <w:lang w:eastAsia="en-US"/>
              </w:rPr>
              <w:t>; combination not recommended. Effect of combination with other bisphosphonates is not known.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Renal</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Limited clinical experience in renal impairment; avoid if </w:t>
            </w:r>
            <w:proofErr w:type="spellStart"/>
            <w:r w:rsidRPr="008D7982">
              <w:rPr>
                <w:rFonts w:ascii="Calibri" w:hAnsi="Calibri" w:cs="Calibri"/>
                <w:sz w:val="18"/>
                <w:szCs w:val="22"/>
                <w:lang w:eastAsia="en-US"/>
              </w:rPr>
              <w:t>CrCl</w:t>
            </w:r>
            <w:proofErr w:type="spellEnd"/>
            <w:r w:rsidRPr="008D7982">
              <w:rPr>
                <w:rFonts w:ascii="Calibri" w:hAnsi="Calibri" w:cs="Calibri"/>
                <w:sz w:val="18"/>
                <w:szCs w:val="22"/>
                <w:lang w:eastAsia="en-US"/>
              </w:rPr>
              <w:t xml:space="preserve"> &lt;30mL/minute.</w:t>
            </w:r>
          </w:p>
          <w:p w:rsidR="00D8067A" w:rsidRPr="008D7982" w:rsidRDefault="00D8067A" w:rsidP="008D7982">
            <w:pPr>
              <w:spacing w:after="0" w:line="240" w:lineRule="auto"/>
              <w:jc w:val="left"/>
              <w:rPr>
                <w:rFonts w:ascii="Calibri" w:hAnsi="Calibri" w:cs="Calibri"/>
                <w:sz w:val="18"/>
                <w:szCs w:val="22"/>
                <w:lang w:eastAsia="en-US"/>
              </w:rPr>
            </w:pPr>
            <w:proofErr w:type="gramStart"/>
            <w:r w:rsidRPr="008D7982">
              <w:rPr>
                <w:rFonts w:ascii="Calibri" w:hAnsi="Calibri" w:cs="Calibri"/>
                <w:sz w:val="18"/>
                <w:szCs w:val="22"/>
                <w:lang w:eastAsia="en-US"/>
              </w:rPr>
              <w:t>manufacturer</w:t>
            </w:r>
            <w:proofErr w:type="gramEnd"/>
            <w:r w:rsidRPr="008D7982">
              <w:rPr>
                <w:rFonts w:ascii="Calibri" w:hAnsi="Calibri" w:cs="Calibri"/>
                <w:sz w:val="18"/>
                <w:szCs w:val="22"/>
                <w:lang w:eastAsia="en-US"/>
              </w:rPr>
              <w:t xml:space="preserve"> discourages use in children and young adults with open epiphyses.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Avoid in women planning to conceive or who are not using adequate contraception.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Pregnancy</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Breastfeeding</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b/>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nausea, headache, dizziness, muscle cramp, arthralgia, </w:t>
            </w:r>
            <w:proofErr w:type="spellStart"/>
            <w:r w:rsidRPr="008D7982">
              <w:rPr>
                <w:rFonts w:ascii="Calibri" w:hAnsi="Calibri" w:cs="Calibri"/>
                <w:sz w:val="18"/>
                <w:szCs w:val="22"/>
                <w:lang w:eastAsia="en-US"/>
              </w:rPr>
              <w:t>hyperuricaemia</w:t>
            </w:r>
            <w:proofErr w:type="spellEnd"/>
            <w:r w:rsidRPr="008D7982">
              <w:rPr>
                <w:rFonts w:ascii="Calibri" w:hAnsi="Calibri" w:cs="Calibri"/>
                <w:sz w:val="18"/>
                <w:szCs w:val="22"/>
                <w:lang w:eastAsia="en-US"/>
              </w:rPr>
              <w:t>, injection site reactions</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Infrequent</w:t>
            </w:r>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hypercalcaemia</w:t>
            </w:r>
            <w:proofErr w:type="spellEnd"/>
            <w:r w:rsidRPr="008D7982">
              <w:rPr>
                <w:rFonts w:ascii="Calibri" w:hAnsi="Calibri" w:cs="Calibri"/>
                <w:sz w:val="18"/>
                <w:szCs w:val="22"/>
                <w:lang w:eastAsia="en-US"/>
              </w:rPr>
              <w:t>, myalgia, increased ALP</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Rare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allergic reactions</w:t>
            </w:r>
          </w:p>
          <w:p w:rsidR="00D8067A" w:rsidRPr="008D7982" w:rsidRDefault="00D8067A" w:rsidP="008D7982">
            <w:pPr>
              <w:spacing w:after="0" w:line="240" w:lineRule="auto"/>
              <w:jc w:val="left"/>
              <w:rPr>
                <w:rFonts w:ascii="Calibri" w:hAnsi="Calibri" w:cs="Calibri"/>
                <w:b/>
                <w:sz w:val="18"/>
                <w:szCs w:val="22"/>
                <w:lang w:eastAsia="en-US"/>
              </w:rPr>
            </w:pP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sz w:val="18"/>
                <w:szCs w:val="22"/>
                <w:lang w:eastAsia="en-US"/>
              </w:rPr>
            </w:pPr>
            <w:r w:rsidRPr="008D7982">
              <w:rPr>
                <w:rFonts w:ascii="Calibri" w:hAnsi="Calibri" w:cs="Calibri"/>
                <w:b/>
                <w:sz w:val="18"/>
                <w:szCs w:val="22"/>
                <w:lang w:eastAsia="en-US"/>
              </w:rPr>
              <w:t xml:space="preserve">Strontium </w:t>
            </w:r>
            <w:proofErr w:type="spellStart"/>
            <w:r w:rsidRPr="008D7982">
              <w:rPr>
                <w:rFonts w:ascii="Calibri" w:hAnsi="Calibri" w:cs="Calibri"/>
                <w:b/>
                <w:sz w:val="18"/>
                <w:szCs w:val="22"/>
                <w:lang w:eastAsia="en-US"/>
              </w:rPr>
              <w:t>Ranelate</w:t>
            </w:r>
            <w:proofErr w:type="spellEnd"/>
            <w:r w:rsidRPr="008D7982">
              <w:rPr>
                <w:rFonts w:ascii="Calibri" w:hAnsi="Calibri" w:cs="Calibri"/>
                <w:b/>
                <w:sz w:val="18"/>
                <w:szCs w:val="22"/>
                <w:lang w:eastAsia="en-US"/>
              </w:rPr>
              <w:t xml:space="preserve"> </w:t>
            </w:r>
            <w:r w:rsidRPr="008D7982">
              <w:rPr>
                <w:rFonts w:ascii="Calibri" w:hAnsi="Calibri" w:cs="Calibri"/>
                <w:i/>
                <w:sz w:val="18"/>
                <w:szCs w:val="22"/>
                <w:lang w:eastAsia="en-US"/>
              </w:rPr>
              <w:t>(</w:t>
            </w:r>
            <w:proofErr w:type="spellStart"/>
            <w:r w:rsidRPr="008D7982">
              <w:rPr>
                <w:rFonts w:ascii="Calibri" w:hAnsi="Calibri" w:cs="Calibri"/>
                <w:b/>
                <w:sz w:val="18"/>
                <w:szCs w:val="22"/>
                <w:lang w:eastAsia="en-US"/>
              </w:rPr>
              <w:t>Protos</w:t>
            </w:r>
            <w:proofErr w:type="spellEnd"/>
            <w:r w:rsidRPr="008D7982">
              <w:rPr>
                <w:rFonts w:ascii="Calibri" w:hAnsi="Calibri" w:cs="Calibri"/>
                <w:sz w:val="18"/>
                <w:szCs w:val="22"/>
                <w:lang w:eastAsia="en-US"/>
              </w:rPr>
              <w:t>)</w:t>
            </w:r>
          </w:p>
          <w:p w:rsidR="00D8067A" w:rsidRPr="008D7982" w:rsidRDefault="00D8067A" w:rsidP="008D7982">
            <w:pPr>
              <w:spacing w:after="0" w:line="240" w:lineRule="auto"/>
              <w:jc w:val="center"/>
              <w:rPr>
                <w:rFonts w:ascii="Calibri" w:hAnsi="Calibri" w:cs="Calibri"/>
                <w:sz w:val="18"/>
                <w:szCs w:val="22"/>
                <w:lang w:eastAsia="en-US"/>
              </w:rPr>
            </w:pPr>
            <w:r w:rsidRPr="008D7982">
              <w:rPr>
                <w:rFonts w:ascii="Calibri" w:hAnsi="Calibri" w:cs="Calibri"/>
                <w:sz w:val="18"/>
                <w:szCs w:val="22"/>
                <w:lang w:eastAsia="en-US"/>
              </w:rPr>
              <w:t xml:space="preserve"> </w:t>
            </w:r>
            <w:r w:rsidRPr="008D7982">
              <w:rPr>
                <w:rFonts w:ascii="Calibri" w:hAnsi="Calibri" w:cs="Calibri"/>
                <w:i/>
                <w:sz w:val="18"/>
                <w:szCs w:val="22"/>
                <w:lang w:eastAsia="en-US"/>
              </w:rPr>
              <w:t xml:space="preserve"> [treatment – (Grade A)]</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Treatment of postmenopausal osteoporosis to reduce the risk of fracture.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Treatment of osteoporosis in men at increased risk of fracture.</w:t>
            </w:r>
          </w:p>
        </w:tc>
        <w:tc>
          <w:tcPr>
            <w:tcW w:w="3081" w:type="dxa"/>
            <w:tcBorders>
              <w:left w:val="nil"/>
              <w:right w:val="nil"/>
            </w:tcBorders>
          </w:tcPr>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 xml:space="preserve">Known hypersensitivity to strontium </w:t>
            </w:r>
            <w:proofErr w:type="spellStart"/>
            <w:r w:rsidRPr="008D7982">
              <w:rPr>
                <w:rFonts w:ascii="Calibri" w:hAnsi="Calibri" w:cs="Calibri"/>
                <w:color w:val="000000"/>
                <w:sz w:val="18"/>
                <w:szCs w:val="18"/>
                <w:lang w:eastAsia="en-US"/>
              </w:rPr>
              <w:t>ranelate</w:t>
            </w:r>
            <w:proofErr w:type="spellEnd"/>
            <w:r w:rsidRPr="008D7982">
              <w:rPr>
                <w:rFonts w:ascii="Calibri" w:hAnsi="Calibri" w:cs="Calibri"/>
                <w:color w:val="000000"/>
                <w:sz w:val="18"/>
                <w:szCs w:val="18"/>
                <w:lang w:eastAsia="en-US"/>
              </w:rPr>
              <w:t xml:space="preserve"> or to any of the excipients</w:t>
            </w: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Severe renal impairment (see Pharmacokinetics – Special Populations)</w:t>
            </w: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Current or previous venous thromboembolic events (VTE), including deep vein thrombosis and pulmonary embolism.</w:t>
            </w: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 xml:space="preserve">Temporary or permanent immobilisation (e.g. post-surgical recovery or prolonged bed rest).um </w:t>
            </w:r>
            <w:proofErr w:type="spellStart"/>
            <w:r w:rsidRPr="008D7982">
              <w:rPr>
                <w:rFonts w:ascii="Calibri" w:hAnsi="Calibri" w:cs="Calibri"/>
                <w:color w:val="000000"/>
                <w:sz w:val="18"/>
                <w:szCs w:val="18"/>
                <w:lang w:eastAsia="en-US"/>
              </w:rPr>
              <w:t>ranelate</w:t>
            </w:r>
            <w:proofErr w:type="spellEnd"/>
            <w:r w:rsidRPr="008D7982">
              <w:rPr>
                <w:rFonts w:ascii="Calibri" w:hAnsi="Calibri" w:cs="Calibri"/>
                <w:color w:val="000000"/>
                <w:sz w:val="18"/>
                <w:szCs w:val="18"/>
                <w:lang w:eastAsia="en-US"/>
              </w:rPr>
              <w:t xml:space="preserve"> or to any of the excipients </w:t>
            </w: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 xml:space="preserve">Severe renal impairment (see Pharmacokinetics – Special Populations) </w:t>
            </w: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 xml:space="preserve">Current or previous venous thromboembolic events (VTE), </w:t>
            </w:r>
            <w:r w:rsidRPr="008D7982">
              <w:rPr>
                <w:rFonts w:ascii="Calibri" w:hAnsi="Calibri" w:cs="Calibri"/>
                <w:color w:val="000000"/>
                <w:sz w:val="18"/>
                <w:szCs w:val="18"/>
                <w:lang w:eastAsia="en-US"/>
              </w:rPr>
              <w:lastRenderedPageBreak/>
              <w:t xml:space="preserve">including deep vein thrombosis and pulmonary embolism. </w:t>
            </w: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p>
          <w:p w:rsidR="00D8067A" w:rsidRPr="008D7982" w:rsidRDefault="00D8067A" w:rsidP="008D7982">
            <w:pPr>
              <w:autoSpaceDE w:val="0"/>
              <w:autoSpaceDN w:val="0"/>
              <w:adjustRightInd w:val="0"/>
              <w:spacing w:after="0" w:line="240" w:lineRule="auto"/>
              <w:jc w:val="left"/>
              <w:rPr>
                <w:rFonts w:ascii="Calibri" w:hAnsi="Calibri" w:cs="Calibri"/>
                <w:color w:val="000000"/>
                <w:sz w:val="18"/>
                <w:szCs w:val="18"/>
                <w:lang w:eastAsia="en-US"/>
              </w:rPr>
            </w:pPr>
            <w:r w:rsidRPr="008D7982">
              <w:rPr>
                <w:rFonts w:ascii="Calibri" w:hAnsi="Calibri" w:cs="Calibri"/>
                <w:color w:val="000000"/>
                <w:sz w:val="18"/>
                <w:szCs w:val="18"/>
                <w:lang w:eastAsia="en-US"/>
              </w:rPr>
              <w:t xml:space="preserve">· Temporary or permanent immobilisation (e.g. post-surgical recovery or prolonged bed rest). </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lastRenderedPageBreak/>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Headache, disturbances in consciousness, memory loss, nausea, diarrhoea, loose stools, venous thromboembolism, blood </w:t>
            </w:r>
            <w:proofErr w:type="spellStart"/>
            <w:r w:rsidRPr="008D7982">
              <w:rPr>
                <w:rFonts w:ascii="Calibri" w:hAnsi="Calibri" w:cs="Calibri"/>
                <w:sz w:val="18"/>
                <w:szCs w:val="22"/>
                <w:lang w:eastAsia="en-US"/>
              </w:rPr>
              <w:t>creatinine</w:t>
            </w:r>
            <w:proofErr w:type="spellEnd"/>
            <w:r w:rsidRPr="008D7982">
              <w:rPr>
                <w:rFonts w:ascii="Calibri" w:hAnsi="Calibri" w:cs="Calibri"/>
                <w:sz w:val="18"/>
                <w:szCs w:val="22"/>
                <w:lang w:eastAsia="en-US"/>
              </w:rPr>
              <w:t xml:space="preserve"> phosphokinase (CPK) increase</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Uncommon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Seizures.</w:t>
            </w:r>
          </w:p>
          <w:p w:rsidR="00D8067A" w:rsidRPr="008D7982" w:rsidRDefault="00D8067A" w:rsidP="008D7982">
            <w:pPr>
              <w:spacing w:after="0" w:line="240" w:lineRule="auto"/>
              <w:jc w:val="left"/>
              <w:rPr>
                <w:rFonts w:ascii="Calibri" w:hAnsi="Calibri" w:cs="Calibri"/>
                <w:sz w:val="18"/>
                <w:szCs w:val="22"/>
                <w:lang w:eastAsia="en-US"/>
              </w:rPr>
            </w:pPr>
          </w:p>
        </w:tc>
      </w:tr>
      <w:tr w:rsidR="00D8067A" w:rsidRPr="008D7982" w:rsidTr="008D7982">
        <w:tc>
          <w:tcPr>
            <w:tcW w:w="9242" w:type="dxa"/>
            <w:gridSpan w:val="3"/>
            <w:tcBorders>
              <w:left w:val="nil"/>
              <w:right w:val="nil"/>
            </w:tcBorders>
          </w:tcPr>
          <w:p w:rsidR="00D8067A" w:rsidRPr="008D7982" w:rsidRDefault="00D8067A" w:rsidP="008D7982">
            <w:pPr>
              <w:spacing w:after="0" w:line="240" w:lineRule="auto"/>
              <w:jc w:val="center"/>
              <w:rPr>
                <w:rFonts w:ascii="Calibri" w:hAnsi="Calibri" w:cs="Calibri"/>
                <w:i/>
                <w:sz w:val="18"/>
                <w:szCs w:val="22"/>
                <w:lang w:eastAsia="en-US"/>
              </w:rPr>
            </w:pPr>
            <w:r w:rsidRPr="008D7982">
              <w:rPr>
                <w:rFonts w:ascii="Calibri" w:hAnsi="Calibri" w:cs="Calibri"/>
                <w:b/>
                <w:sz w:val="18"/>
                <w:szCs w:val="22"/>
                <w:lang w:eastAsia="en-US"/>
              </w:rPr>
              <w:lastRenderedPageBreak/>
              <w:t xml:space="preserve">Calcium and vitamin D </w:t>
            </w:r>
            <w:r w:rsidRPr="008D7982">
              <w:rPr>
                <w:rFonts w:ascii="Calibri" w:hAnsi="Calibri" w:cs="Calibri"/>
                <w:i/>
                <w:sz w:val="18"/>
                <w:szCs w:val="22"/>
                <w:lang w:eastAsia="en-US"/>
              </w:rPr>
              <w:t xml:space="preserve">[prevention (Grade C), treatment (Grade C)] </w:t>
            </w:r>
          </w:p>
          <w:p w:rsidR="00D8067A" w:rsidRPr="008D7982" w:rsidRDefault="00D8067A" w:rsidP="008D7982">
            <w:pPr>
              <w:spacing w:after="0" w:line="240" w:lineRule="auto"/>
              <w:jc w:val="center"/>
              <w:rPr>
                <w:rFonts w:ascii="Calibri" w:hAnsi="Calibri" w:cs="Calibri"/>
                <w:sz w:val="18"/>
                <w:szCs w:val="22"/>
                <w:lang w:eastAsia="en-US"/>
              </w:rPr>
            </w:pPr>
            <w:r w:rsidRPr="008D7982">
              <w:rPr>
                <w:rFonts w:ascii="Calibri" w:hAnsi="Calibri" w:cs="Calibri"/>
                <w:sz w:val="18"/>
                <w:szCs w:val="22"/>
                <w:lang w:eastAsia="en-US"/>
              </w:rPr>
              <w:t xml:space="preserve"> </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Contraindication</w:t>
            </w:r>
          </w:p>
        </w:tc>
        <w:tc>
          <w:tcPr>
            <w:tcW w:w="3081" w:type="dxa"/>
            <w:tcBorders>
              <w:left w:val="nil"/>
              <w:right w:val="nil"/>
            </w:tcBorders>
          </w:tcPr>
          <w:p w:rsidR="00D8067A" w:rsidRPr="008D7982" w:rsidRDefault="00D8067A" w:rsidP="008D7982">
            <w:pPr>
              <w:spacing w:after="0" w:line="240" w:lineRule="auto"/>
              <w:jc w:val="center"/>
              <w:rPr>
                <w:rFonts w:ascii="Calibri" w:hAnsi="Calibri" w:cs="Calibri"/>
                <w:b/>
                <w:sz w:val="22"/>
                <w:szCs w:val="22"/>
                <w:lang w:eastAsia="en-US"/>
              </w:rPr>
            </w:pPr>
            <w:r w:rsidRPr="008D7982">
              <w:rPr>
                <w:rFonts w:ascii="Calibri" w:hAnsi="Calibri" w:cs="Calibri"/>
                <w:b/>
                <w:sz w:val="22"/>
                <w:szCs w:val="22"/>
                <w:lang w:eastAsia="en-US"/>
              </w:rPr>
              <w:t>Side effects</w:t>
            </w:r>
          </w:p>
        </w:tc>
      </w:tr>
      <w:tr w:rsidR="00D8067A" w:rsidRPr="008D7982" w:rsidTr="008D7982">
        <w:tc>
          <w:tcPr>
            <w:tcW w:w="3080"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Calcium; Adjunctive treatment in osteoporosis</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Vitamin D; Treatment of osteoporosis, when vitamin D supplementation is recommended</w:t>
            </w: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Hypercalcaemia</w:t>
            </w:r>
            <w:proofErr w:type="spellEnd"/>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Hypercalciuria</w:t>
            </w:r>
            <w:proofErr w:type="spellEnd"/>
            <w:r w:rsidRPr="008D7982">
              <w:rPr>
                <w:rFonts w:ascii="Calibri" w:hAnsi="Calibri" w:cs="Calibri"/>
                <w:sz w:val="18"/>
                <w:szCs w:val="22"/>
                <w:lang w:eastAsia="en-US"/>
              </w:rPr>
              <w:t>, history of nephrolithiasis</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Treatment with digoxin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Treatment with </w:t>
            </w:r>
            <w:proofErr w:type="spellStart"/>
            <w:r w:rsidRPr="008D7982">
              <w:rPr>
                <w:rFonts w:ascii="Calibri" w:hAnsi="Calibri" w:cs="Calibri"/>
                <w:sz w:val="18"/>
                <w:szCs w:val="22"/>
                <w:lang w:eastAsia="en-US"/>
              </w:rPr>
              <w:t>calcitriol</w:t>
            </w:r>
            <w:proofErr w:type="spellEnd"/>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Decreased gastric acidity</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Phenylketonuria</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Sodium restriction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Renal</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Monitor plasma calcium concentration in renal impairment; if necessary, reduce dosage or stop.</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Vitamin D;</w:t>
            </w:r>
            <w:r w:rsidRPr="008D7982">
              <w:rPr>
                <w:rFonts w:ascii="Calibri" w:hAnsi="Calibri" w:cs="Calibri"/>
                <w:b/>
                <w:sz w:val="18"/>
                <w:szCs w:val="22"/>
                <w:lang w:eastAsia="en-US"/>
              </w:rPr>
              <w:t xml:space="preserve"> </w:t>
            </w:r>
            <w:proofErr w:type="spellStart"/>
            <w:r w:rsidRPr="008D7982">
              <w:rPr>
                <w:rFonts w:ascii="Calibri" w:hAnsi="Calibri" w:cs="Calibri"/>
                <w:sz w:val="18"/>
                <w:szCs w:val="22"/>
                <w:lang w:eastAsia="en-US"/>
              </w:rPr>
              <w:t>Hyperphosphataemia</w:t>
            </w:r>
            <w:proofErr w:type="spellEnd"/>
            <w:r w:rsidRPr="008D7982">
              <w:rPr>
                <w:rFonts w:ascii="Calibri" w:hAnsi="Calibri" w:cs="Calibri"/>
                <w:sz w:val="18"/>
                <w:szCs w:val="22"/>
                <w:lang w:eastAsia="en-US"/>
              </w:rPr>
              <w:t xml:space="preserve"> (Vitamin D only)</w:t>
            </w:r>
          </w:p>
          <w:p w:rsidR="00D8067A" w:rsidRPr="008D7982" w:rsidRDefault="00D8067A" w:rsidP="008D7982">
            <w:pPr>
              <w:spacing w:after="0" w:line="240" w:lineRule="auto"/>
              <w:jc w:val="left"/>
              <w:rPr>
                <w:rFonts w:ascii="Calibri" w:hAnsi="Calibri" w:cs="Calibri"/>
                <w:sz w:val="18"/>
                <w:szCs w:val="22"/>
                <w:lang w:eastAsia="en-US"/>
              </w:rPr>
            </w:pPr>
          </w:p>
        </w:tc>
        <w:tc>
          <w:tcPr>
            <w:tcW w:w="3081" w:type="dxa"/>
            <w:tcBorders>
              <w:left w:val="nil"/>
              <w:right w:val="nil"/>
            </w:tcBorders>
          </w:tcPr>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Common</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belching, flatulence, abdominal distension, constipation</w:t>
            </w:r>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Infrequent</w:t>
            </w:r>
          </w:p>
          <w:p w:rsidR="00D8067A" w:rsidRPr="008D7982" w:rsidRDefault="00D8067A" w:rsidP="008D7982">
            <w:pPr>
              <w:spacing w:after="0" w:line="240" w:lineRule="auto"/>
              <w:jc w:val="left"/>
              <w:rPr>
                <w:rFonts w:ascii="Calibri" w:hAnsi="Calibri" w:cs="Calibri"/>
                <w:sz w:val="18"/>
                <w:szCs w:val="22"/>
                <w:lang w:eastAsia="en-US"/>
              </w:rPr>
            </w:pPr>
            <w:proofErr w:type="spellStart"/>
            <w:r w:rsidRPr="008D7982">
              <w:rPr>
                <w:rFonts w:ascii="Calibri" w:hAnsi="Calibri" w:cs="Calibri"/>
                <w:sz w:val="18"/>
                <w:szCs w:val="22"/>
                <w:lang w:eastAsia="en-US"/>
              </w:rPr>
              <w:t>hypercalcaemia</w:t>
            </w:r>
            <w:proofErr w:type="spellEnd"/>
            <w:r w:rsidRPr="008D7982">
              <w:rPr>
                <w:rFonts w:ascii="Calibri" w:hAnsi="Calibri" w:cs="Calibri"/>
                <w:sz w:val="18"/>
                <w:szCs w:val="22"/>
                <w:lang w:eastAsia="en-US"/>
              </w:rPr>
              <w:t xml:space="preserve">, alkalosis, </w:t>
            </w:r>
            <w:proofErr w:type="spellStart"/>
            <w:r w:rsidRPr="008D7982">
              <w:rPr>
                <w:rFonts w:ascii="Calibri" w:hAnsi="Calibri" w:cs="Calibri"/>
                <w:sz w:val="18"/>
                <w:szCs w:val="22"/>
                <w:lang w:eastAsia="en-US"/>
              </w:rPr>
              <w:t>hypophosphataemia</w:t>
            </w:r>
            <w:proofErr w:type="spellEnd"/>
          </w:p>
          <w:p w:rsidR="00D8067A" w:rsidRPr="008D7982" w:rsidRDefault="00D8067A" w:rsidP="008D7982">
            <w:pPr>
              <w:spacing w:after="0" w:line="240" w:lineRule="auto"/>
              <w:jc w:val="left"/>
              <w:rPr>
                <w:rFonts w:ascii="Calibri" w:hAnsi="Calibri" w:cs="Calibri"/>
                <w:sz w:val="18"/>
                <w:szCs w:val="22"/>
                <w:lang w:eastAsia="en-US"/>
              </w:rPr>
            </w:pPr>
          </w:p>
          <w:p w:rsidR="00D8067A" w:rsidRPr="008D7982" w:rsidRDefault="00D8067A" w:rsidP="008D7982">
            <w:pPr>
              <w:spacing w:after="0" w:line="240" w:lineRule="auto"/>
              <w:jc w:val="left"/>
              <w:rPr>
                <w:rFonts w:ascii="Calibri" w:hAnsi="Calibri" w:cs="Calibri"/>
                <w:i/>
                <w:sz w:val="18"/>
                <w:szCs w:val="22"/>
                <w:lang w:eastAsia="en-US"/>
              </w:rPr>
            </w:pPr>
            <w:r w:rsidRPr="008D7982">
              <w:rPr>
                <w:rFonts w:ascii="Calibri" w:hAnsi="Calibri" w:cs="Calibri"/>
                <w:i/>
                <w:sz w:val="18"/>
                <w:szCs w:val="22"/>
                <w:lang w:eastAsia="en-US"/>
              </w:rPr>
              <w:t>Rare</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renal calculi, milk-alkali syndrome </w:t>
            </w: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IV skin necrosis (extravasation), irritation</w:t>
            </w:r>
          </w:p>
          <w:p w:rsidR="00D8067A" w:rsidRPr="008D7982" w:rsidRDefault="00D8067A" w:rsidP="008D7982">
            <w:pPr>
              <w:spacing w:after="0" w:line="240" w:lineRule="auto"/>
              <w:jc w:val="left"/>
              <w:rPr>
                <w:rFonts w:ascii="Calibri" w:hAnsi="Calibri" w:cs="Calibri"/>
                <w:b/>
                <w:sz w:val="18"/>
                <w:szCs w:val="22"/>
                <w:lang w:eastAsia="en-US"/>
              </w:rPr>
            </w:pPr>
          </w:p>
          <w:p w:rsidR="00D8067A" w:rsidRPr="008D7982" w:rsidRDefault="00D8067A" w:rsidP="008D7982">
            <w:pPr>
              <w:spacing w:after="0" w:line="240" w:lineRule="auto"/>
              <w:jc w:val="left"/>
              <w:rPr>
                <w:rFonts w:ascii="Calibri" w:hAnsi="Calibri" w:cs="Calibri"/>
                <w:sz w:val="18"/>
                <w:szCs w:val="22"/>
                <w:lang w:eastAsia="en-US"/>
              </w:rPr>
            </w:pPr>
            <w:r w:rsidRPr="008D7982">
              <w:rPr>
                <w:rFonts w:ascii="Calibri" w:hAnsi="Calibri" w:cs="Calibri"/>
                <w:sz w:val="18"/>
                <w:szCs w:val="22"/>
                <w:lang w:eastAsia="en-US"/>
              </w:rPr>
              <w:t xml:space="preserve">Vitamin D; </w:t>
            </w:r>
            <w:proofErr w:type="spellStart"/>
            <w:r w:rsidRPr="008D7982">
              <w:rPr>
                <w:rFonts w:ascii="Calibri" w:hAnsi="Calibri" w:cs="Calibri"/>
                <w:sz w:val="18"/>
                <w:szCs w:val="22"/>
                <w:lang w:eastAsia="en-US"/>
              </w:rPr>
              <w:t>hypercalcaemia</w:t>
            </w:r>
            <w:proofErr w:type="spellEnd"/>
            <w:r w:rsidRPr="008D7982">
              <w:rPr>
                <w:rFonts w:ascii="Calibri" w:hAnsi="Calibri" w:cs="Calibri"/>
                <w:sz w:val="18"/>
                <w:szCs w:val="22"/>
                <w:lang w:eastAsia="en-US"/>
              </w:rPr>
              <w:t>, renal and cardiovascular damage may occur because of ectopic calcification.</w:t>
            </w:r>
          </w:p>
          <w:p w:rsidR="00D8067A" w:rsidRPr="008D7982" w:rsidRDefault="00D8067A" w:rsidP="008D7982">
            <w:pPr>
              <w:spacing w:after="0" w:line="240" w:lineRule="auto"/>
              <w:jc w:val="left"/>
              <w:rPr>
                <w:rFonts w:ascii="Calibri" w:hAnsi="Calibri" w:cs="Calibri"/>
                <w:sz w:val="18"/>
                <w:szCs w:val="22"/>
                <w:lang w:eastAsia="en-US"/>
              </w:rPr>
            </w:pPr>
          </w:p>
        </w:tc>
      </w:tr>
      <w:tr w:rsidR="00D8067A" w:rsidRPr="008D7982" w:rsidTr="008D7982">
        <w:tc>
          <w:tcPr>
            <w:tcW w:w="9242" w:type="dxa"/>
            <w:gridSpan w:val="3"/>
            <w:tcBorders>
              <w:left w:val="nil"/>
              <w:bottom w:val="nil"/>
              <w:right w:val="nil"/>
            </w:tcBorders>
          </w:tcPr>
          <w:p w:rsidR="00D8067A" w:rsidRPr="008D7982" w:rsidRDefault="00D8067A" w:rsidP="00331FD5">
            <w:pPr>
              <w:spacing w:after="0" w:line="240" w:lineRule="auto"/>
              <w:jc w:val="left"/>
              <w:rPr>
                <w:rFonts w:ascii="Calibri" w:hAnsi="Calibri" w:cs="Times New Roman"/>
                <w:sz w:val="18"/>
                <w:szCs w:val="22"/>
                <w:lang w:eastAsia="en-US"/>
              </w:rPr>
            </w:pPr>
            <w:r w:rsidRPr="008D7982">
              <w:rPr>
                <w:rFonts w:ascii="Calibri" w:hAnsi="Calibri" w:cs="Times New Roman"/>
                <w:sz w:val="16"/>
                <w:szCs w:val="22"/>
                <w:lang w:eastAsia="en-US"/>
              </w:rPr>
              <w:t xml:space="preserve">All information obtained from the Australian Medicines Handbook (AMH), January 2012  or the </w:t>
            </w:r>
            <w:r w:rsidR="00331FD5">
              <w:rPr>
                <w:rFonts w:ascii="Calibri" w:hAnsi="Calibri" w:cs="Times New Roman"/>
                <w:sz w:val="16"/>
                <w:szCs w:val="22"/>
                <w:lang w:eastAsia="en-US"/>
              </w:rPr>
              <w:t xml:space="preserve">RACGP </w:t>
            </w:r>
            <w:r w:rsidRPr="008D7982">
              <w:rPr>
                <w:rFonts w:ascii="Calibri" w:hAnsi="Calibri" w:cs="Times New Roman"/>
                <w:sz w:val="16"/>
                <w:szCs w:val="22"/>
                <w:lang w:eastAsia="en-US"/>
              </w:rPr>
              <w:t xml:space="preserve"> clinical guidelines 2010</w:t>
            </w:r>
            <w:r w:rsidR="00331FD5">
              <w:rPr>
                <w:rFonts w:ascii="Calibri" w:hAnsi="Calibri" w:cs="Times New Roman"/>
                <w:sz w:val="16"/>
                <w:szCs w:val="22"/>
                <w:lang w:eastAsia="en-US"/>
              </w:rPr>
              <w:t>b</w:t>
            </w:r>
          </w:p>
        </w:tc>
      </w:tr>
    </w:tbl>
    <w:p w:rsidR="00D8067A" w:rsidRDefault="00D8067A" w:rsidP="0031428F">
      <w:pPr>
        <w:rPr>
          <w:b/>
        </w:rPr>
      </w:pPr>
    </w:p>
    <w:p w:rsidR="00D8067A" w:rsidRDefault="00D8067A" w:rsidP="0031428F"/>
    <w:p w:rsidR="00D8067A" w:rsidRDefault="00D8067A" w:rsidP="0031428F">
      <w:pPr>
        <w:sectPr w:rsidR="00D8067A" w:rsidSect="00D61C4E">
          <w:pgSz w:w="11906" w:h="16838"/>
          <w:pgMar w:top="1440" w:right="1440" w:bottom="1440" w:left="1440" w:header="708" w:footer="708" w:gutter="0"/>
          <w:cols w:space="708"/>
          <w:titlePg/>
          <w:docGrid w:linePitch="360"/>
        </w:sectPr>
      </w:pPr>
    </w:p>
    <w:p w:rsidR="005E09EC" w:rsidRDefault="00D8067A" w:rsidP="0031428F">
      <w:pPr>
        <w:pStyle w:val="Heading1"/>
      </w:pPr>
      <w:bookmarkStart w:id="59" w:name="_Toc335902685"/>
      <w:bookmarkStart w:id="60" w:name="_Toc335905429"/>
      <w:bookmarkStart w:id="61" w:name="_Toc362968504"/>
      <w:r w:rsidRPr="00613957">
        <w:lastRenderedPageBreak/>
        <w:t xml:space="preserve">Appendix </w:t>
      </w:r>
      <w:r>
        <w:t>3</w:t>
      </w:r>
      <w:bookmarkEnd w:id="61"/>
    </w:p>
    <w:bookmarkEnd w:id="59"/>
    <w:bookmarkEnd w:id="60"/>
    <w:p w:rsidR="00D8067A" w:rsidRPr="005E09EC" w:rsidRDefault="00D8067A" w:rsidP="005E09EC">
      <w:pPr>
        <w:rPr>
          <w:b/>
          <w:sz w:val="24"/>
          <w:szCs w:val="24"/>
        </w:rPr>
      </w:pPr>
      <w:r w:rsidRPr="005E09EC">
        <w:rPr>
          <w:b/>
          <w:sz w:val="24"/>
          <w:szCs w:val="24"/>
        </w:rPr>
        <w:t>PBS listed pharmaceuticals (by drug) for the treatment of diseases of bone structure and mineralisation</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438"/>
        <w:gridCol w:w="1273"/>
        <w:gridCol w:w="8721"/>
        <w:gridCol w:w="1234"/>
      </w:tblGrid>
      <w:tr w:rsidR="00D8067A" w:rsidRPr="008D7982" w:rsidTr="00324A45">
        <w:tc>
          <w:tcPr>
            <w:tcW w:w="1744" w:type="dxa"/>
          </w:tcPr>
          <w:p w:rsidR="00D8067A" w:rsidRPr="008D7982" w:rsidRDefault="00D8067A" w:rsidP="008D7982">
            <w:pPr>
              <w:rPr>
                <w:rFonts w:ascii="Arial Narrow" w:hAnsi="Arial Narrow"/>
              </w:rPr>
            </w:pPr>
            <w:r w:rsidRPr="008D7982">
              <w:rPr>
                <w:rFonts w:ascii="Arial Narrow" w:hAnsi="Arial Narrow"/>
              </w:rPr>
              <w:t>Drug</w:t>
            </w:r>
          </w:p>
        </w:tc>
        <w:tc>
          <w:tcPr>
            <w:tcW w:w="1438" w:type="dxa"/>
          </w:tcPr>
          <w:p w:rsidR="00D8067A" w:rsidRPr="008D7982" w:rsidRDefault="00D8067A" w:rsidP="008D7982">
            <w:pPr>
              <w:rPr>
                <w:rFonts w:ascii="Arial Narrow" w:hAnsi="Arial Narrow"/>
              </w:rPr>
            </w:pPr>
            <w:r w:rsidRPr="008D7982">
              <w:rPr>
                <w:rFonts w:ascii="Arial Narrow" w:hAnsi="Arial Narrow"/>
              </w:rPr>
              <w:t>strength</w:t>
            </w:r>
          </w:p>
        </w:tc>
        <w:tc>
          <w:tcPr>
            <w:tcW w:w="1273" w:type="dxa"/>
          </w:tcPr>
          <w:p w:rsidR="00D8067A" w:rsidRPr="008D7982" w:rsidRDefault="00D8067A" w:rsidP="008D7982">
            <w:pPr>
              <w:rPr>
                <w:rFonts w:ascii="Arial Narrow" w:hAnsi="Arial Narrow"/>
              </w:rPr>
            </w:pPr>
            <w:r w:rsidRPr="008D7982">
              <w:rPr>
                <w:rFonts w:ascii="Arial Narrow" w:hAnsi="Arial Narrow"/>
              </w:rPr>
              <w:t>Indication code</w:t>
            </w:r>
          </w:p>
        </w:tc>
        <w:tc>
          <w:tcPr>
            <w:tcW w:w="8721" w:type="dxa"/>
          </w:tcPr>
          <w:p w:rsidR="00D8067A" w:rsidRPr="008D7982" w:rsidRDefault="00D8067A" w:rsidP="008D7982">
            <w:pPr>
              <w:rPr>
                <w:rFonts w:ascii="Arial Narrow" w:hAnsi="Arial Narrow"/>
              </w:rPr>
            </w:pPr>
            <w:r w:rsidRPr="008D7982">
              <w:rPr>
                <w:rFonts w:ascii="Arial Narrow" w:hAnsi="Arial Narrow"/>
              </w:rPr>
              <w:t>Specific indication</w:t>
            </w:r>
          </w:p>
        </w:tc>
        <w:tc>
          <w:tcPr>
            <w:tcW w:w="1234" w:type="dxa"/>
          </w:tcPr>
          <w:p w:rsidR="00D8067A" w:rsidRPr="008D7982" w:rsidRDefault="00D8067A" w:rsidP="008D7982">
            <w:pPr>
              <w:rPr>
                <w:rFonts w:ascii="Arial Narrow" w:hAnsi="Arial Narrow"/>
              </w:rPr>
            </w:pPr>
            <w:r w:rsidRPr="008D7982">
              <w:rPr>
                <w:rFonts w:ascii="Arial Narrow" w:hAnsi="Arial Narrow"/>
              </w:rPr>
              <w:t>BMD / T-score</w:t>
            </w:r>
          </w:p>
        </w:tc>
      </w:tr>
      <w:tr w:rsidR="00D8067A" w:rsidRPr="008D7982" w:rsidTr="00324A45">
        <w:tc>
          <w:tcPr>
            <w:tcW w:w="14410" w:type="dxa"/>
            <w:gridSpan w:val="5"/>
          </w:tcPr>
          <w:p w:rsidR="00D8067A" w:rsidRPr="008D7982" w:rsidRDefault="00D8067A" w:rsidP="008D7982">
            <w:pPr>
              <w:rPr>
                <w:rFonts w:ascii="Arial Narrow" w:hAnsi="Arial Narrow"/>
              </w:rPr>
            </w:pPr>
            <w:r w:rsidRPr="008D7982">
              <w:rPr>
                <w:rFonts w:ascii="Arial Narrow" w:hAnsi="Arial Narrow"/>
              </w:rPr>
              <w:t>Bisphosphonates</w:t>
            </w:r>
          </w:p>
        </w:tc>
      </w:tr>
      <w:tr w:rsidR="00D8067A" w:rsidRPr="008D7982" w:rsidTr="00324A45">
        <w:tc>
          <w:tcPr>
            <w:tcW w:w="1744" w:type="dxa"/>
            <w:vMerge w:val="restart"/>
          </w:tcPr>
          <w:p w:rsidR="00D8067A" w:rsidRPr="008D7982" w:rsidRDefault="00D8067A" w:rsidP="008D7982">
            <w:pPr>
              <w:rPr>
                <w:rFonts w:ascii="Arial Narrow" w:hAnsi="Arial Narrow"/>
              </w:rPr>
            </w:pPr>
            <w:r w:rsidRPr="008D7982">
              <w:rPr>
                <w:rFonts w:ascii="Arial Narrow" w:hAnsi="Arial Narrow"/>
              </w:rPr>
              <w:t>Alendronate Sodium</w:t>
            </w:r>
          </w:p>
        </w:tc>
        <w:tc>
          <w:tcPr>
            <w:tcW w:w="1438" w:type="dxa"/>
          </w:tcPr>
          <w:p w:rsidR="00D8067A" w:rsidRPr="008D7982" w:rsidRDefault="00D8067A" w:rsidP="00324A45">
            <w:pPr>
              <w:jc w:val="left"/>
              <w:rPr>
                <w:rFonts w:ascii="Arial Narrow" w:hAnsi="Arial Narrow"/>
              </w:rPr>
            </w:pPr>
            <w:r w:rsidRPr="008D7982">
              <w:rPr>
                <w:rFonts w:ascii="Arial Narrow" w:hAnsi="Arial Narrow"/>
              </w:rPr>
              <w:t xml:space="preserve">40 mg </w:t>
            </w:r>
            <w:proofErr w:type="spellStart"/>
            <w:r w:rsidRPr="008D7982">
              <w:rPr>
                <w:rFonts w:ascii="Arial Narrow" w:hAnsi="Arial Narrow"/>
              </w:rPr>
              <w:t>alendronic</w:t>
            </w:r>
            <w:proofErr w:type="spellEnd"/>
            <w:r w:rsidRPr="008D7982">
              <w:rPr>
                <w:rFonts w:ascii="Arial Narrow" w:hAnsi="Arial Narrow"/>
              </w:rPr>
              <w:t xml:space="preserve"> acid</w:t>
            </w:r>
          </w:p>
        </w:tc>
        <w:tc>
          <w:tcPr>
            <w:tcW w:w="1273" w:type="dxa"/>
          </w:tcPr>
          <w:p w:rsidR="00D8067A" w:rsidRPr="008D7982" w:rsidRDefault="00D8067A" w:rsidP="008D7982">
            <w:pPr>
              <w:rPr>
                <w:rFonts w:ascii="Arial Narrow" w:hAnsi="Arial Narrow"/>
              </w:rPr>
            </w:pPr>
            <w:r w:rsidRPr="008D7982">
              <w:rPr>
                <w:rFonts w:ascii="Arial Narrow" w:hAnsi="Arial Narrow"/>
              </w:rPr>
              <w:t>3256</w:t>
            </w:r>
          </w:p>
        </w:tc>
        <w:tc>
          <w:tcPr>
            <w:tcW w:w="8721" w:type="dxa"/>
          </w:tcPr>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70 mg </w:t>
            </w:r>
            <w:proofErr w:type="spellStart"/>
            <w:r w:rsidRPr="008D7982">
              <w:rPr>
                <w:rFonts w:ascii="Arial Narrow" w:hAnsi="Arial Narrow"/>
              </w:rPr>
              <w:t>alendronic</w:t>
            </w:r>
            <w:proofErr w:type="spellEnd"/>
            <w:r w:rsidRPr="008D7982">
              <w:rPr>
                <w:rFonts w:ascii="Arial Narrow" w:hAnsi="Arial Narrow"/>
              </w:rPr>
              <w:t xml:space="preserve"> acid</w:t>
            </w:r>
          </w:p>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4122</w:t>
            </w:r>
          </w:p>
          <w:p w:rsidR="00D8067A" w:rsidRPr="008D7982" w:rsidRDefault="00D8067A" w:rsidP="008D7982">
            <w:pPr>
              <w:rPr>
                <w:rFonts w:ascii="Arial Narrow" w:hAnsi="Arial Narrow"/>
              </w:rPr>
            </w:pP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Duration and dose of corticosteroid therapy together with the date, site (femoral neck or lumbar spine) and score of the qualifying BMD measurement must be documented in the patient’s medical records when treatment is initiated. </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rPr>
          <w:trHeight w:val="319"/>
        </w:trPr>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8D7982">
            <w:pPr>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4133</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Date, site (femoral neck or lumbar spine) and score of the qualifying BMD measurement must be documented in the </w:t>
            </w:r>
            <w:r w:rsidRPr="008D7982">
              <w:rPr>
                <w:rFonts w:ascii="Arial Narrow" w:hAnsi="Arial Narrow"/>
              </w:rPr>
              <w:lastRenderedPageBreak/>
              <w:t>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≤-2.5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8D7982">
            <w:pPr>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4123</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val="restart"/>
          </w:tcPr>
          <w:p w:rsidR="00D8067A" w:rsidRPr="008D7982" w:rsidRDefault="00D8067A" w:rsidP="008D7982">
            <w:pPr>
              <w:rPr>
                <w:rFonts w:ascii="Arial Narrow" w:hAnsi="Arial Narrow"/>
              </w:rPr>
            </w:pPr>
            <w:r w:rsidRPr="008D7982">
              <w:rPr>
                <w:rFonts w:ascii="Arial Narrow" w:hAnsi="Arial Narrow"/>
              </w:rPr>
              <w:t xml:space="preserve">Alendronate Sodium with </w:t>
            </w:r>
            <w:proofErr w:type="spellStart"/>
            <w:r w:rsidRPr="008D7982">
              <w:rPr>
                <w:rFonts w:ascii="Arial Narrow" w:hAnsi="Arial Narrow"/>
              </w:rPr>
              <w:t>Colecalciferol</w:t>
            </w:r>
            <w:proofErr w:type="spellEnd"/>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70 mg </w:t>
            </w:r>
            <w:proofErr w:type="spellStart"/>
            <w:r w:rsidRPr="008D7982">
              <w:rPr>
                <w:rFonts w:ascii="Arial Narrow" w:hAnsi="Arial Narrow"/>
              </w:rPr>
              <w:t>alendronic</w:t>
            </w:r>
            <w:proofErr w:type="spellEnd"/>
            <w:r w:rsidRPr="008D7982">
              <w:rPr>
                <w:rFonts w:ascii="Arial Narrow" w:hAnsi="Arial Narrow"/>
              </w:rPr>
              <w:t xml:space="preserve"> acid + </w:t>
            </w:r>
          </w:p>
          <w:p w:rsidR="00D8067A" w:rsidRPr="008D7982" w:rsidRDefault="00D8067A" w:rsidP="00324A45">
            <w:pPr>
              <w:jc w:val="left"/>
              <w:rPr>
                <w:rFonts w:ascii="Arial Narrow" w:hAnsi="Arial Narrow"/>
              </w:rPr>
            </w:pPr>
            <w:r w:rsidRPr="008D7982">
              <w:rPr>
                <w:rFonts w:ascii="Arial Narrow" w:hAnsi="Arial Narrow"/>
              </w:rPr>
              <w:t xml:space="preserve">70 micrograms </w:t>
            </w:r>
            <w:proofErr w:type="spellStart"/>
            <w:r w:rsidRPr="008D7982">
              <w:rPr>
                <w:rFonts w:ascii="Arial Narrow" w:hAnsi="Arial Narrow"/>
              </w:rPr>
              <w:t>colecalciferol</w:t>
            </w:r>
            <w:proofErr w:type="spellEnd"/>
          </w:p>
        </w:tc>
        <w:tc>
          <w:tcPr>
            <w:tcW w:w="1273" w:type="dxa"/>
          </w:tcPr>
          <w:p w:rsidR="00D8067A" w:rsidRPr="008D7982" w:rsidRDefault="00D8067A" w:rsidP="008D7982">
            <w:pPr>
              <w:rPr>
                <w:rFonts w:ascii="Arial Narrow" w:hAnsi="Arial Narrow"/>
              </w:rPr>
            </w:pPr>
            <w:r w:rsidRPr="008D7982">
              <w:rPr>
                <w:rFonts w:ascii="Arial Narrow" w:hAnsi="Arial Narrow"/>
              </w:rPr>
              <w:t>N/A</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≥7.5 mg of prednisone or equivalent per day. Prescribers need to demonstrate that the patient has been on continuous therapy for≥ 3 months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4070</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4087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≤-2.5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4087</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70 mg + </w:t>
            </w:r>
          </w:p>
          <w:p w:rsidR="00D8067A" w:rsidRPr="008D7982" w:rsidRDefault="00D8067A" w:rsidP="00324A45">
            <w:pPr>
              <w:jc w:val="left"/>
              <w:rPr>
                <w:rFonts w:ascii="Arial Narrow" w:hAnsi="Arial Narrow"/>
              </w:rPr>
            </w:pPr>
            <w:r w:rsidRPr="008D7982">
              <w:rPr>
                <w:rFonts w:ascii="Arial Narrow" w:hAnsi="Arial Narrow"/>
              </w:rPr>
              <w:t xml:space="preserve">140 </w:t>
            </w:r>
            <w:proofErr w:type="spellStart"/>
            <w:r w:rsidRPr="008D7982">
              <w:rPr>
                <w:rFonts w:ascii="Arial Narrow" w:hAnsi="Arial Narrow"/>
              </w:rPr>
              <w:t>microg</w:t>
            </w:r>
            <w:proofErr w:type="spellEnd"/>
          </w:p>
        </w:tc>
        <w:tc>
          <w:tcPr>
            <w:tcW w:w="1273" w:type="dxa"/>
          </w:tcPr>
          <w:p w:rsidR="00D8067A" w:rsidRPr="008D7982" w:rsidRDefault="00D8067A" w:rsidP="008D7982">
            <w:pPr>
              <w:rPr>
                <w:rFonts w:ascii="Arial Narrow" w:hAnsi="Arial Narrow"/>
              </w:rPr>
            </w:pPr>
            <w:r w:rsidRPr="008D7982">
              <w:rPr>
                <w:rFonts w:ascii="Arial Narrow" w:hAnsi="Arial Narrow"/>
              </w:rPr>
              <w:t>N/A</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≥7.5 mg of prednisone or equivalent per day. Prescribers need to demonstrate that the patient has been on continuous therapy for≥ 3 months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4133</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≤-2.5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val="restart"/>
          </w:tcPr>
          <w:p w:rsidR="00D8067A" w:rsidRPr="008D7982" w:rsidRDefault="00D8067A" w:rsidP="008D7982">
            <w:pPr>
              <w:rPr>
                <w:rFonts w:ascii="Arial Narrow" w:hAnsi="Arial Narrow"/>
              </w:rPr>
            </w:pPr>
            <w:r w:rsidRPr="008D7982">
              <w:rPr>
                <w:rFonts w:ascii="Arial Narrow" w:hAnsi="Arial Narrow"/>
              </w:rPr>
              <w:lastRenderedPageBreak/>
              <w:t xml:space="preserve">Alendronate Sodium with </w:t>
            </w:r>
            <w:proofErr w:type="spellStart"/>
            <w:r w:rsidRPr="008D7982">
              <w:rPr>
                <w:rFonts w:ascii="Arial Narrow" w:hAnsi="Arial Narrow"/>
              </w:rPr>
              <w:t>Colecalciferol</w:t>
            </w:r>
            <w:proofErr w:type="spellEnd"/>
            <w:r w:rsidRPr="008D7982">
              <w:rPr>
                <w:rFonts w:ascii="Arial Narrow" w:hAnsi="Arial Narrow"/>
              </w:rPr>
              <w:t xml:space="preserve"> and Calcium Carbonate</w:t>
            </w: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70 mg + 140 </w:t>
            </w:r>
            <w:proofErr w:type="spellStart"/>
            <w:r w:rsidRPr="008D7982">
              <w:rPr>
                <w:rFonts w:ascii="Arial Narrow" w:hAnsi="Arial Narrow"/>
              </w:rPr>
              <w:t>microg</w:t>
            </w:r>
            <w:proofErr w:type="spellEnd"/>
            <w:r w:rsidRPr="008D7982">
              <w:rPr>
                <w:rFonts w:ascii="Arial Narrow" w:hAnsi="Arial Narrow"/>
              </w:rPr>
              <w:t xml:space="preserve"> + 500 mg</w:t>
            </w:r>
          </w:p>
        </w:tc>
        <w:tc>
          <w:tcPr>
            <w:tcW w:w="1273" w:type="dxa"/>
          </w:tcPr>
          <w:p w:rsidR="00D8067A" w:rsidRPr="008D7982" w:rsidRDefault="00D8067A" w:rsidP="008D7982">
            <w:pPr>
              <w:rPr>
                <w:rFonts w:ascii="Arial Narrow" w:hAnsi="Arial Narrow"/>
              </w:rPr>
            </w:pPr>
            <w:r w:rsidRPr="008D7982">
              <w:rPr>
                <w:rFonts w:ascii="Arial Narrow" w:hAnsi="Arial Narrow"/>
              </w:rPr>
              <w:t>N/A</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≥7.5 mg of prednisone or equivalent per day. Prescribers need to demonstrate that the patient has been on continuous therapy for≥ 3 months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4133</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≤-2.5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w:t>
            </w:r>
            <w:r w:rsidRPr="008D7982">
              <w:rPr>
                <w:rFonts w:ascii="Arial Narrow" w:hAnsi="Arial Narrow"/>
              </w:rPr>
              <w:lastRenderedPageBreak/>
              <w:t>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val="restart"/>
          </w:tcPr>
          <w:p w:rsidR="00D8067A" w:rsidRPr="008D7982" w:rsidRDefault="00D8067A" w:rsidP="008D7982">
            <w:pPr>
              <w:rPr>
                <w:rFonts w:ascii="Arial Narrow" w:hAnsi="Arial Narrow"/>
              </w:rPr>
            </w:pPr>
            <w:proofErr w:type="spellStart"/>
            <w:r w:rsidRPr="008D7982">
              <w:rPr>
                <w:rFonts w:ascii="Arial Narrow" w:hAnsi="Arial Narrow"/>
              </w:rPr>
              <w:lastRenderedPageBreak/>
              <w:t>Risedronate</w:t>
            </w:r>
            <w:proofErr w:type="spellEnd"/>
            <w:r w:rsidRPr="008D7982">
              <w:rPr>
                <w:rFonts w:ascii="Arial Narrow" w:hAnsi="Arial Narrow"/>
              </w:rPr>
              <w:t xml:space="preserve"> Sodium</w:t>
            </w: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5 mg</w:t>
            </w:r>
          </w:p>
        </w:tc>
        <w:tc>
          <w:tcPr>
            <w:tcW w:w="1273" w:type="dxa"/>
          </w:tcPr>
          <w:p w:rsidR="00D8067A" w:rsidRPr="008D7982" w:rsidRDefault="00D8067A" w:rsidP="008D7982">
            <w:pPr>
              <w:rPr>
                <w:rFonts w:ascii="Arial Narrow" w:hAnsi="Arial Narrow"/>
              </w:rPr>
            </w:pPr>
            <w:r w:rsidRPr="008D7982">
              <w:rPr>
                <w:rFonts w:ascii="Arial Narrow" w:hAnsi="Arial Narrow"/>
              </w:rPr>
              <w:t>N/R</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≥7.5 mg of prednisone or equivalent per day. Prescribers need to demonstrate that the patient has been on continuous therapy for≥ 3 months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 xml:space="preserve">≤-1.5 </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w:t>
            </w:r>
            <w:r w:rsidRPr="008D7982">
              <w:rPr>
                <w:rFonts w:ascii="Arial Narrow" w:hAnsi="Arial Narrow"/>
              </w:rPr>
              <w:lastRenderedPageBreak/>
              <w:t>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30 mg</w:t>
            </w:r>
          </w:p>
        </w:tc>
        <w:tc>
          <w:tcPr>
            <w:tcW w:w="1273" w:type="dxa"/>
          </w:tcPr>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35 mg </w:t>
            </w:r>
          </w:p>
        </w:tc>
        <w:tc>
          <w:tcPr>
            <w:tcW w:w="1273" w:type="dxa"/>
          </w:tcPr>
          <w:p w:rsidR="00D8067A" w:rsidRPr="008D7982" w:rsidRDefault="00D8067A" w:rsidP="008D7982">
            <w:pPr>
              <w:rPr>
                <w:rFonts w:ascii="Arial Narrow" w:hAnsi="Arial Narrow"/>
              </w:rPr>
            </w:pPr>
            <w:r w:rsidRPr="008D7982">
              <w:rPr>
                <w:rFonts w:ascii="Arial Narrow" w:hAnsi="Arial Narrow"/>
              </w:rPr>
              <w:t>N/R</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Tablet 35 mg (enteric coated)</w:t>
            </w:r>
          </w:p>
        </w:tc>
        <w:tc>
          <w:tcPr>
            <w:tcW w:w="1273" w:type="dxa"/>
          </w:tcPr>
          <w:p w:rsidR="00D8067A" w:rsidRPr="008D7982" w:rsidRDefault="00D8067A" w:rsidP="008D7982">
            <w:pPr>
              <w:rPr>
                <w:rFonts w:ascii="Arial Narrow" w:hAnsi="Arial Narrow"/>
              </w:rPr>
            </w:pPr>
            <w:r w:rsidRPr="008D7982">
              <w:rPr>
                <w:rFonts w:ascii="Arial Narrow" w:hAnsi="Arial Narrow"/>
              </w:rPr>
              <w:t>N/A</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150 mg</w:t>
            </w: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lastRenderedPageBreak/>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val="restart"/>
          </w:tcPr>
          <w:p w:rsidR="00D8067A" w:rsidRPr="008D7982" w:rsidRDefault="00D8067A" w:rsidP="008D7982">
            <w:pPr>
              <w:rPr>
                <w:rFonts w:ascii="Arial Narrow" w:hAnsi="Arial Narrow"/>
              </w:rPr>
            </w:pPr>
            <w:proofErr w:type="spellStart"/>
            <w:r w:rsidRPr="008D7982">
              <w:rPr>
                <w:rFonts w:ascii="Arial Narrow" w:hAnsi="Arial Narrow"/>
              </w:rPr>
              <w:lastRenderedPageBreak/>
              <w:t>Risedronate</w:t>
            </w:r>
            <w:proofErr w:type="spellEnd"/>
            <w:r w:rsidRPr="008D7982">
              <w:rPr>
                <w:rFonts w:ascii="Arial Narrow" w:hAnsi="Arial Narrow"/>
              </w:rPr>
              <w:t xml:space="preserve"> Sodium and Calcium Carbonate</w:t>
            </w: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35 mg + 500 mg</w:t>
            </w:r>
          </w:p>
        </w:tc>
        <w:tc>
          <w:tcPr>
            <w:tcW w:w="1273" w:type="dxa"/>
          </w:tcPr>
          <w:p w:rsidR="00D8067A" w:rsidRPr="008D7982" w:rsidRDefault="00D8067A" w:rsidP="008D7982">
            <w:pPr>
              <w:rPr>
                <w:rFonts w:ascii="Arial Narrow" w:hAnsi="Arial Narrow"/>
              </w:rPr>
            </w:pPr>
            <w:r w:rsidRPr="008D7982">
              <w:rPr>
                <w:rFonts w:ascii="Arial Narrow" w:hAnsi="Arial Narrow"/>
              </w:rPr>
              <w:t>N/R</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lastRenderedPageBreak/>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35 mg + 1.25g (enteric coated)</w:t>
            </w:r>
          </w:p>
        </w:tc>
        <w:tc>
          <w:tcPr>
            <w:tcW w:w="1273" w:type="dxa"/>
          </w:tcPr>
          <w:p w:rsidR="00D8067A" w:rsidRPr="008D7982" w:rsidRDefault="00D8067A" w:rsidP="008D7982">
            <w:pPr>
              <w:rPr>
                <w:rFonts w:ascii="Arial Narrow" w:hAnsi="Arial Narrow"/>
              </w:rPr>
            </w:pPr>
            <w:r w:rsidRPr="008D7982">
              <w:rPr>
                <w:rFonts w:ascii="Arial Narrow" w:hAnsi="Arial Narrow"/>
              </w:rPr>
              <w:t>N/A</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lastRenderedPageBreak/>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vMerge w:val="restart"/>
          </w:tcPr>
          <w:p w:rsidR="00D8067A" w:rsidRPr="008D7982" w:rsidRDefault="00D8067A" w:rsidP="008D7982">
            <w:pPr>
              <w:rPr>
                <w:rFonts w:ascii="Arial Narrow" w:hAnsi="Arial Narrow"/>
              </w:rPr>
            </w:pPr>
            <w:proofErr w:type="spellStart"/>
            <w:r w:rsidRPr="008D7982">
              <w:rPr>
                <w:rFonts w:ascii="Arial Narrow" w:hAnsi="Arial Narrow"/>
              </w:rPr>
              <w:lastRenderedPageBreak/>
              <w:t>Risedronate</w:t>
            </w:r>
            <w:proofErr w:type="spellEnd"/>
            <w:r w:rsidRPr="008D7982">
              <w:rPr>
                <w:rFonts w:ascii="Arial Narrow" w:hAnsi="Arial Narrow"/>
              </w:rPr>
              <w:t xml:space="preserve"> Sodium and Calcium Carbonate with </w:t>
            </w:r>
            <w:proofErr w:type="spellStart"/>
            <w:r w:rsidRPr="008D7982">
              <w:rPr>
                <w:rFonts w:ascii="Arial Narrow" w:hAnsi="Arial Narrow"/>
              </w:rPr>
              <w:t>Colecalciferol</w:t>
            </w:r>
            <w:proofErr w:type="spellEnd"/>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35 mg + 2.5 g + 22 </w:t>
            </w:r>
            <w:proofErr w:type="spellStart"/>
            <w:r w:rsidRPr="008D7982">
              <w:rPr>
                <w:rFonts w:ascii="Arial Narrow" w:hAnsi="Arial Narrow"/>
              </w:rPr>
              <w:t>microg</w:t>
            </w:r>
            <w:proofErr w:type="spellEnd"/>
          </w:p>
        </w:tc>
        <w:tc>
          <w:tcPr>
            <w:tcW w:w="1273" w:type="dxa"/>
          </w:tcPr>
          <w:p w:rsidR="00D8067A" w:rsidRPr="008D7982" w:rsidRDefault="00D8067A" w:rsidP="008D7982">
            <w:pPr>
              <w:rPr>
                <w:rFonts w:ascii="Arial Narrow" w:hAnsi="Arial Narrow"/>
              </w:rPr>
            </w:pPr>
            <w:r w:rsidRPr="008D7982">
              <w:rPr>
                <w:rFonts w:ascii="Arial Narrow" w:hAnsi="Arial Narrow"/>
              </w:rPr>
              <w:t xml:space="preserve"> N/R</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For preservation of bone mineral density in patients on long-term glucocorticoid therapy where patients are undergoing continuous treatment with a dose equal to or greater than 7.5 mg of prednisone or equivalent per day. </w:t>
            </w:r>
          </w:p>
          <w:p w:rsidR="00D8067A" w:rsidRPr="008D7982" w:rsidRDefault="00D8067A" w:rsidP="008D7982">
            <w:pPr>
              <w:rPr>
                <w:rFonts w:ascii="Arial Narrow" w:hAnsi="Arial Narrow"/>
              </w:rPr>
            </w:pPr>
            <w:r w:rsidRPr="008D7982">
              <w:rPr>
                <w:rFonts w:ascii="Arial Narrow" w:hAnsi="Arial Narrow"/>
              </w:rPr>
              <w:t xml:space="preserve">Prescribers need to demonstrate that the patient has been on continuous therapy for 3 months or more and demonstrate that the patient is </w:t>
            </w:r>
            <w:proofErr w:type="spellStart"/>
            <w:r w:rsidRPr="008D7982">
              <w:rPr>
                <w:rFonts w:ascii="Arial Narrow" w:hAnsi="Arial Narrow"/>
              </w:rPr>
              <w:t>osteopenic</w:t>
            </w:r>
            <w:proofErr w:type="spellEnd"/>
            <w:r w:rsidRPr="008D7982">
              <w:rPr>
                <w:rFonts w:ascii="Arial Narrow" w:hAnsi="Arial Narrow"/>
              </w:rPr>
              <w:t>.</w:t>
            </w:r>
          </w:p>
        </w:tc>
        <w:tc>
          <w:tcPr>
            <w:tcW w:w="1234" w:type="dxa"/>
          </w:tcPr>
          <w:p w:rsidR="00D8067A" w:rsidRPr="008D7982" w:rsidRDefault="00D8067A" w:rsidP="008D7982">
            <w:pPr>
              <w:rPr>
                <w:rFonts w:ascii="Arial Narrow" w:hAnsi="Arial Narrow"/>
              </w:rPr>
            </w:pPr>
            <w:r w:rsidRPr="008D7982">
              <w:rPr>
                <w:rFonts w:ascii="Arial Narrow" w:hAnsi="Arial Narrow"/>
              </w:rPr>
              <w:t>&lt;-1.0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4122 </w:t>
            </w:r>
          </w:p>
        </w:tc>
        <w:tc>
          <w:tcPr>
            <w:tcW w:w="8721" w:type="dxa"/>
          </w:tcPr>
          <w:p w:rsidR="00D8067A" w:rsidRPr="008D7982" w:rsidRDefault="00D8067A" w:rsidP="008D7982">
            <w:pPr>
              <w:rPr>
                <w:rFonts w:ascii="Arial Narrow" w:hAnsi="Arial Narrow"/>
              </w:rPr>
            </w:pPr>
            <w:r w:rsidRPr="008D7982">
              <w:rPr>
                <w:rFonts w:ascii="Arial Narrow" w:hAnsi="Arial Narrow"/>
              </w:rPr>
              <w:t>Corticosteroid-induced osteoporosis in a patient currently on long-term (≥ 3 months), high-dose (7.5 mg/day prednisolone or equivalent) corticosteroid therapy.</w:t>
            </w:r>
          </w:p>
        </w:tc>
        <w:tc>
          <w:tcPr>
            <w:tcW w:w="1234" w:type="dxa"/>
          </w:tcPr>
          <w:p w:rsidR="00D8067A" w:rsidRPr="008D7982" w:rsidRDefault="00D8067A" w:rsidP="008D7982">
            <w:pPr>
              <w:rPr>
                <w:rFonts w:ascii="Arial Narrow" w:hAnsi="Arial Narrow"/>
              </w:rPr>
            </w:pPr>
            <w:r w:rsidRPr="008D7982">
              <w:rPr>
                <w:rFonts w:ascii="Arial Narrow" w:hAnsi="Arial Narrow"/>
              </w:rPr>
              <w:t>≤-1.5</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4117</w:t>
            </w:r>
          </w:p>
        </w:tc>
        <w:tc>
          <w:tcPr>
            <w:tcW w:w="8721" w:type="dxa"/>
          </w:tcPr>
          <w:p w:rsidR="00D8067A" w:rsidRPr="008D7982" w:rsidRDefault="00D8067A" w:rsidP="008D7982">
            <w:pPr>
              <w:rPr>
                <w:rFonts w:ascii="Arial Narrow" w:hAnsi="Arial Narrow"/>
              </w:rPr>
            </w:pPr>
            <w:r w:rsidRPr="008D7982">
              <w:rPr>
                <w:rFonts w:ascii="Arial Narrow" w:hAnsi="Arial Narrow"/>
              </w:rPr>
              <w:t>Osteoporosis in a patient aged 70 years or older.</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8D7982">
            <w:pPr>
              <w:rPr>
                <w:rFonts w:ascii="Arial Narrow" w:hAnsi="Arial Narrow"/>
              </w:rPr>
            </w:pPr>
            <w:r w:rsidRPr="008D7982">
              <w:rPr>
                <w:rFonts w:ascii="Arial Narrow" w:hAnsi="Arial Narrow"/>
              </w:rPr>
              <w:t>Date, site (femoral neck or lumbar spine) and score of the qualifying BMD measurement must be documented in the patient’s medical records when treatment is initiated.</w:t>
            </w:r>
          </w:p>
        </w:tc>
        <w:tc>
          <w:tcPr>
            <w:tcW w:w="1234" w:type="dxa"/>
          </w:tcPr>
          <w:p w:rsidR="00D8067A" w:rsidRPr="008D7982" w:rsidRDefault="00D8067A" w:rsidP="008D7982">
            <w:pPr>
              <w:rPr>
                <w:rFonts w:ascii="Arial Narrow" w:hAnsi="Arial Narrow"/>
              </w:rPr>
            </w:pPr>
            <w:r w:rsidRPr="008D7982">
              <w:rPr>
                <w:rFonts w:ascii="Arial Narrow" w:hAnsi="Arial Narrow"/>
              </w:rPr>
              <w:t>≤-3.0</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4123 </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a patient with fracture due to minimal trauma.</w:t>
            </w:r>
          </w:p>
          <w:p w:rsidR="00D8067A" w:rsidRPr="008D7982" w:rsidRDefault="00D8067A" w:rsidP="008D7982">
            <w:pPr>
              <w:rPr>
                <w:rFonts w:ascii="Arial Narrow" w:hAnsi="Arial Narrow"/>
              </w:rPr>
            </w:pPr>
          </w:p>
          <w:p w:rsidR="00D8067A" w:rsidRPr="008D7982" w:rsidRDefault="00D8067A" w:rsidP="008D7982">
            <w:pPr>
              <w:rPr>
                <w:rFonts w:ascii="Arial Narrow" w:hAnsi="Arial Narrow"/>
              </w:rPr>
            </w:pPr>
            <w:r w:rsidRPr="008D7982">
              <w:rPr>
                <w:rFonts w:ascii="Arial Narrow" w:hAnsi="Arial Narrow"/>
              </w:rPr>
              <w:t>Patient must not receive concomitant treatment with any other PBS-subscribed anti-</w:t>
            </w:r>
            <w:proofErr w:type="spellStart"/>
            <w:r w:rsidRPr="008D7982">
              <w:rPr>
                <w:rFonts w:ascii="Arial Narrow" w:hAnsi="Arial Narrow"/>
              </w:rPr>
              <w:t>resorptive</w:t>
            </w:r>
            <w:proofErr w:type="spellEnd"/>
            <w:r w:rsidRPr="008D7982">
              <w:rPr>
                <w:rFonts w:ascii="Arial Narrow" w:hAnsi="Arial Narrow"/>
              </w:rPr>
              <w:t xml:space="preserve"> agent for this </w:t>
            </w:r>
            <w:r w:rsidRPr="008D7982">
              <w:rPr>
                <w:rFonts w:ascii="Arial Narrow" w:hAnsi="Arial Narrow"/>
              </w:rPr>
              <w:lastRenderedPageBreak/>
              <w:t>condition.</w:t>
            </w:r>
          </w:p>
          <w:p w:rsidR="00D8067A" w:rsidRPr="008D7982" w:rsidRDefault="00D8067A" w:rsidP="008D7982">
            <w:pPr>
              <w:rPr>
                <w:rFonts w:ascii="Arial Narrow" w:hAnsi="Arial Narrow"/>
              </w:rPr>
            </w:pPr>
            <w:r w:rsidRPr="008D7982">
              <w:rPr>
                <w:rFonts w:ascii="Arial Narrow" w:hAnsi="Arial Narrow"/>
              </w:rPr>
              <w:t xml:space="preserve">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CT or MRI scan must be documented in the patient’s medical records when treatment is initiated. </w:t>
            </w:r>
          </w:p>
          <w:p w:rsidR="00D8067A" w:rsidRPr="008D7982" w:rsidRDefault="00D8067A" w:rsidP="008D7982">
            <w:pPr>
              <w:rPr>
                <w:rFonts w:ascii="Arial Narrow" w:hAnsi="Arial Narrow"/>
              </w:rPr>
            </w:pPr>
            <w:r w:rsidRPr="008D7982">
              <w:rPr>
                <w:rFonts w:ascii="Arial Narrow" w:hAnsi="Arial Narrow"/>
              </w:rPr>
              <w:t>A vertebral fracture is defined as a ≥20% reduction in height of the anterior or mid portion of a vertebral body relative to the posterior height of that body or a ≥ 20% reduction in any of these heights compared to the vertebral body above or below the affected vertebral body</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rPr>
          <w:trHeight w:val="405"/>
        </w:trPr>
        <w:tc>
          <w:tcPr>
            <w:tcW w:w="1744" w:type="dxa"/>
            <w:vMerge w:val="restart"/>
          </w:tcPr>
          <w:p w:rsidR="00D8067A" w:rsidRPr="008D7982" w:rsidRDefault="00D8067A" w:rsidP="008D7982">
            <w:pPr>
              <w:rPr>
                <w:rFonts w:ascii="Arial Narrow" w:hAnsi="Arial Narrow"/>
              </w:rPr>
            </w:pPr>
            <w:r w:rsidRPr="008D7982">
              <w:rPr>
                <w:rFonts w:ascii="Arial Narrow" w:hAnsi="Arial Narrow"/>
              </w:rPr>
              <w:lastRenderedPageBreak/>
              <w:t xml:space="preserve">Disodium </w:t>
            </w:r>
            <w:proofErr w:type="spellStart"/>
            <w:r w:rsidRPr="008D7982">
              <w:rPr>
                <w:rFonts w:ascii="Arial Narrow" w:hAnsi="Arial Narrow"/>
              </w:rPr>
              <w:t>Etidronate</w:t>
            </w:r>
            <w:proofErr w:type="spellEnd"/>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200 mg</w:t>
            </w:r>
          </w:p>
        </w:tc>
        <w:tc>
          <w:tcPr>
            <w:tcW w:w="1273" w:type="dxa"/>
          </w:tcPr>
          <w:p w:rsidR="00D8067A" w:rsidRPr="008D7982" w:rsidRDefault="00D8067A" w:rsidP="008D7982">
            <w:pPr>
              <w:rPr>
                <w:rFonts w:ascii="Arial Narrow" w:hAnsi="Arial Narrow"/>
              </w:rPr>
            </w:pPr>
            <w:r w:rsidRPr="008D7982">
              <w:rPr>
                <w:rFonts w:ascii="Arial Narrow" w:hAnsi="Arial Narrow"/>
              </w:rPr>
              <w:t xml:space="preserve">3257 </w:t>
            </w:r>
          </w:p>
          <w:p w:rsidR="00D8067A" w:rsidRPr="008D7982" w:rsidRDefault="00D8067A" w:rsidP="008D7982">
            <w:pPr>
              <w:rPr>
                <w:rFonts w:ascii="Arial Narrow" w:hAnsi="Arial Narrow"/>
              </w:rPr>
            </w:pPr>
          </w:p>
        </w:tc>
        <w:tc>
          <w:tcPr>
            <w:tcW w:w="8721" w:type="dxa"/>
          </w:tcPr>
          <w:p w:rsidR="00D8067A" w:rsidRPr="008D7982" w:rsidRDefault="00D8067A" w:rsidP="008D7982">
            <w:pPr>
              <w:rPr>
                <w:rFonts w:ascii="Arial Narrow" w:hAnsi="Arial Narrow"/>
              </w:rPr>
            </w:pPr>
            <w:r w:rsidRPr="008D7982">
              <w:rPr>
                <w:rFonts w:ascii="Arial Narrow" w:hAnsi="Arial Narrow"/>
              </w:rPr>
              <w:t>Paget disease of bone when calcitonin has been found to be unsatisfactory due to lack of efficacy</w:t>
            </w:r>
          </w:p>
        </w:tc>
        <w:tc>
          <w:tcPr>
            <w:tcW w:w="1234" w:type="dxa"/>
            <w:vMerge w:val="restart"/>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rPr>
          <w:trHeight w:val="180"/>
        </w:trPr>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3258</w:t>
            </w:r>
          </w:p>
        </w:tc>
        <w:tc>
          <w:tcPr>
            <w:tcW w:w="8721" w:type="dxa"/>
          </w:tcPr>
          <w:p w:rsidR="00D8067A" w:rsidRPr="008D7982" w:rsidRDefault="00D8067A" w:rsidP="008D7982">
            <w:pPr>
              <w:rPr>
                <w:rFonts w:ascii="Arial Narrow" w:hAnsi="Arial Narrow"/>
              </w:rPr>
            </w:pPr>
            <w:r w:rsidRPr="008D7982">
              <w:rPr>
                <w:rFonts w:ascii="Arial Narrow" w:hAnsi="Arial Narrow"/>
              </w:rPr>
              <w:t>Paget disease of bone when calcitonin has been found to be unsatisfactory due to unacceptable side effects</w:t>
            </w:r>
          </w:p>
        </w:tc>
        <w:tc>
          <w:tcPr>
            <w:tcW w:w="1234" w:type="dxa"/>
            <w:vMerge/>
          </w:tcPr>
          <w:p w:rsidR="00D8067A" w:rsidRPr="008D7982" w:rsidRDefault="00D8067A" w:rsidP="008D7982">
            <w:pPr>
              <w:rPr>
                <w:rFonts w:ascii="Arial Narrow" w:hAnsi="Arial Narrow"/>
              </w:rPr>
            </w:pPr>
          </w:p>
        </w:tc>
      </w:tr>
      <w:tr w:rsidR="00D8067A" w:rsidRPr="008D7982" w:rsidTr="00324A45">
        <w:trPr>
          <w:trHeight w:val="274"/>
        </w:trPr>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1153</w:t>
            </w:r>
          </w:p>
        </w:tc>
        <w:tc>
          <w:tcPr>
            <w:tcW w:w="8721" w:type="dxa"/>
          </w:tcPr>
          <w:p w:rsidR="00D8067A" w:rsidRPr="008D7982" w:rsidRDefault="00D8067A" w:rsidP="008D7982">
            <w:pPr>
              <w:rPr>
                <w:rFonts w:ascii="Arial Narrow" w:hAnsi="Arial Narrow"/>
              </w:rPr>
            </w:pPr>
            <w:r w:rsidRPr="008D7982">
              <w:rPr>
                <w:rFonts w:ascii="Arial Narrow" w:hAnsi="Arial Narrow"/>
              </w:rPr>
              <w:t>Heterotopic ossification</w:t>
            </w:r>
          </w:p>
        </w:tc>
        <w:tc>
          <w:tcPr>
            <w:tcW w:w="1234" w:type="dxa"/>
            <w:vMerge/>
          </w:tcPr>
          <w:p w:rsidR="00D8067A" w:rsidRPr="008D7982" w:rsidRDefault="00D8067A" w:rsidP="008D7982">
            <w:pPr>
              <w:rPr>
                <w:rFonts w:ascii="Arial Narrow" w:hAnsi="Arial Narrow"/>
              </w:rPr>
            </w:pPr>
          </w:p>
        </w:tc>
      </w:tr>
      <w:tr w:rsidR="00D8067A" w:rsidRPr="008D7982" w:rsidTr="00324A45">
        <w:tc>
          <w:tcPr>
            <w:tcW w:w="1744" w:type="dxa"/>
          </w:tcPr>
          <w:p w:rsidR="00D8067A" w:rsidRPr="008D7982" w:rsidRDefault="00D8067A" w:rsidP="008D7982">
            <w:pPr>
              <w:rPr>
                <w:rFonts w:ascii="Arial Narrow" w:hAnsi="Arial Narrow"/>
              </w:rPr>
            </w:pPr>
            <w:r w:rsidRPr="008D7982">
              <w:rPr>
                <w:rFonts w:ascii="Arial Narrow" w:hAnsi="Arial Narrow"/>
              </w:rPr>
              <w:t xml:space="preserve">Disodium </w:t>
            </w:r>
            <w:proofErr w:type="spellStart"/>
            <w:r w:rsidRPr="008D7982">
              <w:rPr>
                <w:rFonts w:ascii="Arial Narrow" w:hAnsi="Arial Narrow"/>
              </w:rPr>
              <w:t>Etidronate</w:t>
            </w:r>
            <w:proofErr w:type="spellEnd"/>
            <w:r w:rsidRPr="008D7982">
              <w:rPr>
                <w:rFonts w:ascii="Arial Narrow" w:hAnsi="Arial Narrow"/>
              </w:rPr>
              <w:t xml:space="preserve"> and Calcium Carbonate</w:t>
            </w:r>
          </w:p>
        </w:tc>
        <w:tc>
          <w:tcPr>
            <w:tcW w:w="1438" w:type="dxa"/>
          </w:tcPr>
          <w:p w:rsidR="00D8067A" w:rsidRPr="008D7982" w:rsidRDefault="00D8067A" w:rsidP="00324A45">
            <w:pPr>
              <w:jc w:val="left"/>
              <w:rPr>
                <w:rFonts w:ascii="Arial Narrow" w:hAnsi="Arial Narrow"/>
              </w:rPr>
            </w:pPr>
            <w:r w:rsidRPr="008D7982">
              <w:rPr>
                <w:rFonts w:ascii="Arial Narrow" w:hAnsi="Arial Narrow"/>
              </w:rPr>
              <w:t>200 mg + 1.25g</w:t>
            </w:r>
          </w:p>
        </w:tc>
        <w:tc>
          <w:tcPr>
            <w:tcW w:w="1273" w:type="dxa"/>
          </w:tcPr>
          <w:p w:rsidR="00D8067A" w:rsidRPr="008D7982" w:rsidRDefault="00D8067A" w:rsidP="008D7982">
            <w:pPr>
              <w:rPr>
                <w:rFonts w:ascii="Arial Narrow" w:hAnsi="Arial Narrow"/>
              </w:rPr>
            </w:pPr>
            <w:r w:rsidRPr="008D7982">
              <w:rPr>
                <w:rFonts w:ascii="Arial Narrow" w:hAnsi="Arial Narrow"/>
              </w:rPr>
              <w:t>2646</w:t>
            </w:r>
          </w:p>
        </w:tc>
        <w:tc>
          <w:tcPr>
            <w:tcW w:w="8721" w:type="dxa"/>
          </w:tcPr>
          <w:p w:rsidR="00D8067A" w:rsidRPr="008D7982" w:rsidRDefault="00D8067A" w:rsidP="008D7982">
            <w:pPr>
              <w:rPr>
                <w:rFonts w:ascii="Arial Narrow" w:hAnsi="Arial Narrow"/>
              </w:rPr>
            </w:pPr>
            <w:r w:rsidRPr="008D7982">
              <w:rPr>
                <w:rFonts w:ascii="Arial Narrow" w:hAnsi="Arial Narrow"/>
              </w:rPr>
              <w:t>Established osteoporosis in patients with fracture due to minimal trauma</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val="restart"/>
          </w:tcPr>
          <w:p w:rsidR="00D8067A" w:rsidRPr="008D7982" w:rsidRDefault="00D8067A" w:rsidP="008D7982">
            <w:pPr>
              <w:rPr>
                <w:rFonts w:ascii="Arial Narrow" w:hAnsi="Arial Narrow"/>
              </w:rPr>
            </w:pPr>
            <w:proofErr w:type="spellStart"/>
            <w:r w:rsidRPr="008D7982">
              <w:rPr>
                <w:rFonts w:ascii="Arial Narrow" w:hAnsi="Arial Narrow"/>
              </w:rPr>
              <w:t>Dosodium</w:t>
            </w:r>
            <w:proofErr w:type="spellEnd"/>
            <w:r w:rsidRPr="008D7982">
              <w:rPr>
                <w:rFonts w:ascii="Arial Narrow" w:hAnsi="Arial Narrow"/>
              </w:rPr>
              <w:t xml:space="preserve"> </w:t>
            </w:r>
            <w:proofErr w:type="spellStart"/>
            <w:r w:rsidRPr="008D7982">
              <w:rPr>
                <w:rFonts w:ascii="Arial Narrow" w:hAnsi="Arial Narrow"/>
              </w:rPr>
              <w:t>Pamidronate</w:t>
            </w:r>
            <w:proofErr w:type="spellEnd"/>
          </w:p>
        </w:tc>
        <w:tc>
          <w:tcPr>
            <w:tcW w:w="1438" w:type="dxa"/>
          </w:tcPr>
          <w:p w:rsidR="00D8067A" w:rsidRPr="008D7982" w:rsidRDefault="00D8067A" w:rsidP="00324A45">
            <w:pPr>
              <w:jc w:val="left"/>
              <w:rPr>
                <w:rFonts w:ascii="Arial Narrow" w:hAnsi="Arial Narrow"/>
              </w:rPr>
            </w:pPr>
            <w:r w:rsidRPr="008D7982">
              <w:rPr>
                <w:rFonts w:ascii="Arial Narrow" w:hAnsi="Arial Narrow"/>
              </w:rPr>
              <w:t>15 mg/5 mL injection, 1 x 5</w:t>
            </w:r>
          </w:p>
        </w:tc>
        <w:tc>
          <w:tcPr>
            <w:tcW w:w="1273" w:type="dxa"/>
          </w:tcPr>
          <w:p w:rsidR="00D8067A" w:rsidRPr="008D7982" w:rsidRDefault="00D8067A" w:rsidP="008D7982">
            <w:pPr>
              <w:rPr>
                <w:rFonts w:ascii="Arial Narrow" w:hAnsi="Arial Narrow"/>
              </w:rPr>
            </w:pPr>
            <w:r w:rsidRPr="008D7982">
              <w:rPr>
                <w:rFonts w:ascii="Arial Narrow" w:hAnsi="Arial Narrow"/>
              </w:rPr>
              <w:t>3341</w:t>
            </w:r>
          </w:p>
        </w:tc>
        <w:tc>
          <w:tcPr>
            <w:tcW w:w="8721" w:type="dxa"/>
          </w:tcPr>
          <w:p w:rsidR="00D8067A" w:rsidRPr="008D7982" w:rsidRDefault="00D8067A" w:rsidP="008D7982">
            <w:pPr>
              <w:rPr>
                <w:rFonts w:ascii="Arial Narrow" w:hAnsi="Arial Narrow"/>
              </w:rPr>
            </w:pP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30 mg/10 mL injection, 1 x 10 mL vial</w:t>
            </w:r>
          </w:p>
        </w:tc>
        <w:tc>
          <w:tcPr>
            <w:tcW w:w="1273" w:type="dxa"/>
          </w:tcPr>
          <w:p w:rsidR="00D8067A" w:rsidRPr="008D7982" w:rsidRDefault="00D8067A" w:rsidP="008D7982">
            <w:pPr>
              <w:rPr>
                <w:rFonts w:ascii="Arial Narrow" w:hAnsi="Arial Narrow"/>
              </w:rPr>
            </w:pPr>
            <w:r w:rsidRPr="008D7982">
              <w:rPr>
                <w:rFonts w:ascii="Arial Narrow" w:hAnsi="Arial Narrow"/>
              </w:rPr>
              <w:t>3341</w:t>
            </w:r>
          </w:p>
        </w:tc>
        <w:tc>
          <w:tcPr>
            <w:tcW w:w="8721" w:type="dxa"/>
          </w:tcPr>
          <w:p w:rsidR="00D8067A" w:rsidRPr="008D7982" w:rsidRDefault="00D8067A" w:rsidP="008D7982">
            <w:pPr>
              <w:rPr>
                <w:rFonts w:ascii="Arial Narrow" w:hAnsi="Arial Narrow"/>
              </w:rPr>
            </w:pP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60 mg/10 mL injection, 1 x 10 mL vial</w:t>
            </w:r>
          </w:p>
        </w:tc>
        <w:tc>
          <w:tcPr>
            <w:tcW w:w="1273" w:type="dxa"/>
          </w:tcPr>
          <w:p w:rsidR="00D8067A" w:rsidRPr="008D7982" w:rsidRDefault="00D8067A" w:rsidP="008D7982">
            <w:pPr>
              <w:rPr>
                <w:rFonts w:ascii="Arial Narrow" w:hAnsi="Arial Narrow"/>
              </w:rPr>
            </w:pPr>
            <w:r w:rsidRPr="008D7982">
              <w:rPr>
                <w:rFonts w:ascii="Arial Narrow" w:hAnsi="Arial Narrow"/>
              </w:rPr>
              <w:t>3341</w:t>
            </w:r>
          </w:p>
        </w:tc>
        <w:tc>
          <w:tcPr>
            <w:tcW w:w="8721" w:type="dxa"/>
          </w:tcPr>
          <w:p w:rsidR="00D8067A" w:rsidRPr="008D7982" w:rsidRDefault="00D8067A" w:rsidP="008D7982">
            <w:pPr>
              <w:rPr>
                <w:rFonts w:ascii="Arial Narrow" w:hAnsi="Arial Narrow"/>
              </w:rPr>
            </w:pP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rPr>
          <w:trHeight w:val="315"/>
        </w:trPr>
        <w:tc>
          <w:tcPr>
            <w:tcW w:w="1744" w:type="dxa"/>
            <w:vMerge/>
          </w:tcPr>
          <w:p w:rsidR="00D8067A" w:rsidRPr="008D7982" w:rsidRDefault="00D8067A" w:rsidP="008D7982">
            <w:pPr>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90 mg</w:t>
            </w:r>
          </w:p>
        </w:tc>
        <w:tc>
          <w:tcPr>
            <w:tcW w:w="1273" w:type="dxa"/>
          </w:tcPr>
          <w:p w:rsidR="00D8067A" w:rsidRPr="008D7982" w:rsidRDefault="00D8067A" w:rsidP="008D7982">
            <w:pPr>
              <w:rPr>
                <w:rFonts w:ascii="Arial Narrow" w:hAnsi="Arial Narrow"/>
              </w:rPr>
            </w:pPr>
            <w:r w:rsidRPr="008D7982">
              <w:rPr>
                <w:rFonts w:ascii="Arial Narrow" w:hAnsi="Arial Narrow"/>
              </w:rPr>
              <w:t>3341</w:t>
            </w:r>
          </w:p>
        </w:tc>
        <w:tc>
          <w:tcPr>
            <w:tcW w:w="8721" w:type="dxa"/>
          </w:tcPr>
          <w:p w:rsidR="00D8067A" w:rsidRPr="008D7982" w:rsidRDefault="00D8067A" w:rsidP="008D7982">
            <w:pPr>
              <w:rPr>
                <w:rFonts w:ascii="Arial Narrow" w:hAnsi="Arial Narrow"/>
              </w:rPr>
            </w:pP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vMerge w:val="restart"/>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rPr>
          <w:trHeight w:val="234"/>
        </w:trPr>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3342</w:t>
            </w:r>
          </w:p>
        </w:tc>
        <w:tc>
          <w:tcPr>
            <w:tcW w:w="8721" w:type="dxa"/>
          </w:tcPr>
          <w:p w:rsidR="00D8067A" w:rsidRPr="008D7982" w:rsidRDefault="00D8067A" w:rsidP="008D7982">
            <w:pPr>
              <w:rPr>
                <w:rFonts w:ascii="Arial Narrow" w:hAnsi="Arial Narrow"/>
              </w:rPr>
            </w:pPr>
            <w:r w:rsidRPr="008D7982">
              <w:rPr>
                <w:rFonts w:ascii="Arial Narrow" w:hAnsi="Arial Narrow"/>
              </w:rPr>
              <w:t>Multiple myeloma</w:t>
            </w:r>
          </w:p>
        </w:tc>
        <w:tc>
          <w:tcPr>
            <w:tcW w:w="1234" w:type="dxa"/>
            <w:vMerge/>
          </w:tcPr>
          <w:p w:rsidR="00D8067A" w:rsidRPr="008D7982" w:rsidRDefault="00D8067A" w:rsidP="008D7982">
            <w:pPr>
              <w:rPr>
                <w:rFonts w:ascii="Arial Narrow" w:hAnsi="Arial Narrow"/>
              </w:rPr>
            </w:pPr>
          </w:p>
        </w:tc>
      </w:tr>
      <w:tr w:rsidR="00D8067A" w:rsidRPr="008D7982" w:rsidTr="00324A45">
        <w:trPr>
          <w:trHeight w:val="255"/>
        </w:trPr>
        <w:tc>
          <w:tcPr>
            <w:tcW w:w="1744" w:type="dxa"/>
            <w:vMerge/>
          </w:tcPr>
          <w:p w:rsidR="00D8067A" w:rsidRPr="008D7982" w:rsidRDefault="00D8067A" w:rsidP="008D7982">
            <w:pPr>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r w:rsidRPr="008D7982">
              <w:rPr>
                <w:rFonts w:ascii="Arial Narrow" w:hAnsi="Arial Narrow"/>
              </w:rPr>
              <w:t xml:space="preserve">3343 </w:t>
            </w:r>
          </w:p>
        </w:tc>
        <w:tc>
          <w:tcPr>
            <w:tcW w:w="8721" w:type="dxa"/>
          </w:tcPr>
          <w:p w:rsidR="00D8067A" w:rsidRPr="008D7982" w:rsidRDefault="00D8067A" w:rsidP="008D7982">
            <w:pPr>
              <w:rPr>
                <w:rFonts w:ascii="Arial Narrow" w:hAnsi="Arial Narrow"/>
              </w:rPr>
            </w:pPr>
            <w:r w:rsidRPr="008D7982">
              <w:rPr>
                <w:rFonts w:ascii="Arial Narrow" w:hAnsi="Arial Narrow"/>
              </w:rPr>
              <w:t>Bone metastases from breast cancer</w:t>
            </w:r>
          </w:p>
        </w:tc>
        <w:tc>
          <w:tcPr>
            <w:tcW w:w="1234" w:type="dxa"/>
            <w:vMerge/>
          </w:tcPr>
          <w:p w:rsidR="00D8067A" w:rsidRPr="008D7982" w:rsidRDefault="00D8067A" w:rsidP="008D7982">
            <w:pPr>
              <w:rPr>
                <w:rFonts w:ascii="Arial Narrow" w:hAnsi="Arial Narrow"/>
              </w:rPr>
            </w:pP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4 vials powder 15 mg + 4 ampoules solvent 5 ml</w:t>
            </w:r>
          </w:p>
        </w:tc>
        <w:tc>
          <w:tcPr>
            <w:tcW w:w="1273" w:type="dxa"/>
          </w:tcPr>
          <w:p w:rsidR="00D8067A" w:rsidRPr="008D7982" w:rsidRDefault="00D8067A" w:rsidP="008D7982">
            <w:pPr>
              <w:rPr>
                <w:rFonts w:ascii="Arial Narrow" w:hAnsi="Arial Narrow"/>
              </w:rPr>
            </w:pPr>
            <w:r w:rsidRPr="008D7982">
              <w:rPr>
                <w:rFonts w:ascii="Arial Narrow" w:hAnsi="Arial Narrow"/>
              </w:rPr>
              <w:t>3341</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8D7982">
            <w:pPr>
              <w:rPr>
                <w:rFonts w:ascii="Arial Narrow" w:hAnsi="Arial Narrow"/>
              </w:rPr>
            </w:pPr>
            <w:r w:rsidRPr="008D7982">
              <w:rPr>
                <w:rFonts w:ascii="Arial Narrow" w:hAnsi="Arial Narrow"/>
              </w:rPr>
              <w:t>N/A</w:t>
            </w:r>
          </w:p>
          <w:p w:rsidR="00D8067A" w:rsidRPr="008D7982" w:rsidRDefault="00D8067A" w:rsidP="008D7982">
            <w:pPr>
              <w:rPr>
                <w:rFonts w:ascii="Arial Narrow" w:hAnsi="Arial Narrow"/>
              </w:rPr>
            </w:pPr>
          </w:p>
        </w:tc>
      </w:tr>
      <w:tr w:rsidR="00D8067A" w:rsidRPr="008D7982" w:rsidTr="00324A45">
        <w:tc>
          <w:tcPr>
            <w:tcW w:w="1744" w:type="dxa"/>
            <w:vMerge w:val="restart"/>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2 vials powder 30 mg + 2 ampoules solvent 10 ml</w:t>
            </w:r>
          </w:p>
        </w:tc>
        <w:tc>
          <w:tcPr>
            <w:tcW w:w="1273" w:type="dxa"/>
          </w:tcPr>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Concentrated injection 15 mg in 5 mL</w:t>
            </w:r>
          </w:p>
        </w:tc>
        <w:tc>
          <w:tcPr>
            <w:tcW w:w="1273" w:type="dxa"/>
          </w:tcPr>
          <w:p w:rsidR="00D8067A" w:rsidRPr="008D7982" w:rsidRDefault="00D8067A" w:rsidP="008D7982">
            <w:pPr>
              <w:rPr>
                <w:rFonts w:ascii="Arial Narrow" w:hAnsi="Arial Narrow"/>
              </w:rPr>
            </w:pPr>
            <w:r w:rsidRPr="008D7982">
              <w:rPr>
                <w:rFonts w:ascii="Arial Narrow" w:hAnsi="Arial Narrow"/>
              </w:rPr>
              <w:t>N/R</w:t>
            </w:r>
          </w:p>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Concentrated injection 30 mg in 10 mL</w:t>
            </w:r>
          </w:p>
        </w:tc>
        <w:tc>
          <w:tcPr>
            <w:tcW w:w="1273" w:type="dxa"/>
          </w:tcPr>
          <w:p w:rsidR="00D8067A" w:rsidRPr="008D7982" w:rsidRDefault="00D8067A" w:rsidP="008D7982">
            <w:pPr>
              <w:rPr>
                <w:rFonts w:ascii="Arial Narrow" w:hAnsi="Arial Narrow"/>
              </w:rPr>
            </w:pPr>
            <w:r w:rsidRPr="008D7982">
              <w:rPr>
                <w:rFonts w:ascii="Arial Narrow" w:hAnsi="Arial Narrow"/>
              </w:rPr>
              <w:t>N/R</w:t>
            </w:r>
          </w:p>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Concentrated injection 60 mg in 10 mL</w:t>
            </w:r>
          </w:p>
        </w:tc>
        <w:tc>
          <w:tcPr>
            <w:tcW w:w="1273" w:type="dxa"/>
          </w:tcPr>
          <w:p w:rsidR="00D8067A" w:rsidRPr="008D7982" w:rsidRDefault="00D8067A" w:rsidP="008D7982">
            <w:pPr>
              <w:rPr>
                <w:rFonts w:ascii="Arial Narrow" w:hAnsi="Arial Narrow"/>
              </w:rPr>
            </w:pPr>
            <w:r w:rsidRPr="008D7982">
              <w:rPr>
                <w:rFonts w:ascii="Arial Narrow" w:hAnsi="Arial Narrow"/>
              </w:rPr>
              <w:t>N/R</w:t>
            </w:r>
          </w:p>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 xml:space="preserve">Concentrated injection 90 mg </w:t>
            </w:r>
            <w:r w:rsidRPr="008D7982">
              <w:rPr>
                <w:rFonts w:ascii="Arial Narrow" w:hAnsi="Arial Narrow"/>
              </w:rPr>
              <w:lastRenderedPageBreak/>
              <w:t>in 10 mL</w:t>
            </w:r>
          </w:p>
        </w:tc>
        <w:tc>
          <w:tcPr>
            <w:tcW w:w="1273" w:type="dxa"/>
          </w:tcPr>
          <w:p w:rsidR="00D8067A" w:rsidRPr="008D7982" w:rsidRDefault="00D8067A" w:rsidP="008D7982">
            <w:pPr>
              <w:rPr>
                <w:rFonts w:ascii="Arial Narrow" w:hAnsi="Arial Narrow"/>
              </w:rPr>
            </w:pPr>
            <w:r w:rsidRPr="008D7982">
              <w:rPr>
                <w:rFonts w:ascii="Arial Narrow" w:hAnsi="Arial Narrow"/>
              </w:rPr>
              <w:lastRenderedPageBreak/>
              <w:t>N/R</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90 mg injection [1 x 90 mg vial] (&amp;) inert substance diluent [1 x 10 mL ampoule], 1 pack</w:t>
            </w:r>
          </w:p>
        </w:tc>
        <w:tc>
          <w:tcPr>
            <w:tcW w:w="1273" w:type="dxa"/>
          </w:tcPr>
          <w:p w:rsidR="00D8067A" w:rsidRPr="008D7982" w:rsidRDefault="00D8067A" w:rsidP="008D7982">
            <w:pPr>
              <w:rPr>
                <w:rFonts w:ascii="Arial Narrow" w:hAnsi="Arial Narrow"/>
              </w:rPr>
            </w:pPr>
            <w:r w:rsidRPr="008D7982">
              <w:rPr>
                <w:rFonts w:ascii="Arial Narrow" w:hAnsi="Arial Narrow"/>
              </w:rPr>
              <w:t>N/R</w:t>
            </w:r>
          </w:p>
        </w:tc>
        <w:tc>
          <w:tcPr>
            <w:tcW w:w="8721" w:type="dxa"/>
          </w:tcPr>
          <w:p w:rsidR="00D8067A" w:rsidRPr="008D7982" w:rsidRDefault="00D8067A" w:rsidP="008D7982">
            <w:pPr>
              <w:rPr>
                <w:rFonts w:ascii="Arial Narrow" w:hAnsi="Arial Narrow"/>
              </w:rPr>
            </w:pP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Multiple myeloma</w:t>
            </w:r>
          </w:p>
          <w:p w:rsidR="00D8067A" w:rsidRPr="008D7982" w:rsidRDefault="00D8067A" w:rsidP="008D7982">
            <w:pPr>
              <w:rPr>
                <w:rFonts w:ascii="Arial Narrow" w:hAnsi="Arial Narrow"/>
              </w:rPr>
            </w:pPr>
            <w:r w:rsidRPr="008D7982">
              <w:rPr>
                <w:rFonts w:ascii="Arial Narrow" w:hAnsi="Arial Narrow"/>
              </w:rPr>
              <w:t>Bone metastases from breast cancer</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30 mg injection [2 x 30 mg vials] (&amp;) inert substance diluent [2 x 10 mL ampoules], 1 pack</w:t>
            </w:r>
          </w:p>
        </w:tc>
        <w:tc>
          <w:tcPr>
            <w:tcW w:w="1273" w:type="dxa"/>
          </w:tcPr>
          <w:p w:rsidR="00D8067A" w:rsidRPr="008D7982" w:rsidRDefault="00D8067A" w:rsidP="008D7982">
            <w:pPr>
              <w:rPr>
                <w:rFonts w:ascii="Arial Narrow" w:hAnsi="Arial Narrow"/>
              </w:rPr>
            </w:pPr>
            <w:r w:rsidRPr="008D7982">
              <w:rPr>
                <w:rFonts w:ascii="Arial Narrow" w:hAnsi="Arial Narrow"/>
              </w:rPr>
              <w:t>N/R</w:t>
            </w:r>
          </w:p>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15 mg injection [4 x 15 mg vials] (&amp;) inert substance diluent [4 x 5 mL ampoules]</w:t>
            </w:r>
          </w:p>
        </w:tc>
        <w:tc>
          <w:tcPr>
            <w:tcW w:w="1273" w:type="dxa"/>
          </w:tcPr>
          <w:p w:rsidR="00D8067A" w:rsidRPr="008D7982" w:rsidRDefault="00D8067A" w:rsidP="008D7982">
            <w:pPr>
              <w:rPr>
                <w:rFonts w:ascii="Arial Narrow" w:hAnsi="Arial Narrow"/>
              </w:rPr>
            </w:pPr>
            <w:r w:rsidRPr="008D7982">
              <w:rPr>
                <w:rFonts w:ascii="Arial Narrow" w:hAnsi="Arial Narrow"/>
              </w:rPr>
              <w:t>N/R</w:t>
            </w:r>
          </w:p>
          <w:p w:rsidR="00D8067A" w:rsidRPr="008D7982" w:rsidRDefault="00D8067A" w:rsidP="008D7982">
            <w:pPr>
              <w:rPr>
                <w:rFonts w:ascii="Arial Narrow" w:hAnsi="Arial Narrow"/>
              </w:rPr>
            </w:pPr>
            <w:r w:rsidRPr="008D7982">
              <w:rPr>
                <w:rFonts w:ascii="Arial Narrow" w:hAnsi="Arial Narrow"/>
              </w:rPr>
              <w:t xml:space="preserve">3256 </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8D7982">
            <w:pPr>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8D7982">
            <w:pPr>
              <w:rPr>
                <w:rFonts w:ascii="Arial Narrow" w:hAnsi="Arial Narrow"/>
              </w:rPr>
            </w:pPr>
          </w:p>
        </w:tc>
        <w:tc>
          <w:tcPr>
            <w:tcW w:w="1438" w:type="dxa"/>
          </w:tcPr>
          <w:p w:rsidR="00D8067A" w:rsidRPr="008D7982" w:rsidRDefault="00D8067A" w:rsidP="00324A45">
            <w:pPr>
              <w:jc w:val="left"/>
              <w:rPr>
                <w:rFonts w:ascii="Arial Narrow" w:hAnsi="Arial Narrow"/>
              </w:rPr>
            </w:pPr>
          </w:p>
        </w:tc>
        <w:tc>
          <w:tcPr>
            <w:tcW w:w="1273" w:type="dxa"/>
          </w:tcPr>
          <w:p w:rsidR="00D8067A" w:rsidRPr="008D7982" w:rsidRDefault="00D8067A" w:rsidP="008D7982">
            <w:pPr>
              <w:rPr>
                <w:rFonts w:ascii="Arial Narrow" w:hAnsi="Arial Narrow"/>
              </w:rPr>
            </w:pPr>
          </w:p>
        </w:tc>
        <w:tc>
          <w:tcPr>
            <w:tcW w:w="8721" w:type="dxa"/>
          </w:tcPr>
          <w:p w:rsidR="00D8067A" w:rsidRPr="008D7982" w:rsidRDefault="00D8067A" w:rsidP="008D7982">
            <w:pPr>
              <w:rPr>
                <w:rFonts w:ascii="Arial Narrow" w:hAnsi="Arial Narrow"/>
              </w:rPr>
            </w:pPr>
          </w:p>
        </w:tc>
        <w:tc>
          <w:tcPr>
            <w:tcW w:w="1234" w:type="dxa"/>
          </w:tcPr>
          <w:p w:rsidR="00D8067A" w:rsidRPr="008D7982" w:rsidRDefault="00D8067A" w:rsidP="008D7982">
            <w:pPr>
              <w:rPr>
                <w:rFonts w:ascii="Arial Narrow" w:hAnsi="Arial Narrow"/>
              </w:rPr>
            </w:pPr>
          </w:p>
        </w:tc>
      </w:tr>
      <w:tr w:rsidR="00D8067A" w:rsidRPr="008D7982" w:rsidTr="00324A45">
        <w:tc>
          <w:tcPr>
            <w:tcW w:w="1744" w:type="dxa"/>
          </w:tcPr>
          <w:p w:rsidR="00D8067A" w:rsidRPr="008D7982" w:rsidRDefault="00D8067A" w:rsidP="008D7982">
            <w:pPr>
              <w:rPr>
                <w:rFonts w:ascii="Arial Narrow" w:hAnsi="Arial Narrow"/>
              </w:rPr>
            </w:pPr>
            <w:proofErr w:type="spellStart"/>
            <w:r w:rsidRPr="008D7982">
              <w:rPr>
                <w:rFonts w:ascii="Arial Narrow" w:hAnsi="Arial Narrow"/>
              </w:rPr>
              <w:t>Clodronate</w:t>
            </w:r>
            <w:proofErr w:type="spellEnd"/>
            <w:r w:rsidRPr="008D7982">
              <w:rPr>
                <w:rFonts w:ascii="Arial Narrow" w:hAnsi="Arial Narrow"/>
              </w:rPr>
              <w:t xml:space="preserve"> sodium</w:t>
            </w:r>
          </w:p>
        </w:tc>
        <w:tc>
          <w:tcPr>
            <w:tcW w:w="1438" w:type="dxa"/>
          </w:tcPr>
          <w:p w:rsidR="00D8067A" w:rsidRPr="008D7982" w:rsidRDefault="00D8067A" w:rsidP="00324A45">
            <w:pPr>
              <w:jc w:val="left"/>
              <w:rPr>
                <w:rFonts w:ascii="Arial Narrow" w:hAnsi="Arial Narrow"/>
              </w:rPr>
            </w:pPr>
            <w:r w:rsidRPr="008D7982">
              <w:rPr>
                <w:rFonts w:ascii="Arial Narrow" w:hAnsi="Arial Narrow"/>
              </w:rPr>
              <w:t>400 mg</w:t>
            </w:r>
          </w:p>
        </w:tc>
        <w:tc>
          <w:tcPr>
            <w:tcW w:w="1273" w:type="dxa"/>
          </w:tcPr>
          <w:p w:rsidR="00D8067A" w:rsidRPr="008D7982" w:rsidRDefault="00D8067A" w:rsidP="008D7982">
            <w:pPr>
              <w:rPr>
                <w:rFonts w:ascii="Arial Narrow" w:hAnsi="Arial Narrow"/>
              </w:rPr>
            </w:pPr>
            <w:r w:rsidRPr="008D7982">
              <w:rPr>
                <w:rFonts w:ascii="Arial Narrow" w:hAnsi="Arial Narrow"/>
              </w:rPr>
              <w:t>N/R</w:t>
            </w:r>
          </w:p>
        </w:tc>
        <w:tc>
          <w:tcPr>
            <w:tcW w:w="8721" w:type="dxa"/>
          </w:tcPr>
          <w:p w:rsidR="00D8067A" w:rsidRPr="008D7982" w:rsidRDefault="00D8067A" w:rsidP="008D7982">
            <w:pPr>
              <w:rPr>
                <w:rFonts w:ascii="Arial Narrow" w:hAnsi="Arial Narrow"/>
              </w:rPr>
            </w:pPr>
            <w:r w:rsidRPr="008D7982">
              <w:rPr>
                <w:rFonts w:ascii="Arial Narrow" w:hAnsi="Arial Narrow"/>
              </w:rPr>
              <w:t xml:space="preserve">Maintenance 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8D7982">
            <w:pPr>
              <w:rPr>
                <w:rFonts w:ascii="Arial Narrow" w:hAnsi="Arial Narrow"/>
              </w:rPr>
            </w:pPr>
            <w:r w:rsidRPr="008D7982">
              <w:rPr>
                <w:rFonts w:ascii="Arial Narrow" w:hAnsi="Arial Narrow"/>
              </w:rPr>
              <w:t>Multiple myeloma</w:t>
            </w:r>
          </w:p>
          <w:p w:rsidR="00D8067A" w:rsidRPr="008D7982" w:rsidRDefault="00D8067A" w:rsidP="008D7982">
            <w:pPr>
              <w:rPr>
                <w:rFonts w:ascii="Arial Narrow" w:hAnsi="Arial Narrow"/>
              </w:rPr>
            </w:pPr>
            <w:r w:rsidRPr="008D7982">
              <w:rPr>
                <w:rFonts w:ascii="Arial Narrow" w:hAnsi="Arial Narrow"/>
              </w:rPr>
              <w:lastRenderedPageBreak/>
              <w:t>Bone metastases from breast cancer</w:t>
            </w:r>
          </w:p>
        </w:tc>
        <w:tc>
          <w:tcPr>
            <w:tcW w:w="1234" w:type="dxa"/>
          </w:tcPr>
          <w:p w:rsidR="00D8067A" w:rsidRPr="008D7982" w:rsidRDefault="00D8067A" w:rsidP="008D7982">
            <w:pPr>
              <w:rPr>
                <w:rFonts w:ascii="Arial Narrow" w:hAnsi="Arial Narrow"/>
              </w:rPr>
            </w:pPr>
            <w:r w:rsidRPr="008D7982">
              <w:rPr>
                <w:rFonts w:ascii="Arial Narrow" w:hAnsi="Arial Narrow"/>
              </w:rPr>
              <w:lastRenderedPageBreak/>
              <w:t>N/A</w:t>
            </w:r>
          </w:p>
        </w:tc>
      </w:tr>
      <w:tr w:rsidR="00D8067A" w:rsidRPr="008D7982" w:rsidTr="00324A45">
        <w:tc>
          <w:tcPr>
            <w:tcW w:w="1744" w:type="dxa"/>
          </w:tcPr>
          <w:p w:rsidR="00D8067A" w:rsidRPr="008D7982" w:rsidRDefault="00D8067A" w:rsidP="00324A45">
            <w:pPr>
              <w:jc w:val="left"/>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800 mg</w:t>
            </w:r>
          </w:p>
        </w:tc>
        <w:tc>
          <w:tcPr>
            <w:tcW w:w="1273" w:type="dxa"/>
          </w:tcPr>
          <w:p w:rsidR="00D8067A" w:rsidRPr="008D7982" w:rsidRDefault="00D8067A" w:rsidP="00324A45">
            <w:pPr>
              <w:jc w:val="left"/>
              <w:rPr>
                <w:rFonts w:ascii="Arial Narrow" w:hAnsi="Arial Narrow"/>
              </w:rPr>
            </w:pPr>
            <w:r w:rsidRPr="008D7982">
              <w:rPr>
                <w:rFonts w:ascii="Arial Narrow" w:hAnsi="Arial Narrow"/>
              </w:rPr>
              <w:t>N/R</w:t>
            </w:r>
          </w:p>
        </w:tc>
        <w:tc>
          <w:tcPr>
            <w:tcW w:w="8721" w:type="dxa"/>
          </w:tcPr>
          <w:p w:rsidR="00D8067A" w:rsidRPr="008D7982" w:rsidRDefault="00D8067A" w:rsidP="00324A45">
            <w:pPr>
              <w:jc w:val="left"/>
              <w:rPr>
                <w:rFonts w:ascii="Arial Narrow" w:hAnsi="Arial Narrow"/>
              </w:rPr>
            </w:pPr>
            <w:r w:rsidRPr="008D7982">
              <w:rPr>
                <w:rFonts w:ascii="Arial Narrow" w:hAnsi="Arial Narrow"/>
              </w:rPr>
              <w:t xml:space="preserve">Maintenance 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324A45">
            <w:pPr>
              <w:jc w:val="left"/>
              <w:rPr>
                <w:rFonts w:ascii="Arial Narrow" w:hAnsi="Arial Narrow"/>
              </w:rPr>
            </w:pPr>
            <w:r w:rsidRPr="008D7982">
              <w:rPr>
                <w:rFonts w:ascii="Arial Narrow" w:hAnsi="Arial Narrow"/>
              </w:rPr>
              <w:t>Multiple myeloma</w:t>
            </w:r>
          </w:p>
          <w:p w:rsidR="00D8067A" w:rsidRPr="008D7982" w:rsidRDefault="00D8067A" w:rsidP="00324A45">
            <w:pPr>
              <w:jc w:val="left"/>
              <w:rPr>
                <w:rFonts w:ascii="Arial Narrow" w:hAnsi="Arial Narrow"/>
              </w:rPr>
            </w:pPr>
            <w:r w:rsidRPr="008D7982">
              <w:rPr>
                <w:rFonts w:ascii="Arial Narrow" w:hAnsi="Arial Narrow"/>
              </w:rPr>
              <w:t>Bone metastases from breast cancer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324A45">
            <w:pPr>
              <w:jc w:val="left"/>
              <w:rPr>
                <w:rFonts w:ascii="Arial Narrow" w:hAnsi="Arial Narrow"/>
              </w:rPr>
            </w:pPr>
            <w:r w:rsidRPr="008D7982">
              <w:rPr>
                <w:rFonts w:ascii="Arial Narrow" w:hAnsi="Arial Narrow"/>
              </w:rPr>
              <w:t>-</w:t>
            </w:r>
            <w:proofErr w:type="spellStart"/>
            <w:r w:rsidRPr="008D7982">
              <w:rPr>
                <w:rFonts w:ascii="Arial Narrow" w:hAnsi="Arial Narrow"/>
              </w:rPr>
              <w:t>Tiludronate</w:t>
            </w:r>
            <w:proofErr w:type="spellEnd"/>
            <w:r w:rsidRPr="008D7982">
              <w:rPr>
                <w:rFonts w:ascii="Arial Narrow" w:hAnsi="Arial Narrow"/>
              </w:rPr>
              <w:t xml:space="preserve"> Disodium</w:t>
            </w:r>
          </w:p>
        </w:tc>
        <w:tc>
          <w:tcPr>
            <w:tcW w:w="1438" w:type="dxa"/>
          </w:tcPr>
          <w:p w:rsidR="00D8067A" w:rsidRPr="008D7982" w:rsidRDefault="00D8067A" w:rsidP="00324A45">
            <w:pPr>
              <w:jc w:val="left"/>
              <w:rPr>
                <w:rFonts w:ascii="Arial Narrow" w:hAnsi="Arial Narrow"/>
              </w:rPr>
            </w:pPr>
            <w:r w:rsidRPr="008D7982">
              <w:rPr>
                <w:rFonts w:ascii="Arial Narrow" w:hAnsi="Arial Narrow"/>
              </w:rPr>
              <w:t>200 mg</w:t>
            </w: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3256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Symptomatic Paget disease of bone</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324A45">
            <w:pPr>
              <w:jc w:val="left"/>
              <w:rPr>
                <w:rFonts w:ascii="Arial Narrow" w:hAnsi="Arial Narrow"/>
              </w:rPr>
            </w:pPr>
            <w:r w:rsidRPr="008D7982">
              <w:rPr>
                <w:rFonts w:ascii="Arial Narrow" w:hAnsi="Arial Narrow"/>
              </w:rPr>
              <w:t>-</w:t>
            </w:r>
            <w:proofErr w:type="spellStart"/>
            <w:r w:rsidRPr="008D7982">
              <w:rPr>
                <w:rFonts w:ascii="Arial Narrow" w:hAnsi="Arial Narrow"/>
              </w:rPr>
              <w:t>Ibandronic</w:t>
            </w:r>
            <w:proofErr w:type="spellEnd"/>
            <w:r w:rsidRPr="008D7982">
              <w:rPr>
                <w:rFonts w:ascii="Arial Narrow" w:hAnsi="Arial Narrow"/>
              </w:rPr>
              <w:t xml:space="preserve"> Acid</w:t>
            </w:r>
          </w:p>
        </w:tc>
        <w:tc>
          <w:tcPr>
            <w:tcW w:w="1438" w:type="dxa"/>
          </w:tcPr>
          <w:p w:rsidR="00D8067A" w:rsidRPr="008D7982" w:rsidRDefault="00D8067A" w:rsidP="00324A45">
            <w:pPr>
              <w:jc w:val="left"/>
              <w:rPr>
                <w:rFonts w:ascii="Arial Narrow" w:hAnsi="Arial Narrow"/>
              </w:rPr>
            </w:pPr>
            <w:r w:rsidRPr="008D7982">
              <w:rPr>
                <w:rFonts w:ascii="Arial Narrow" w:hAnsi="Arial Narrow"/>
              </w:rPr>
              <w:t>6 mg/6 mL injection, 1 x 6 mL vial</w:t>
            </w: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3343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Bone metastases from breast cancer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tcPr>
          <w:p w:rsidR="00D8067A" w:rsidRPr="008D7982" w:rsidRDefault="00D8067A" w:rsidP="00324A45">
            <w:pPr>
              <w:jc w:val="left"/>
              <w:rPr>
                <w:rFonts w:ascii="Arial Narrow" w:hAnsi="Arial Narrow"/>
              </w:rPr>
            </w:pPr>
          </w:p>
        </w:tc>
        <w:tc>
          <w:tcPr>
            <w:tcW w:w="1438" w:type="dxa"/>
          </w:tcPr>
          <w:p w:rsidR="00D8067A" w:rsidRPr="008D7982" w:rsidRDefault="00D8067A" w:rsidP="00324A45">
            <w:pPr>
              <w:jc w:val="left"/>
              <w:rPr>
                <w:rFonts w:ascii="Arial Narrow" w:hAnsi="Arial Narrow"/>
              </w:rPr>
            </w:pPr>
            <w:r w:rsidRPr="008D7982">
              <w:rPr>
                <w:rFonts w:ascii="Arial Narrow" w:hAnsi="Arial Narrow"/>
              </w:rPr>
              <w:t>50 mg</w:t>
            </w:r>
          </w:p>
        </w:tc>
        <w:tc>
          <w:tcPr>
            <w:tcW w:w="1273" w:type="dxa"/>
          </w:tcPr>
          <w:p w:rsidR="00D8067A" w:rsidRPr="008D7982" w:rsidRDefault="00D8067A" w:rsidP="00324A45">
            <w:pPr>
              <w:jc w:val="left"/>
              <w:rPr>
                <w:rFonts w:ascii="Arial Narrow" w:hAnsi="Arial Narrow"/>
              </w:rPr>
            </w:pPr>
            <w:r w:rsidRPr="008D7982">
              <w:rPr>
                <w:rFonts w:ascii="Arial Narrow" w:hAnsi="Arial Narrow"/>
              </w:rPr>
              <w:t>N/R</w:t>
            </w:r>
          </w:p>
        </w:tc>
        <w:tc>
          <w:tcPr>
            <w:tcW w:w="8721" w:type="dxa"/>
          </w:tcPr>
          <w:p w:rsidR="00D8067A" w:rsidRPr="008D7982" w:rsidRDefault="00D8067A" w:rsidP="00324A45">
            <w:pPr>
              <w:jc w:val="left"/>
              <w:rPr>
                <w:rFonts w:ascii="Arial Narrow" w:hAnsi="Arial Narrow"/>
              </w:rPr>
            </w:pPr>
            <w:r w:rsidRPr="008D7982">
              <w:rPr>
                <w:rFonts w:ascii="Arial Narrow" w:hAnsi="Arial Narrow"/>
              </w:rPr>
              <w:t>Bone metastases from breast cancer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vMerge w:val="restart"/>
          </w:tcPr>
          <w:p w:rsidR="00D8067A" w:rsidRPr="008D7982" w:rsidRDefault="00D8067A" w:rsidP="00324A45">
            <w:pPr>
              <w:jc w:val="left"/>
              <w:rPr>
                <w:rFonts w:ascii="Arial Narrow" w:hAnsi="Arial Narrow"/>
              </w:rPr>
            </w:pPr>
            <w:proofErr w:type="spellStart"/>
            <w:r w:rsidRPr="008D7982">
              <w:rPr>
                <w:rFonts w:ascii="Arial Narrow" w:hAnsi="Arial Narrow"/>
              </w:rPr>
              <w:t>Zoledronic</w:t>
            </w:r>
            <w:proofErr w:type="spellEnd"/>
            <w:r w:rsidRPr="008D7982">
              <w:rPr>
                <w:rFonts w:ascii="Arial Narrow" w:hAnsi="Arial Narrow"/>
              </w:rPr>
              <w:t xml:space="preserve"> Acid</w:t>
            </w:r>
          </w:p>
        </w:tc>
        <w:tc>
          <w:tcPr>
            <w:tcW w:w="1438" w:type="dxa"/>
          </w:tcPr>
          <w:p w:rsidR="00D8067A" w:rsidRPr="008D7982" w:rsidRDefault="00D8067A" w:rsidP="00324A45">
            <w:pPr>
              <w:jc w:val="left"/>
              <w:rPr>
                <w:rFonts w:ascii="Arial Narrow" w:hAnsi="Arial Narrow"/>
              </w:rPr>
            </w:pPr>
            <w:r w:rsidRPr="008D7982">
              <w:rPr>
                <w:rFonts w:ascii="Arial Narrow" w:hAnsi="Arial Narrow"/>
              </w:rPr>
              <w:t xml:space="preserve">4 mg/5 mL injection, 1 x 5 mL vial </w:t>
            </w:r>
          </w:p>
        </w:tc>
        <w:tc>
          <w:tcPr>
            <w:tcW w:w="1273" w:type="dxa"/>
          </w:tcPr>
          <w:p w:rsidR="00D8067A" w:rsidRPr="008D7982" w:rsidRDefault="00D8067A" w:rsidP="00324A45">
            <w:pPr>
              <w:jc w:val="left"/>
              <w:rPr>
                <w:rFonts w:ascii="Arial Narrow" w:hAnsi="Arial Narrow"/>
              </w:rPr>
            </w:pPr>
            <w:r w:rsidRPr="008D7982">
              <w:rPr>
                <w:rFonts w:ascii="Arial Narrow" w:hAnsi="Arial Narrow"/>
              </w:rPr>
              <w:t>N/R</w:t>
            </w:r>
          </w:p>
          <w:p w:rsidR="00D8067A" w:rsidRPr="008D7982" w:rsidRDefault="00D8067A" w:rsidP="00324A45">
            <w:pPr>
              <w:jc w:val="left"/>
              <w:rPr>
                <w:rFonts w:ascii="Arial Narrow" w:hAnsi="Arial Narrow"/>
              </w:rPr>
            </w:pPr>
            <w:r w:rsidRPr="008D7982">
              <w:rPr>
                <w:rFonts w:ascii="Arial Narrow" w:hAnsi="Arial Narrow"/>
              </w:rPr>
              <w:t>3342</w:t>
            </w:r>
          </w:p>
          <w:p w:rsidR="00D8067A" w:rsidRPr="008D7982" w:rsidRDefault="00D8067A" w:rsidP="00324A45">
            <w:pPr>
              <w:jc w:val="left"/>
              <w:rPr>
                <w:rFonts w:ascii="Arial Narrow" w:hAnsi="Arial Narrow"/>
              </w:rPr>
            </w:pPr>
            <w:r w:rsidRPr="008D7982">
              <w:rPr>
                <w:rFonts w:ascii="Arial Narrow" w:hAnsi="Arial Narrow"/>
              </w:rPr>
              <w:t>3343</w:t>
            </w:r>
          </w:p>
          <w:p w:rsidR="00D8067A" w:rsidRPr="008D7982" w:rsidRDefault="00D8067A" w:rsidP="00324A45">
            <w:pPr>
              <w:jc w:val="left"/>
              <w:rPr>
                <w:rFonts w:ascii="Arial Narrow" w:hAnsi="Arial Narrow"/>
              </w:rPr>
            </w:pPr>
            <w:r w:rsidRPr="008D7982">
              <w:rPr>
                <w:rFonts w:ascii="Arial Narrow" w:hAnsi="Arial Narrow"/>
              </w:rPr>
              <w:t>4052</w:t>
            </w:r>
          </w:p>
          <w:p w:rsidR="00D8067A" w:rsidRPr="008D7982" w:rsidRDefault="00D8067A" w:rsidP="00324A45">
            <w:pPr>
              <w:jc w:val="left"/>
              <w:rPr>
                <w:rFonts w:ascii="Arial Narrow" w:hAnsi="Arial Narrow"/>
              </w:rPr>
            </w:pPr>
            <w:r w:rsidRPr="008D7982">
              <w:rPr>
                <w:rFonts w:ascii="Arial Narrow" w:hAnsi="Arial Narrow"/>
              </w:rPr>
              <w:t>3341</w:t>
            </w:r>
          </w:p>
        </w:tc>
        <w:tc>
          <w:tcPr>
            <w:tcW w:w="8721" w:type="dxa"/>
          </w:tcPr>
          <w:p w:rsidR="00D8067A" w:rsidRPr="008D7982" w:rsidRDefault="00D8067A" w:rsidP="00324A45">
            <w:pPr>
              <w:jc w:val="left"/>
              <w:rPr>
                <w:rFonts w:ascii="Arial Narrow" w:hAnsi="Arial Narrow"/>
              </w:rPr>
            </w:pPr>
            <w:r w:rsidRPr="008D7982">
              <w:rPr>
                <w:rFonts w:ascii="Arial Narrow" w:hAnsi="Arial Narrow"/>
              </w:rPr>
              <w:t>Multiple myeloma</w:t>
            </w:r>
          </w:p>
          <w:p w:rsidR="00D8067A" w:rsidRPr="008D7982" w:rsidRDefault="00D8067A" w:rsidP="00324A45">
            <w:pPr>
              <w:jc w:val="left"/>
              <w:rPr>
                <w:rFonts w:ascii="Arial Narrow" w:hAnsi="Arial Narrow"/>
              </w:rPr>
            </w:pPr>
            <w:r w:rsidRPr="008D7982">
              <w:rPr>
                <w:rFonts w:ascii="Arial Narrow" w:hAnsi="Arial Narrow"/>
              </w:rPr>
              <w:t>Bone metastases from breast cancer</w:t>
            </w:r>
          </w:p>
          <w:p w:rsidR="00D8067A" w:rsidRPr="008D7982" w:rsidRDefault="00D8067A" w:rsidP="00324A45">
            <w:pPr>
              <w:jc w:val="left"/>
              <w:rPr>
                <w:rFonts w:ascii="Arial Narrow" w:hAnsi="Arial Narrow"/>
              </w:rPr>
            </w:pPr>
            <w:r w:rsidRPr="008D7982">
              <w:rPr>
                <w:rFonts w:ascii="Arial Narrow" w:hAnsi="Arial Narrow"/>
              </w:rPr>
              <w:t>Bone metastases from castration-resistant prostate cancer</w:t>
            </w:r>
          </w:p>
          <w:p w:rsidR="00D8067A" w:rsidRPr="008D7982" w:rsidRDefault="00D8067A" w:rsidP="00324A45">
            <w:pPr>
              <w:jc w:val="left"/>
              <w:rPr>
                <w:rFonts w:ascii="Arial Narrow" w:hAnsi="Arial Narrow"/>
              </w:rPr>
            </w:pPr>
            <w:r w:rsidRPr="008D7982">
              <w:rPr>
                <w:rFonts w:ascii="Arial Narrow" w:hAnsi="Arial Narrow"/>
              </w:rPr>
              <w:t xml:space="preserve">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324A45">
            <w:pPr>
              <w:jc w:val="left"/>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5 mg/100 mL injection, 1 x 100 mL vial</w:t>
            </w:r>
          </w:p>
        </w:tc>
        <w:tc>
          <w:tcPr>
            <w:tcW w:w="1273" w:type="dxa"/>
          </w:tcPr>
          <w:p w:rsidR="00D8067A" w:rsidRPr="008D7982" w:rsidRDefault="00D8067A" w:rsidP="00324A45">
            <w:pPr>
              <w:jc w:val="left"/>
              <w:rPr>
                <w:rFonts w:ascii="Arial Narrow" w:hAnsi="Arial Narrow"/>
              </w:rPr>
            </w:pPr>
            <w:r w:rsidRPr="008D7982">
              <w:rPr>
                <w:rFonts w:ascii="Arial Narrow" w:hAnsi="Arial Narrow"/>
              </w:rPr>
              <w:t>4100</w:t>
            </w:r>
          </w:p>
        </w:tc>
        <w:tc>
          <w:tcPr>
            <w:tcW w:w="8721" w:type="dxa"/>
          </w:tcPr>
          <w:p w:rsidR="00D8067A" w:rsidRPr="008D7982" w:rsidRDefault="00D8067A" w:rsidP="00324A45">
            <w:pPr>
              <w:jc w:val="left"/>
              <w:rPr>
                <w:rFonts w:ascii="Arial Narrow" w:hAnsi="Arial Narrow"/>
              </w:rPr>
            </w:pPr>
            <w:r w:rsidRPr="008D7982">
              <w:rPr>
                <w:rFonts w:ascii="Arial Narrow" w:hAnsi="Arial Narrow"/>
              </w:rPr>
              <w:t>Corticosteroid-induced osteoporosis in a patient currently on (prednisolone or equivalent) corticosteroid therapy.</w:t>
            </w:r>
          </w:p>
          <w:p w:rsidR="00D8067A" w:rsidRPr="008D7982" w:rsidRDefault="00D8067A" w:rsidP="00324A45">
            <w:pPr>
              <w:jc w:val="left"/>
              <w:rPr>
                <w:rFonts w:ascii="Arial Narrow" w:hAnsi="Arial Narrow"/>
              </w:rPr>
            </w:pPr>
            <w:r w:rsidRPr="008D7982">
              <w:rPr>
                <w:rFonts w:ascii="Arial Narrow" w:hAnsi="Arial Narrow"/>
              </w:rPr>
              <w:t>The Clinical criteria is:</w:t>
            </w:r>
          </w:p>
          <w:p w:rsidR="00D8067A" w:rsidRPr="008D7982" w:rsidRDefault="00D8067A" w:rsidP="00324A45">
            <w:pPr>
              <w:jc w:val="left"/>
              <w:rPr>
                <w:rFonts w:ascii="Arial Narrow" w:hAnsi="Arial Narrow"/>
              </w:rPr>
            </w:pPr>
            <w:r w:rsidRPr="008D7982">
              <w:rPr>
                <w:rFonts w:ascii="Arial Narrow" w:hAnsi="Arial Narrow"/>
              </w:rPr>
              <w:t xml:space="preserve">Patient must currently be on long-term (at least 3 months), high-dose (at least 7.5 mg per day prednisolone or </w:t>
            </w:r>
            <w:r w:rsidRPr="008D7982">
              <w:rPr>
                <w:rFonts w:ascii="Arial Narrow" w:hAnsi="Arial Narrow"/>
              </w:rPr>
              <w:lastRenderedPageBreak/>
              <w:t xml:space="preserve">equivalent) corticosteroid therapy, </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a Bone Mineral Density (BMD) T-score of -1.5 or less,</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more than one PBS-subsidised treatment per year.</w:t>
            </w:r>
          </w:p>
          <w:p w:rsidR="00D8067A" w:rsidRPr="008D7982" w:rsidRDefault="00D8067A" w:rsidP="00324A45">
            <w:pPr>
              <w:jc w:val="left"/>
              <w:rPr>
                <w:rFonts w:ascii="Arial Narrow" w:hAnsi="Arial Narrow"/>
              </w:rPr>
            </w:pPr>
            <w:r w:rsidRPr="008D7982">
              <w:rPr>
                <w:rFonts w:ascii="Arial Narrow" w:hAnsi="Arial Narrow"/>
              </w:rPr>
              <w:t xml:space="preserve">The duration and dose of corticosteroid therapy together with the date, site (femoral neck or lumbar spine) and score of the qualifying BMD measurement must be documented in the patient's medical records when treatment is initiated. </w:t>
            </w:r>
          </w:p>
          <w:p w:rsidR="00D8067A" w:rsidRPr="008D7982" w:rsidRDefault="00D8067A" w:rsidP="00324A45">
            <w:pPr>
              <w:jc w:val="left"/>
              <w:rPr>
                <w:rFonts w:ascii="Arial Narrow" w:hAnsi="Arial Narrow"/>
              </w:rPr>
            </w:pPr>
          </w:p>
        </w:tc>
        <w:tc>
          <w:tcPr>
            <w:tcW w:w="1234" w:type="dxa"/>
          </w:tcPr>
          <w:p w:rsidR="00D8067A" w:rsidRPr="008D7982" w:rsidRDefault="00D8067A" w:rsidP="00324A45">
            <w:pPr>
              <w:jc w:val="left"/>
              <w:rPr>
                <w:rFonts w:ascii="Arial Narrow" w:hAnsi="Arial Narrow"/>
              </w:rPr>
            </w:pPr>
            <w:r w:rsidRPr="008D7982">
              <w:rPr>
                <w:rFonts w:ascii="Arial Narrow" w:hAnsi="Arial Narrow"/>
              </w:rPr>
              <w:lastRenderedPageBreak/>
              <w:t>≤-1.5</w:t>
            </w:r>
          </w:p>
        </w:tc>
      </w:tr>
      <w:tr w:rsidR="00D8067A" w:rsidRPr="008D7982" w:rsidTr="00324A45">
        <w:trPr>
          <w:trHeight w:val="351"/>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4149</w:t>
            </w:r>
          </w:p>
        </w:tc>
        <w:tc>
          <w:tcPr>
            <w:tcW w:w="8721" w:type="dxa"/>
          </w:tcPr>
          <w:p w:rsidR="00D8067A" w:rsidRPr="008D7982" w:rsidRDefault="00D8067A" w:rsidP="00324A45">
            <w:pPr>
              <w:jc w:val="left"/>
              <w:rPr>
                <w:rFonts w:ascii="Arial Narrow" w:hAnsi="Arial Narrow"/>
              </w:rPr>
            </w:pPr>
            <w:r w:rsidRPr="008D7982">
              <w:rPr>
                <w:rFonts w:ascii="Arial Narrow" w:hAnsi="Arial Narrow"/>
              </w:rPr>
              <w:t>Osteoporosis</w:t>
            </w:r>
          </w:p>
          <w:p w:rsidR="00D8067A" w:rsidRPr="008D7982" w:rsidRDefault="00D8067A" w:rsidP="00324A45">
            <w:pPr>
              <w:jc w:val="left"/>
              <w:rPr>
                <w:rFonts w:ascii="Arial Narrow" w:hAnsi="Arial Narrow"/>
              </w:rPr>
            </w:pPr>
            <w:r w:rsidRPr="008D7982">
              <w:rPr>
                <w:rFonts w:ascii="Arial Narrow" w:hAnsi="Arial Narrow"/>
              </w:rPr>
              <w:t>The Population criteria is:</w:t>
            </w:r>
          </w:p>
          <w:p w:rsidR="00D8067A" w:rsidRPr="008D7982" w:rsidRDefault="00D8067A" w:rsidP="00324A45">
            <w:pPr>
              <w:jc w:val="left"/>
              <w:rPr>
                <w:rFonts w:ascii="Arial Narrow" w:hAnsi="Arial Narrow"/>
              </w:rPr>
            </w:pPr>
            <w:r w:rsidRPr="008D7982">
              <w:rPr>
                <w:rFonts w:ascii="Arial Narrow" w:hAnsi="Arial Narrow"/>
              </w:rPr>
              <w:t>Patient must be aged 70 years or older,</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a Bone Mineral Density (BMD) T-score of -3.0 or less,</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w:t>
            </w:r>
            <w:r w:rsidRPr="008D7982">
              <w:rPr>
                <w:rFonts w:ascii="Arial Narrow" w:hAnsi="Arial Narrow"/>
              </w:rPr>
              <w:lastRenderedPageBreak/>
              <w:t>condition,</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more than one PBS-subsidised treatment per year.</w:t>
            </w:r>
          </w:p>
          <w:p w:rsidR="00D8067A" w:rsidRPr="008D7982" w:rsidRDefault="00D8067A" w:rsidP="00324A45">
            <w:pPr>
              <w:jc w:val="left"/>
              <w:rPr>
                <w:rFonts w:ascii="Arial Narrow" w:hAnsi="Arial Narrow"/>
              </w:rPr>
            </w:pPr>
            <w:r w:rsidRPr="008D7982">
              <w:rPr>
                <w:rFonts w:ascii="Arial Narrow" w:hAnsi="Arial Narrow"/>
              </w:rPr>
              <w:t xml:space="preserve">The date, site (femoral neck or lumbar spine) and score of the qualifying BMD measurement must be documented in the patient's medical records when treatment is initiated. </w:t>
            </w:r>
          </w:p>
        </w:tc>
        <w:tc>
          <w:tcPr>
            <w:tcW w:w="1234" w:type="dxa"/>
          </w:tcPr>
          <w:p w:rsidR="00D8067A" w:rsidRPr="008D7982" w:rsidRDefault="00D8067A" w:rsidP="00324A45">
            <w:pPr>
              <w:jc w:val="left"/>
              <w:rPr>
                <w:rFonts w:ascii="Arial Narrow" w:hAnsi="Arial Narrow"/>
              </w:rPr>
            </w:pPr>
            <w:r w:rsidRPr="008D7982">
              <w:rPr>
                <w:rFonts w:ascii="Arial Narrow" w:hAnsi="Arial Narrow"/>
              </w:rPr>
              <w:lastRenderedPageBreak/>
              <w:t>≤-3.0</w:t>
            </w:r>
          </w:p>
        </w:tc>
      </w:tr>
      <w:tr w:rsidR="00D8067A" w:rsidRPr="008D7982" w:rsidTr="00324A45">
        <w:trPr>
          <w:trHeight w:val="351"/>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4157</w:t>
            </w:r>
          </w:p>
        </w:tc>
        <w:tc>
          <w:tcPr>
            <w:tcW w:w="8721" w:type="dxa"/>
          </w:tcPr>
          <w:p w:rsidR="00D8067A" w:rsidRPr="008D7982" w:rsidRDefault="00D8067A" w:rsidP="00324A45">
            <w:pPr>
              <w:jc w:val="left"/>
              <w:rPr>
                <w:rFonts w:ascii="Arial Narrow" w:hAnsi="Arial Narrow"/>
              </w:rPr>
            </w:pPr>
            <w:r w:rsidRPr="008D7982">
              <w:rPr>
                <w:rFonts w:ascii="Arial Narrow" w:hAnsi="Arial Narrow"/>
              </w:rPr>
              <w:t>Established osteoporosis</w:t>
            </w:r>
          </w:p>
          <w:p w:rsidR="00D8067A" w:rsidRPr="008D7982" w:rsidRDefault="00D8067A" w:rsidP="00324A45">
            <w:pPr>
              <w:jc w:val="left"/>
              <w:rPr>
                <w:rFonts w:ascii="Arial Narrow" w:hAnsi="Arial Narrow"/>
              </w:rPr>
            </w:pPr>
            <w:r w:rsidRPr="008D7982">
              <w:rPr>
                <w:rFonts w:ascii="Arial Narrow" w:hAnsi="Arial Narrow"/>
              </w:rPr>
              <w:t>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fracture due to minimal trauma,</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more than one PBS-subsidised treatment per year.</w:t>
            </w:r>
          </w:p>
          <w:p w:rsidR="00D8067A" w:rsidRPr="008D7982" w:rsidRDefault="00D8067A" w:rsidP="00324A45">
            <w:pPr>
              <w:jc w:val="left"/>
              <w:rPr>
                <w:rFonts w:ascii="Arial Narrow" w:hAnsi="Arial Narrow"/>
              </w:rPr>
            </w:pPr>
            <w:r w:rsidRPr="008D7982">
              <w:rPr>
                <w:rFonts w:ascii="Arial Narrow" w:hAnsi="Arial Narrow"/>
              </w:rPr>
              <w:t xml:space="preserve">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computed tomography (CT) scan or magnetic resonance imaging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N/R</w:t>
            </w:r>
          </w:p>
        </w:tc>
      </w:tr>
      <w:tr w:rsidR="00D8067A" w:rsidRPr="008D7982" w:rsidTr="00324A45">
        <w:trPr>
          <w:trHeight w:val="732"/>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N/R</w:t>
            </w:r>
          </w:p>
        </w:tc>
        <w:tc>
          <w:tcPr>
            <w:tcW w:w="8721" w:type="dxa"/>
          </w:tcPr>
          <w:p w:rsidR="00D8067A" w:rsidRPr="008D7982" w:rsidRDefault="00D8067A" w:rsidP="00324A45">
            <w:pPr>
              <w:jc w:val="left"/>
              <w:rPr>
                <w:rFonts w:ascii="Arial Narrow" w:hAnsi="Arial Narrow"/>
              </w:rPr>
            </w:pPr>
            <w:r w:rsidRPr="008D7982">
              <w:rPr>
                <w:rFonts w:ascii="Arial Narrow" w:hAnsi="Arial Narrow"/>
              </w:rPr>
              <w:t>Symptomatic Paget disease of bone.</w:t>
            </w:r>
          </w:p>
          <w:p w:rsidR="00D8067A" w:rsidRPr="008D7982" w:rsidRDefault="00D8067A" w:rsidP="00324A45">
            <w:pPr>
              <w:jc w:val="left"/>
              <w:rPr>
                <w:rFonts w:ascii="Arial Narrow" w:hAnsi="Arial Narrow"/>
              </w:rPr>
            </w:pPr>
            <w:r w:rsidRPr="008D7982">
              <w:rPr>
                <w:rFonts w:ascii="Arial Narrow" w:hAnsi="Arial Narrow"/>
              </w:rPr>
              <w:t>Only 1 treatment each year per patient will be PBS-subsidised</w:t>
            </w:r>
          </w:p>
          <w:p w:rsidR="00D8067A" w:rsidRPr="008D7982" w:rsidRDefault="00D8067A" w:rsidP="00324A45">
            <w:pPr>
              <w:jc w:val="left"/>
              <w:rPr>
                <w:rFonts w:ascii="Arial Narrow" w:hAnsi="Arial Narrow"/>
              </w:rPr>
            </w:pPr>
          </w:p>
        </w:tc>
        <w:tc>
          <w:tcPr>
            <w:tcW w:w="1234" w:type="dxa"/>
          </w:tcPr>
          <w:p w:rsidR="00D8067A" w:rsidRPr="008D7982" w:rsidRDefault="00D8067A" w:rsidP="00324A45">
            <w:pPr>
              <w:jc w:val="left"/>
              <w:rPr>
                <w:rFonts w:ascii="Arial Narrow" w:hAnsi="Arial Narrow"/>
              </w:rPr>
            </w:pPr>
          </w:p>
        </w:tc>
      </w:tr>
      <w:tr w:rsidR="00D8067A" w:rsidRPr="008D7982" w:rsidTr="00324A45">
        <w:trPr>
          <w:trHeight w:val="351"/>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3947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Osteoporosis in a patient aged 70 years of age or older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≤-3.0</w:t>
            </w:r>
          </w:p>
        </w:tc>
      </w:tr>
      <w:tr w:rsidR="00D8067A" w:rsidRPr="008D7982" w:rsidTr="00324A45">
        <w:tc>
          <w:tcPr>
            <w:tcW w:w="1744" w:type="dxa"/>
            <w:vMerge w:val="restart"/>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3946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Established osteoporosis in a patient with fracture due to minimal trauma</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496"/>
        </w:trPr>
        <w:tc>
          <w:tcPr>
            <w:tcW w:w="1744" w:type="dxa"/>
            <w:vMerge/>
          </w:tcPr>
          <w:p w:rsidR="00D8067A" w:rsidRPr="008D7982" w:rsidRDefault="00D8067A" w:rsidP="00324A45">
            <w:pPr>
              <w:jc w:val="left"/>
              <w:rPr>
                <w:rFonts w:ascii="Arial Narrow" w:hAnsi="Arial Narrow"/>
              </w:rPr>
            </w:pPr>
          </w:p>
        </w:tc>
        <w:tc>
          <w:tcPr>
            <w:tcW w:w="1438" w:type="dxa"/>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N/R</w:t>
            </w:r>
          </w:p>
          <w:p w:rsidR="00D8067A" w:rsidRPr="008D7982" w:rsidRDefault="00D8067A" w:rsidP="00324A45">
            <w:pPr>
              <w:jc w:val="left"/>
              <w:rPr>
                <w:rFonts w:ascii="Arial Narrow" w:hAnsi="Arial Narrow"/>
              </w:rPr>
            </w:pPr>
          </w:p>
        </w:tc>
        <w:tc>
          <w:tcPr>
            <w:tcW w:w="8721" w:type="dxa"/>
          </w:tcPr>
          <w:p w:rsidR="00D8067A" w:rsidRPr="008D7982" w:rsidRDefault="00D8067A" w:rsidP="00324A45">
            <w:pPr>
              <w:jc w:val="left"/>
              <w:rPr>
                <w:rFonts w:ascii="Arial Narrow" w:hAnsi="Arial Narrow"/>
              </w:rPr>
            </w:pPr>
            <w:r w:rsidRPr="008D7982">
              <w:rPr>
                <w:rFonts w:ascii="Arial Narrow" w:hAnsi="Arial Narrow"/>
              </w:rPr>
              <w:t>Symptomatic Paget disease of bone</w:t>
            </w:r>
          </w:p>
          <w:p w:rsidR="00D8067A" w:rsidRPr="008D7982" w:rsidRDefault="00D8067A" w:rsidP="00324A45">
            <w:pPr>
              <w:jc w:val="left"/>
              <w:rPr>
                <w:rFonts w:ascii="Arial Narrow" w:hAnsi="Arial Narrow"/>
              </w:rPr>
            </w:pPr>
            <w:r w:rsidRPr="008D7982">
              <w:rPr>
                <w:rFonts w:ascii="Arial Narrow" w:hAnsi="Arial Narrow"/>
              </w:rPr>
              <w:t>Only 1 treatment each year per patient will be PBS-subsidised</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315"/>
        </w:trPr>
        <w:tc>
          <w:tcPr>
            <w:tcW w:w="1744" w:type="dxa"/>
            <w:vMerge/>
          </w:tcPr>
          <w:p w:rsidR="00D8067A" w:rsidRPr="008D7982" w:rsidRDefault="00D8067A" w:rsidP="00324A45">
            <w:pPr>
              <w:jc w:val="left"/>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4 mg/5 mL injection, 1 x 5 mL vial10 mg</w:t>
            </w: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3342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Multiple myeloma</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360"/>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3343</w:t>
            </w:r>
          </w:p>
        </w:tc>
        <w:tc>
          <w:tcPr>
            <w:tcW w:w="8721" w:type="dxa"/>
          </w:tcPr>
          <w:p w:rsidR="00D8067A" w:rsidRPr="008D7982" w:rsidRDefault="00D8067A" w:rsidP="00324A45">
            <w:pPr>
              <w:jc w:val="left"/>
              <w:rPr>
                <w:rFonts w:ascii="Arial Narrow" w:hAnsi="Arial Narrow"/>
              </w:rPr>
            </w:pPr>
            <w:r w:rsidRPr="008D7982">
              <w:rPr>
                <w:rFonts w:ascii="Arial Narrow" w:hAnsi="Arial Narrow"/>
              </w:rPr>
              <w:t>Bone metastases from breast cancer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165"/>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4052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Bone metastases from castration-resistant prostate cancer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407"/>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3341</w:t>
            </w:r>
          </w:p>
        </w:tc>
        <w:tc>
          <w:tcPr>
            <w:tcW w:w="8721" w:type="dxa"/>
          </w:tcPr>
          <w:p w:rsidR="00D8067A" w:rsidRPr="008D7982" w:rsidRDefault="00D8067A" w:rsidP="00324A45">
            <w:pPr>
              <w:jc w:val="left"/>
              <w:rPr>
                <w:rFonts w:ascii="Arial Narrow" w:hAnsi="Arial Narrow"/>
              </w:rPr>
            </w:pP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4410" w:type="dxa"/>
            <w:gridSpan w:val="5"/>
          </w:tcPr>
          <w:p w:rsidR="00D8067A" w:rsidRPr="008D7982" w:rsidRDefault="00D8067A" w:rsidP="00324A45">
            <w:pPr>
              <w:jc w:val="left"/>
              <w:rPr>
                <w:rFonts w:ascii="Arial Narrow" w:hAnsi="Arial Narrow"/>
              </w:rPr>
            </w:pPr>
            <w:r w:rsidRPr="008D7982">
              <w:rPr>
                <w:rFonts w:ascii="Arial Narrow" w:hAnsi="Arial Narrow"/>
              </w:rPr>
              <w:t xml:space="preserve">Selective </w:t>
            </w:r>
            <w:proofErr w:type="spellStart"/>
            <w:r w:rsidRPr="008D7982">
              <w:rPr>
                <w:rFonts w:ascii="Arial Narrow" w:hAnsi="Arial Narrow"/>
              </w:rPr>
              <w:t>estrogen</w:t>
            </w:r>
            <w:proofErr w:type="spellEnd"/>
            <w:r w:rsidRPr="008D7982">
              <w:rPr>
                <w:rFonts w:ascii="Arial Narrow" w:hAnsi="Arial Narrow"/>
              </w:rPr>
              <w:t xml:space="preserve"> receptor modulator (SERM)</w:t>
            </w:r>
          </w:p>
        </w:tc>
      </w:tr>
      <w:tr w:rsidR="00D8067A" w:rsidRPr="008D7982" w:rsidTr="00324A45">
        <w:tc>
          <w:tcPr>
            <w:tcW w:w="1744" w:type="dxa"/>
          </w:tcPr>
          <w:p w:rsidR="00D8067A" w:rsidRPr="008D7982" w:rsidRDefault="00D8067A" w:rsidP="00324A45">
            <w:pPr>
              <w:jc w:val="left"/>
              <w:rPr>
                <w:rFonts w:ascii="Arial Narrow" w:hAnsi="Arial Narrow"/>
              </w:rPr>
            </w:pPr>
            <w:proofErr w:type="spellStart"/>
            <w:r w:rsidRPr="008D7982">
              <w:rPr>
                <w:rFonts w:ascii="Arial Narrow" w:hAnsi="Arial Narrow"/>
              </w:rPr>
              <w:t>raloxifene</w:t>
            </w:r>
            <w:proofErr w:type="spellEnd"/>
            <w:r w:rsidRPr="008D7982">
              <w:rPr>
                <w:rFonts w:ascii="Arial Narrow" w:hAnsi="Arial Narrow"/>
              </w:rPr>
              <w:t xml:space="preserve"> hydrochloride</w:t>
            </w:r>
          </w:p>
        </w:tc>
        <w:tc>
          <w:tcPr>
            <w:tcW w:w="1438" w:type="dxa"/>
          </w:tcPr>
          <w:p w:rsidR="00D8067A" w:rsidRPr="008D7982" w:rsidRDefault="00D8067A" w:rsidP="00324A45">
            <w:pPr>
              <w:jc w:val="left"/>
              <w:rPr>
                <w:rFonts w:ascii="Arial Narrow" w:hAnsi="Arial Narrow"/>
              </w:rPr>
            </w:pPr>
            <w:r w:rsidRPr="008D7982">
              <w:rPr>
                <w:rFonts w:ascii="Arial Narrow" w:hAnsi="Arial Narrow"/>
              </w:rPr>
              <w:t>60 mg</w:t>
            </w:r>
          </w:p>
        </w:tc>
        <w:tc>
          <w:tcPr>
            <w:tcW w:w="1273" w:type="dxa"/>
          </w:tcPr>
          <w:p w:rsidR="00D8067A" w:rsidRPr="008D7982" w:rsidDel="00216E4A" w:rsidRDefault="00D8067A" w:rsidP="00324A45">
            <w:pPr>
              <w:jc w:val="left"/>
              <w:rPr>
                <w:rFonts w:ascii="Arial Narrow" w:hAnsi="Arial Narrow"/>
              </w:rPr>
            </w:pPr>
            <w:r w:rsidRPr="008D7982">
              <w:rPr>
                <w:rFonts w:ascii="Arial Narrow" w:hAnsi="Arial Narrow"/>
              </w:rPr>
              <w:t>4071</w:t>
            </w:r>
          </w:p>
          <w:p w:rsidR="00D8067A" w:rsidRPr="008D7982" w:rsidRDefault="00D8067A" w:rsidP="00324A45">
            <w:pPr>
              <w:jc w:val="left"/>
              <w:rPr>
                <w:rFonts w:ascii="Arial Narrow" w:hAnsi="Arial Narrow"/>
              </w:rPr>
            </w:pPr>
          </w:p>
        </w:tc>
        <w:tc>
          <w:tcPr>
            <w:tcW w:w="8721" w:type="dxa"/>
          </w:tcPr>
          <w:p w:rsidR="00D8067A" w:rsidRPr="008D7982" w:rsidRDefault="00D8067A" w:rsidP="00324A45">
            <w:pPr>
              <w:jc w:val="left"/>
              <w:rPr>
                <w:rFonts w:ascii="Arial Narrow" w:hAnsi="Arial Narrow"/>
              </w:rPr>
            </w:pPr>
            <w:r w:rsidRPr="008D7982">
              <w:rPr>
                <w:rFonts w:ascii="Arial Narrow" w:hAnsi="Arial Narrow"/>
              </w:rPr>
              <w:t>Established post-menopausal osteoporosis</w:t>
            </w:r>
          </w:p>
          <w:p w:rsidR="00D8067A" w:rsidRPr="008D7982" w:rsidRDefault="00D8067A" w:rsidP="00324A45">
            <w:pPr>
              <w:jc w:val="left"/>
              <w:rPr>
                <w:rFonts w:ascii="Arial Narrow" w:hAnsi="Arial Narrow"/>
              </w:rPr>
            </w:pPr>
            <w:r w:rsidRPr="008D7982">
              <w:rPr>
                <w:rFonts w:ascii="Arial Narrow" w:hAnsi="Arial Narrow"/>
              </w:rPr>
              <w:t>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fracture due to minimal trauma,</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w:t>
            </w:r>
            <w:r w:rsidRPr="008D7982">
              <w:rPr>
                <w:rFonts w:ascii="Arial Narrow" w:hAnsi="Arial Narrow"/>
              </w:rPr>
              <w:lastRenderedPageBreak/>
              <w:t>condition.</w:t>
            </w:r>
          </w:p>
          <w:p w:rsidR="00D8067A" w:rsidRPr="008D7982" w:rsidRDefault="00D8067A" w:rsidP="00324A45">
            <w:pPr>
              <w:jc w:val="left"/>
              <w:rPr>
                <w:rFonts w:ascii="Arial Narrow" w:hAnsi="Arial Narrow"/>
              </w:rPr>
            </w:pPr>
            <w:r w:rsidRPr="008D7982">
              <w:rPr>
                <w:rFonts w:ascii="Arial Narrow" w:hAnsi="Arial Narrow"/>
              </w:rPr>
              <w:t xml:space="preserve">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computed tomography (CT) scan or magnetic resonance imaging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D8067A" w:rsidRPr="008D7982" w:rsidRDefault="00D8067A" w:rsidP="00324A45">
            <w:pPr>
              <w:jc w:val="left"/>
              <w:rPr>
                <w:rFonts w:ascii="Arial Narrow" w:hAnsi="Arial Narrow"/>
              </w:rPr>
            </w:pPr>
            <w:r w:rsidRPr="008D7982">
              <w:rPr>
                <w:rFonts w:ascii="Arial Narrow" w:hAnsi="Arial Narrow"/>
              </w:rPr>
              <w:lastRenderedPageBreak/>
              <w:t>N/A</w:t>
            </w:r>
          </w:p>
        </w:tc>
      </w:tr>
      <w:tr w:rsidR="00D8067A" w:rsidRPr="008D7982" w:rsidTr="00324A45">
        <w:tc>
          <w:tcPr>
            <w:tcW w:w="14410" w:type="dxa"/>
            <w:gridSpan w:val="5"/>
          </w:tcPr>
          <w:p w:rsidR="00D8067A" w:rsidRPr="008D7982" w:rsidRDefault="00D8067A" w:rsidP="00324A45">
            <w:pPr>
              <w:jc w:val="left"/>
              <w:rPr>
                <w:rFonts w:ascii="Arial Narrow" w:hAnsi="Arial Narrow"/>
              </w:rPr>
            </w:pPr>
            <w:r w:rsidRPr="008D7982">
              <w:rPr>
                <w:rFonts w:ascii="Arial Narrow" w:hAnsi="Arial Narrow"/>
              </w:rPr>
              <w:lastRenderedPageBreak/>
              <w:t>Monoclonal antibody</w:t>
            </w:r>
          </w:p>
        </w:tc>
      </w:tr>
      <w:tr w:rsidR="00D8067A" w:rsidRPr="008D7982" w:rsidTr="00324A45">
        <w:tc>
          <w:tcPr>
            <w:tcW w:w="1744" w:type="dxa"/>
            <w:vMerge w:val="restart"/>
          </w:tcPr>
          <w:p w:rsidR="00D8067A" w:rsidRPr="008D7982" w:rsidRDefault="00D8067A" w:rsidP="00324A45">
            <w:pPr>
              <w:jc w:val="left"/>
              <w:rPr>
                <w:rFonts w:ascii="Arial Narrow" w:hAnsi="Arial Narrow"/>
              </w:rPr>
            </w:pPr>
            <w:proofErr w:type="spellStart"/>
            <w:r w:rsidRPr="008D7982">
              <w:rPr>
                <w:rFonts w:ascii="Arial Narrow" w:hAnsi="Arial Narrow"/>
              </w:rPr>
              <w:t>Denosumab</w:t>
            </w:r>
            <w:proofErr w:type="spellEnd"/>
          </w:p>
        </w:tc>
        <w:tc>
          <w:tcPr>
            <w:tcW w:w="1438" w:type="dxa"/>
          </w:tcPr>
          <w:p w:rsidR="00D8067A" w:rsidRPr="008D7982" w:rsidRDefault="00D8067A" w:rsidP="00324A45">
            <w:pPr>
              <w:jc w:val="left"/>
              <w:rPr>
                <w:rFonts w:ascii="Arial Narrow" w:hAnsi="Arial Narrow"/>
              </w:rPr>
            </w:pPr>
            <w:r w:rsidRPr="008D7982">
              <w:rPr>
                <w:rFonts w:ascii="Arial Narrow" w:hAnsi="Arial Narrow"/>
              </w:rPr>
              <w:t>120 mg/1.7ml</w:t>
            </w:r>
          </w:p>
        </w:tc>
        <w:tc>
          <w:tcPr>
            <w:tcW w:w="1273" w:type="dxa"/>
          </w:tcPr>
          <w:p w:rsidR="00D8067A" w:rsidRPr="008D7982" w:rsidRDefault="00D8067A" w:rsidP="00324A45">
            <w:pPr>
              <w:jc w:val="left"/>
              <w:rPr>
                <w:rFonts w:ascii="Arial Narrow" w:hAnsi="Arial Narrow"/>
              </w:rPr>
            </w:pPr>
            <w:r w:rsidRPr="008D7982">
              <w:rPr>
                <w:rFonts w:ascii="Arial Narrow" w:hAnsi="Arial Narrow"/>
              </w:rPr>
              <w:t>4158</w:t>
            </w:r>
          </w:p>
          <w:p w:rsidR="00D8067A" w:rsidRPr="008D7982" w:rsidRDefault="00D8067A" w:rsidP="00324A45">
            <w:pPr>
              <w:jc w:val="left"/>
              <w:rPr>
                <w:rFonts w:ascii="Arial Narrow" w:hAnsi="Arial Narrow"/>
              </w:rPr>
            </w:pPr>
            <w:r w:rsidRPr="008D7982">
              <w:rPr>
                <w:rFonts w:ascii="Arial Narrow" w:hAnsi="Arial Narrow"/>
              </w:rPr>
              <w:t>4150</w:t>
            </w:r>
          </w:p>
        </w:tc>
        <w:tc>
          <w:tcPr>
            <w:tcW w:w="8721" w:type="dxa"/>
          </w:tcPr>
          <w:p w:rsidR="00D8067A" w:rsidRPr="008D7982" w:rsidRDefault="00D8067A" w:rsidP="00324A45">
            <w:pPr>
              <w:jc w:val="left"/>
              <w:rPr>
                <w:rFonts w:ascii="Arial Narrow" w:hAnsi="Arial Narrow"/>
              </w:rPr>
            </w:pPr>
            <w:r w:rsidRPr="008D7982">
              <w:rPr>
                <w:rFonts w:ascii="Arial Narrow" w:hAnsi="Arial Narrow"/>
              </w:rPr>
              <w:t>Bone metastases from breast cancer</w:t>
            </w:r>
          </w:p>
          <w:p w:rsidR="00D8067A" w:rsidRPr="008D7982" w:rsidRDefault="00D8067A" w:rsidP="00324A45">
            <w:pPr>
              <w:jc w:val="left"/>
              <w:rPr>
                <w:rFonts w:ascii="Arial Narrow" w:hAnsi="Arial Narrow"/>
              </w:rPr>
            </w:pPr>
            <w:r w:rsidRPr="008D7982">
              <w:rPr>
                <w:rFonts w:ascii="Arial Narrow" w:hAnsi="Arial Narrow"/>
              </w:rPr>
              <w:t>Bone metastases from castration-resistant prostate cancer</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369"/>
        </w:trPr>
        <w:tc>
          <w:tcPr>
            <w:tcW w:w="1744" w:type="dxa"/>
            <w:vMerge/>
          </w:tcPr>
          <w:p w:rsidR="00D8067A" w:rsidRPr="008D7982" w:rsidRDefault="00D8067A" w:rsidP="00324A45">
            <w:pPr>
              <w:jc w:val="left"/>
              <w:rPr>
                <w:rFonts w:ascii="Arial Narrow" w:hAnsi="Arial Narrow"/>
              </w:rPr>
            </w:pP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60 mg/ml</w:t>
            </w:r>
          </w:p>
        </w:tc>
        <w:tc>
          <w:tcPr>
            <w:tcW w:w="1273" w:type="dxa"/>
          </w:tcPr>
          <w:p w:rsidR="00D8067A" w:rsidRPr="008D7982" w:rsidRDefault="00D8067A" w:rsidP="00324A45">
            <w:pPr>
              <w:jc w:val="left"/>
              <w:rPr>
                <w:rFonts w:ascii="Arial Narrow" w:hAnsi="Arial Narrow"/>
              </w:rPr>
            </w:pPr>
            <w:r w:rsidRPr="008D7982">
              <w:rPr>
                <w:rFonts w:ascii="Arial Narrow" w:hAnsi="Arial Narrow"/>
              </w:rPr>
              <w:t>4094</w:t>
            </w:r>
          </w:p>
        </w:tc>
        <w:tc>
          <w:tcPr>
            <w:tcW w:w="8721" w:type="dxa"/>
          </w:tcPr>
          <w:p w:rsidR="00D8067A" w:rsidRPr="008D7982" w:rsidRDefault="00D8067A" w:rsidP="00324A45">
            <w:pPr>
              <w:jc w:val="left"/>
              <w:rPr>
                <w:rFonts w:ascii="Arial Narrow" w:hAnsi="Arial Narrow"/>
              </w:rPr>
            </w:pPr>
            <w:r w:rsidRPr="008D7982">
              <w:rPr>
                <w:rFonts w:ascii="Arial Narrow" w:hAnsi="Arial Narrow"/>
              </w:rPr>
              <w:t>Osteoporosis</w:t>
            </w:r>
          </w:p>
          <w:p w:rsidR="00D8067A" w:rsidRPr="008D7982" w:rsidRDefault="00D8067A" w:rsidP="00324A45">
            <w:pPr>
              <w:jc w:val="left"/>
              <w:rPr>
                <w:rFonts w:ascii="Arial Narrow" w:hAnsi="Arial Narrow"/>
              </w:rPr>
            </w:pPr>
            <w:r w:rsidRPr="008D7982">
              <w:rPr>
                <w:rFonts w:ascii="Arial Narrow" w:hAnsi="Arial Narrow"/>
              </w:rPr>
              <w:t>The Population criteria is:</w:t>
            </w:r>
          </w:p>
          <w:p w:rsidR="00D8067A" w:rsidRPr="008D7982" w:rsidRDefault="00D8067A" w:rsidP="00324A45">
            <w:pPr>
              <w:jc w:val="left"/>
              <w:rPr>
                <w:rFonts w:ascii="Arial Narrow" w:hAnsi="Arial Narrow"/>
              </w:rPr>
            </w:pPr>
            <w:r w:rsidRPr="008D7982">
              <w:rPr>
                <w:rFonts w:ascii="Arial Narrow" w:hAnsi="Arial Narrow"/>
              </w:rPr>
              <w:t>Patient must be female,</w:t>
            </w:r>
          </w:p>
          <w:p w:rsidR="00D8067A" w:rsidRPr="008D7982" w:rsidRDefault="00D8067A" w:rsidP="00324A45">
            <w:pPr>
              <w:jc w:val="left"/>
              <w:rPr>
                <w:rFonts w:ascii="Arial Narrow" w:hAnsi="Arial Narrow"/>
              </w:rPr>
            </w:pPr>
            <w:r w:rsidRPr="008D7982">
              <w:rPr>
                <w:rFonts w:ascii="Arial Narrow" w:hAnsi="Arial Narrow"/>
              </w:rPr>
              <w:t>AND the Population criteria is:</w:t>
            </w:r>
          </w:p>
          <w:p w:rsidR="00D8067A" w:rsidRPr="008D7982" w:rsidRDefault="00D8067A" w:rsidP="00324A45">
            <w:pPr>
              <w:jc w:val="left"/>
              <w:rPr>
                <w:rFonts w:ascii="Arial Narrow" w:hAnsi="Arial Narrow"/>
              </w:rPr>
            </w:pPr>
            <w:r w:rsidRPr="008D7982">
              <w:rPr>
                <w:rFonts w:ascii="Arial Narrow" w:hAnsi="Arial Narrow"/>
              </w:rPr>
              <w:t>Patient must be aged 70 years or older,</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a Bone Mineral Density (BMD) T-score of -2.5 or less,</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lastRenderedPageBreak/>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324A45">
            <w:pPr>
              <w:jc w:val="left"/>
              <w:rPr>
                <w:rFonts w:ascii="Arial Narrow" w:hAnsi="Arial Narrow"/>
              </w:rPr>
            </w:pPr>
            <w:r w:rsidRPr="008D7982">
              <w:rPr>
                <w:rFonts w:ascii="Arial Narrow" w:hAnsi="Arial Narrow"/>
              </w:rPr>
              <w:t xml:space="preserve">The date, site (femoral neck or lumbar spine) and score of the qualifying BMD measurement must be documented in the patient's medical records when treatment is initiated. </w:t>
            </w:r>
          </w:p>
        </w:tc>
        <w:tc>
          <w:tcPr>
            <w:tcW w:w="1234" w:type="dxa"/>
            <w:vMerge w:val="restart"/>
          </w:tcPr>
          <w:p w:rsidR="00D8067A" w:rsidRPr="008D7982" w:rsidRDefault="00D8067A" w:rsidP="00324A45">
            <w:pPr>
              <w:jc w:val="left"/>
              <w:rPr>
                <w:rFonts w:ascii="Arial Narrow" w:hAnsi="Arial Narrow"/>
              </w:rPr>
            </w:pPr>
            <w:r w:rsidRPr="008D7982">
              <w:rPr>
                <w:rFonts w:ascii="Arial Narrow" w:hAnsi="Arial Narrow"/>
              </w:rPr>
              <w:lastRenderedPageBreak/>
              <w:t>≤-2.5</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rPr>
          <w:trHeight w:val="351"/>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4145</w:t>
            </w:r>
          </w:p>
        </w:tc>
        <w:tc>
          <w:tcPr>
            <w:tcW w:w="8721" w:type="dxa"/>
          </w:tcPr>
          <w:p w:rsidR="00D8067A" w:rsidRPr="008D7982" w:rsidRDefault="00D8067A" w:rsidP="00324A45">
            <w:pPr>
              <w:jc w:val="left"/>
              <w:rPr>
                <w:rFonts w:ascii="Arial Narrow" w:hAnsi="Arial Narrow"/>
              </w:rPr>
            </w:pPr>
            <w:r w:rsidRPr="008D7982">
              <w:rPr>
                <w:rFonts w:ascii="Arial Narrow" w:hAnsi="Arial Narrow"/>
              </w:rPr>
              <w:t>Established post-menopausal osteoporosis</w:t>
            </w:r>
          </w:p>
          <w:p w:rsidR="00D8067A" w:rsidRPr="008D7982" w:rsidRDefault="00D8067A" w:rsidP="00324A45">
            <w:pPr>
              <w:jc w:val="left"/>
              <w:rPr>
                <w:rFonts w:ascii="Arial Narrow" w:hAnsi="Arial Narrow"/>
              </w:rPr>
            </w:pPr>
            <w:r w:rsidRPr="008D7982">
              <w:rPr>
                <w:rFonts w:ascii="Arial Narrow" w:hAnsi="Arial Narrow"/>
              </w:rPr>
              <w:t>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fracture due to minimal trauma,</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324A45">
            <w:pPr>
              <w:jc w:val="left"/>
              <w:rPr>
                <w:rFonts w:ascii="Arial Narrow" w:hAnsi="Arial Narrow"/>
              </w:rPr>
            </w:pPr>
            <w:r w:rsidRPr="008D7982">
              <w:rPr>
                <w:rFonts w:ascii="Arial Narrow" w:hAnsi="Arial Narrow"/>
              </w:rPr>
              <w:t xml:space="preserve">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computed tomography (CT) scan or magnetic resonance imaging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vMerge/>
          </w:tcPr>
          <w:p w:rsidR="00D8067A" w:rsidRPr="008D7982" w:rsidRDefault="00D8067A" w:rsidP="00324A45">
            <w:pPr>
              <w:jc w:val="left"/>
              <w:rPr>
                <w:rFonts w:ascii="Arial Narrow" w:hAnsi="Arial Narrow"/>
              </w:rPr>
            </w:pPr>
          </w:p>
        </w:tc>
      </w:tr>
      <w:tr w:rsidR="00D8067A" w:rsidRPr="008D7982" w:rsidTr="00324A45">
        <w:tc>
          <w:tcPr>
            <w:tcW w:w="1744" w:type="dxa"/>
            <w:vMerge w:val="restart"/>
          </w:tcPr>
          <w:p w:rsidR="00D8067A" w:rsidRPr="008D7982" w:rsidRDefault="00D8067A" w:rsidP="00324A45">
            <w:pPr>
              <w:jc w:val="left"/>
              <w:rPr>
                <w:rFonts w:ascii="Arial Narrow" w:hAnsi="Arial Narrow"/>
              </w:rPr>
            </w:pPr>
            <w:r w:rsidRPr="008D7982">
              <w:rPr>
                <w:rFonts w:ascii="Arial Narrow" w:hAnsi="Arial Narrow"/>
              </w:rPr>
              <w:t>Carbamazepine</w:t>
            </w:r>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200 mg</w:t>
            </w: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Continuing therapy only.</w:t>
            </w:r>
          </w:p>
          <w:p w:rsidR="00D8067A" w:rsidRPr="008D7982" w:rsidRDefault="00D8067A" w:rsidP="00324A45">
            <w:pPr>
              <w:jc w:val="left"/>
              <w:rPr>
                <w:rFonts w:ascii="Arial Narrow" w:hAnsi="Arial Narrow"/>
              </w:rPr>
            </w:pPr>
            <w:r w:rsidRPr="008D7982">
              <w:rPr>
                <w:rFonts w:ascii="Arial Narrow" w:hAnsi="Arial Narrow"/>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D8067A" w:rsidRPr="008D7982" w:rsidRDefault="00D8067A" w:rsidP="00324A45">
            <w:pPr>
              <w:jc w:val="left"/>
              <w:rPr>
                <w:rFonts w:ascii="Arial Narrow" w:hAnsi="Arial Narrow"/>
              </w:rPr>
            </w:pPr>
            <w:r w:rsidRPr="008D7982">
              <w:rPr>
                <w:rFonts w:ascii="Arial Narrow" w:hAnsi="Arial Narrow"/>
              </w:rPr>
              <w:lastRenderedPageBreak/>
              <w:t xml:space="preserve">Note </w:t>
            </w:r>
          </w:p>
          <w:p w:rsidR="00D8067A" w:rsidRPr="008D7982" w:rsidRDefault="00D8067A" w:rsidP="00324A45">
            <w:pPr>
              <w:jc w:val="left"/>
              <w:rPr>
                <w:rFonts w:ascii="Arial Narrow" w:hAnsi="Arial Narrow"/>
              </w:rPr>
            </w:pPr>
            <w:r w:rsidRPr="008D7982">
              <w:rPr>
                <w:rFonts w:ascii="Arial Narrow" w:hAnsi="Arial Narrow"/>
              </w:rPr>
              <w:t>For item codes 2419H and 1706T, pharmaceutical benefits that have the form tablet 200 mg are equivalent for the purposes of substitution.</w:t>
            </w:r>
          </w:p>
        </w:tc>
        <w:tc>
          <w:tcPr>
            <w:tcW w:w="1234" w:type="dxa"/>
          </w:tcPr>
          <w:p w:rsidR="00D8067A" w:rsidRPr="008D7982" w:rsidRDefault="00D8067A" w:rsidP="00324A45">
            <w:pPr>
              <w:jc w:val="left"/>
              <w:rPr>
                <w:rFonts w:ascii="Arial Narrow" w:hAnsi="Arial Narrow"/>
              </w:rPr>
            </w:pPr>
            <w:r w:rsidRPr="008D7982">
              <w:rPr>
                <w:rFonts w:ascii="Arial Narrow" w:hAnsi="Arial Narrow"/>
              </w:rPr>
              <w:lastRenderedPageBreak/>
              <w:t>N/A</w:t>
            </w:r>
          </w:p>
        </w:tc>
      </w:tr>
      <w:tr w:rsidR="00D8067A" w:rsidRPr="008D7982" w:rsidTr="00324A45">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N/R</w:t>
            </w:r>
          </w:p>
        </w:tc>
        <w:tc>
          <w:tcPr>
            <w:tcW w:w="8721" w:type="dxa"/>
          </w:tcPr>
          <w:p w:rsidR="00D8067A" w:rsidRPr="008D7982" w:rsidRDefault="00D8067A" w:rsidP="00324A45">
            <w:pPr>
              <w:jc w:val="left"/>
              <w:rPr>
                <w:rFonts w:ascii="Arial Narrow" w:hAnsi="Arial Narrow"/>
              </w:rPr>
            </w:pPr>
            <w:r w:rsidRPr="008D7982">
              <w:rPr>
                <w:rFonts w:ascii="Arial Narrow" w:hAnsi="Arial Narrow"/>
              </w:rPr>
              <w:t xml:space="preserve">For item codes 5040G and 1724R, pharmaceutical benefits that have the form tablet 200 mg are equivalent for the purposes of substitution. </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4455" w:type="dxa"/>
            <w:gridSpan w:val="3"/>
          </w:tcPr>
          <w:p w:rsidR="00D8067A" w:rsidRPr="008D7982" w:rsidRDefault="00D8067A" w:rsidP="00324A45">
            <w:pPr>
              <w:jc w:val="left"/>
              <w:rPr>
                <w:rFonts w:ascii="Arial Narrow" w:hAnsi="Arial Narrow"/>
              </w:rPr>
            </w:pPr>
            <w:r w:rsidRPr="008D7982">
              <w:rPr>
                <w:rFonts w:ascii="Arial Narrow" w:hAnsi="Arial Narrow"/>
              </w:rPr>
              <w:t>Parathyroid Hormone</w:t>
            </w:r>
          </w:p>
        </w:tc>
        <w:tc>
          <w:tcPr>
            <w:tcW w:w="8721" w:type="dxa"/>
          </w:tcPr>
          <w:p w:rsidR="00D8067A" w:rsidRPr="008D7982" w:rsidRDefault="00D8067A" w:rsidP="00324A45">
            <w:pPr>
              <w:jc w:val="left"/>
              <w:rPr>
                <w:rFonts w:ascii="Arial Narrow" w:hAnsi="Arial Narrow"/>
              </w:rPr>
            </w:pPr>
          </w:p>
        </w:tc>
        <w:tc>
          <w:tcPr>
            <w:tcW w:w="1234" w:type="dxa"/>
          </w:tcPr>
          <w:p w:rsidR="00D8067A" w:rsidRPr="008D7982" w:rsidRDefault="00D8067A" w:rsidP="00324A45">
            <w:pPr>
              <w:jc w:val="left"/>
              <w:rPr>
                <w:rFonts w:ascii="Arial Narrow" w:hAnsi="Arial Narrow"/>
              </w:rPr>
            </w:pPr>
          </w:p>
        </w:tc>
      </w:tr>
      <w:tr w:rsidR="00D8067A" w:rsidRPr="008D7982" w:rsidTr="00324A45">
        <w:trPr>
          <w:trHeight w:val="8604"/>
        </w:trPr>
        <w:tc>
          <w:tcPr>
            <w:tcW w:w="1744" w:type="dxa"/>
            <w:vMerge w:val="restart"/>
          </w:tcPr>
          <w:p w:rsidR="00D8067A" w:rsidRPr="008D7982" w:rsidRDefault="00D8067A" w:rsidP="00324A45">
            <w:pPr>
              <w:jc w:val="left"/>
              <w:rPr>
                <w:rFonts w:ascii="Arial Narrow" w:hAnsi="Arial Narrow"/>
              </w:rPr>
            </w:pPr>
            <w:proofErr w:type="spellStart"/>
            <w:r w:rsidRPr="008D7982">
              <w:rPr>
                <w:rFonts w:ascii="Arial Narrow" w:hAnsi="Arial Narrow"/>
              </w:rPr>
              <w:lastRenderedPageBreak/>
              <w:t>Teriparatide</w:t>
            </w:r>
            <w:proofErr w:type="spellEnd"/>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20 microgram/dose injection, 1 x 2.4 mL cartridge</w:t>
            </w:r>
          </w:p>
        </w:tc>
        <w:tc>
          <w:tcPr>
            <w:tcW w:w="1273"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 xml:space="preserve">Initial treatment, as the sole PBS-subsidised agent, by a specialist or consultant physician, for severe, established osteoporosis in a patient with a very high risk of fracture who: </w:t>
            </w:r>
          </w:p>
          <w:p w:rsidR="00D8067A" w:rsidRPr="008D7982" w:rsidRDefault="00D8067A" w:rsidP="00324A45">
            <w:pPr>
              <w:jc w:val="left"/>
              <w:rPr>
                <w:rFonts w:ascii="Arial Narrow" w:hAnsi="Arial Narrow"/>
              </w:rPr>
            </w:pPr>
            <w:r w:rsidRPr="008D7982">
              <w:rPr>
                <w:rFonts w:ascii="Arial Narrow" w:hAnsi="Arial Narrow"/>
              </w:rPr>
              <w:t xml:space="preserve">(a) has a bone mineral density (BMD) T-score of -3.0 or less; and </w:t>
            </w:r>
          </w:p>
          <w:p w:rsidR="00D8067A" w:rsidRPr="008D7982" w:rsidRDefault="00D8067A" w:rsidP="00324A45">
            <w:pPr>
              <w:jc w:val="left"/>
              <w:rPr>
                <w:rFonts w:ascii="Arial Narrow" w:hAnsi="Arial Narrow"/>
              </w:rPr>
            </w:pPr>
            <w:r w:rsidRPr="008D7982">
              <w:rPr>
                <w:rFonts w:ascii="Arial Narrow" w:hAnsi="Arial Narrow"/>
              </w:rPr>
              <w:t xml:space="preserve">(b) has had 2 or more fractures due to minimal trauma; and </w:t>
            </w:r>
          </w:p>
          <w:p w:rsidR="00D8067A" w:rsidRPr="008D7982" w:rsidRDefault="00D8067A" w:rsidP="00324A45">
            <w:pPr>
              <w:jc w:val="left"/>
              <w:rPr>
                <w:rFonts w:ascii="Arial Narrow" w:hAnsi="Arial Narrow"/>
              </w:rPr>
            </w:pPr>
            <w:r w:rsidRPr="008D7982">
              <w:rPr>
                <w:rFonts w:ascii="Arial Narrow" w:hAnsi="Arial Narrow"/>
              </w:rPr>
              <w:t xml:space="preserve">(c) </w:t>
            </w:r>
            <w:proofErr w:type="gramStart"/>
            <w:r w:rsidRPr="008D7982">
              <w:rPr>
                <w:rFonts w:ascii="Arial Narrow" w:hAnsi="Arial Narrow"/>
              </w:rPr>
              <w:t>has</w:t>
            </w:r>
            <w:proofErr w:type="gramEnd"/>
            <w:r w:rsidRPr="008D7982">
              <w:rPr>
                <w:rFonts w:ascii="Arial Narrow" w:hAnsi="Arial Narrow"/>
              </w:rPr>
              <w:t xml:space="preserve"> experienced at least 1 symptomatic new fracture after at least 12 months continuous therapy with an anti-</w:t>
            </w:r>
            <w:proofErr w:type="spellStart"/>
            <w:r w:rsidRPr="008D7982">
              <w:rPr>
                <w:rFonts w:ascii="Arial Narrow" w:hAnsi="Arial Narrow"/>
              </w:rPr>
              <w:t>resorptive</w:t>
            </w:r>
            <w:proofErr w:type="spellEnd"/>
            <w:r w:rsidRPr="008D7982">
              <w:rPr>
                <w:rFonts w:ascii="Arial Narrow" w:hAnsi="Arial Narrow"/>
              </w:rPr>
              <w:t xml:space="preserve"> agent at adequate doses. </w:t>
            </w: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D8067A" w:rsidRPr="008D7982" w:rsidRDefault="00D8067A" w:rsidP="00324A45">
            <w:pPr>
              <w:jc w:val="left"/>
              <w:rPr>
                <w:rFonts w:ascii="Arial Narrow" w:hAnsi="Arial Narrow"/>
              </w:rPr>
            </w:pPr>
            <w:r w:rsidRPr="008D7982">
              <w:rPr>
                <w:rFonts w:ascii="Arial Narrow" w:hAnsi="Arial Narrow"/>
              </w:rPr>
              <w:t>If treatment with anti-</w:t>
            </w:r>
            <w:proofErr w:type="spellStart"/>
            <w:r w:rsidRPr="008D7982">
              <w:rPr>
                <w:rFonts w:ascii="Arial Narrow" w:hAnsi="Arial Narrow"/>
              </w:rPr>
              <w:t>resorptive</w:t>
            </w:r>
            <w:proofErr w:type="spellEnd"/>
            <w:r w:rsidRPr="008D7982">
              <w:rPr>
                <w:rFonts w:ascii="Arial Narrow" w:hAnsi="Arial Narrow"/>
              </w:rPr>
              <w:t xml:space="preserve"> therapy is contraindicated according to the relevant TGA-approved Product Information, details of the contraindication must be provided at the time of application. </w:t>
            </w:r>
          </w:p>
          <w:p w:rsidR="00D8067A" w:rsidRPr="008D7982" w:rsidRDefault="00D8067A" w:rsidP="00324A45">
            <w:pPr>
              <w:jc w:val="left"/>
              <w:rPr>
                <w:rFonts w:ascii="Arial Narrow" w:hAnsi="Arial Narrow"/>
              </w:rPr>
            </w:pPr>
            <w:r w:rsidRPr="008D7982">
              <w:rPr>
                <w:rFonts w:ascii="Arial Narrow" w:hAnsi="Arial Narrow"/>
              </w:rPr>
              <w:t>If an intolerance of a severity necessitating permanent treatment withdrawal develops during the relevant period of use of one anti-</w:t>
            </w:r>
            <w:proofErr w:type="spellStart"/>
            <w:r w:rsidRPr="008D7982">
              <w:rPr>
                <w:rFonts w:ascii="Arial Narrow" w:hAnsi="Arial Narrow"/>
              </w:rPr>
              <w:t>resorptive</w:t>
            </w:r>
            <w:proofErr w:type="spellEnd"/>
            <w:r w:rsidRPr="008D7982">
              <w:rPr>
                <w:rFonts w:ascii="Arial Narrow" w:hAnsi="Arial Narrow"/>
              </w:rPr>
              <w:t xml:space="preserve"> agent, alternate anti-</w:t>
            </w:r>
            <w:proofErr w:type="spellStart"/>
            <w:r w:rsidRPr="008D7982">
              <w:rPr>
                <w:rFonts w:ascii="Arial Narrow" w:hAnsi="Arial Narrow"/>
              </w:rPr>
              <w:t>resorptive</w:t>
            </w:r>
            <w:proofErr w:type="spellEnd"/>
            <w:r w:rsidRPr="008D7982">
              <w:rPr>
                <w:rFonts w:ascii="Arial Narrow" w:hAnsi="Arial Narrow"/>
              </w:rPr>
              <w:t xml:space="preserve"> agents must be trialled so that the patient achieves the minimum requirement of 12 months continuous therapy. Details of accepted toxicities including severity can be found on the Medicare Australia website at www.medicareaustralia.gov.au and must be provided at the time of application. </w:t>
            </w:r>
          </w:p>
          <w:p w:rsidR="00D8067A" w:rsidRPr="008D7982" w:rsidRDefault="00D8067A" w:rsidP="00324A45">
            <w:pPr>
              <w:jc w:val="left"/>
              <w:rPr>
                <w:rFonts w:ascii="Arial Narrow" w:hAnsi="Arial Narrow"/>
              </w:rPr>
            </w:pPr>
            <w:r w:rsidRPr="008D7982">
              <w:rPr>
                <w:rFonts w:ascii="Arial Narrow" w:hAnsi="Arial Narrow"/>
              </w:rPr>
              <w:t>Anti-</w:t>
            </w:r>
            <w:proofErr w:type="spellStart"/>
            <w:r w:rsidRPr="008D7982">
              <w:rPr>
                <w:rFonts w:ascii="Arial Narrow" w:hAnsi="Arial Narrow"/>
              </w:rPr>
              <w:t>resorptive</w:t>
            </w:r>
            <w:proofErr w:type="spellEnd"/>
            <w:r w:rsidRPr="008D7982">
              <w:rPr>
                <w:rFonts w:ascii="Arial Narrow" w:hAnsi="Arial Narrow"/>
              </w:rPr>
              <w:t xml:space="preserve"> therapies for osteoporosis and their adequate doses which will be accepted for the purposes of administering this restriction are alendronate sodium 10 mg per day or 70 mg once weekly, </w:t>
            </w:r>
            <w:proofErr w:type="spellStart"/>
            <w:r w:rsidRPr="008D7982">
              <w:rPr>
                <w:rFonts w:ascii="Arial Narrow" w:hAnsi="Arial Narrow"/>
              </w:rPr>
              <w:t>risedronate</w:t>
            </w:r>
            <w:proofErr w:type="spellEnd"/>
            <w:r w:rsidRPr="008D7982">
              <w:rPr>
                <w:rFonts w:ascii="Arial Narrow" w:hAnsi="Arial Narrow"/>
              </w:rPr>
              <w:t xml:space="preserve"> sodium 5 mg per day or 35 mg once weekly or 150 mg once monthly, </w:t>
            </w:r>
            <w:proofErr w:type="spellStart"/>
            <w:r w:rsidRPr="008D7982">
              <w:rPr>
                <w:rFonts w:ascii="Arial Narrow" w:hAnsi="Arial Narrow"/>
              </w:rPr>
              <w:t>raloxifene</w:t>
            </w:r>
            <w:proofErr w:type="spellEnd"/>
            <w:r w:rsidRPr="008D7982">
              <w:rPr>
                <w:rFonts w:ascii="Arial Narrow" w:hAnsi="Arial Narrow"/>
              </w:rPr>
              <w:t xml:space="preserve"> hydrochloride 60 mg per day (women only), </w:t>
            </w:r>
            <w:proofErr w:type="spellStart"/>
            <w:r w:rsidRPr="008D7982">
              <w:rPr>
                <w:rFonts w:ascii="Arial Narrow" w:hAnsi="Arial Narrow"/>
              </w:rPr>
              <w:t>denosumab</w:t>
            </w:r>
            <w:proofErr w:type="spellEnd"/>
            <w:r w:rsidRPr="008D7982">
              <w:rPr>
                <w:rFonts w:ascii="Arial Narrow" w:hAnsi="Arial Narrow"/>
              </w:rPr>
              <w:t xml:space="preserve"> 60 mg once every 6 </w:t>
            </w:r>
          </w:p>
          <w:p w:rsidR="00D8067A" w:rsidRPr="008D7982" w:rsidRDefault="00D8067A" w:rsidP="00324A45">
            <w:pPr>
              <w:jc w:val="left"/>
              <w:rPr>
                <w:rFonts w:ascii="Arial Narrow" w:hAnsi="Arial Narrow"/>
              </w:rPr>
            </w:pPr>
            <w:proofErr w:type="gramStart"/>
            <w:r w:rsidRPr="008D7982">
              <w:rPr>
                <w:rFonts w:ascii="Arial Narrow" w:hAnsi="Arial Narrow"/>
              </w:rPr>
              <w:t>months</w:t>
            </w:r>
            <w:proofErr w:type="gramEnd"/>
            <w:r w:rsidRPr="008D7982">
              <w:rPr>
                <w:rFonts w:ascii="Arial Narrow" w:hAnsi="Arial Narrow"/>
              </w:rPr>
              <w:t xml:space="preserve">, disodium </w:t>
            </w:r>
            <w:proofErr w:type="spellStart"/>
            <w:r w:rsidRPr="008D7982">
              <w:rPr>
                <w:rFonts w:ascii="Arial Narrow" w:hAnsi="Arial Narrow"/>
              </w:rPr>
              <w:t>etidronate</w:t>
            </w:r>
            <w:proofErr w:type="spellEnd"/>
            <w:r w:rsidRPr="008D7982">
              <w:rPr>
                <w:rFonts w:ascii="Arial Narrow" w:hAnsi="Arial Narrow"/>
              </w:rPr>
              <w:t xml:space="preserve"> 200 mg with calcium carbonate 1.25 g per day, strontium </w:t>
            </w:r>
            <w:proofErr w:type="spellStart"/>
            <w:r w:rsidRPr="008D7982">
              <w:rPr>
                <w:rFonts w:ascii="Arial Narrow" w:hAnsi="Arial Narrow"/>
              </w:rPr>
              <w:t>ranelate</w:t>
            </w:r>
            <w:proofErr w:type="spellEnd"/>
            <w:r w:rsidRPr="008D7982">
              <w:rPr>
                <w:rFonts w:ascii="Arial Narrow" w:hAnsi="Arial Narrow"/>
              </w:rPr>
              <w:t xml:space="preserve"> 2 g per day and </w:t>
            </w:r>
            <w:proofErr w:type="spellStart"/>
            <w:r w:rsidRPr="008D7982">
              <w:rPr>
                <w:rFonts w:ascii="Arial Narrow" w:hAnsi="Arial Narrow"/>
              </w:rPr>
              <w:t>zoledronic</w:t>
            </w:r>
            <w:proofErr w:type="spellEnd"/>
            <w:r w:rsidRPr="008D7982">
              <w:rPr>
                <w:rFonts w:ascii="Arial Narrow" w:hAnsi="Arial Narrow"/>
              </w:rPr>
              <w:t xml:space="preserve"> acid 5 mg per annum. </w:t>
            </w:r>
          </w:p>
          <w:p w:rsidR="00D8067A" w:rsidRPr="008D7982" w:rsidRDefault="00D8067A" w:rsidP="00324A45">
            <w:pPr>
              <w:jc w:val="left"/>
              <w:rPr>
                <w:rFonts w:ascii="Arial Narrow" w:hAnsi="Arial Narrow"/>
              </w:rPr>
            </w:pPr>
            <w:r w:rsidRPr="008D7982">
              <w:rPr>
                <w:rFonts w:ascii="Arial Narrow" w:hAnsi="Arial Narrow"/>
              </w:rPr>
              <w:t>Details of prior anti-</w:t>
            </w:r>
            <w:proofErr w:type="spellStart"/>
            <w:r w:rsidRPr="008D7982">
              <w:rPr>
                <w:rFonts w:ascii="Arial Narrow" w:hAnsi="Arial Narrow"/>
              </w:rPr>
              <w:t>resorptive</w:t>
            </w:r>
            <w:proofErr w:type="spellEnd"/>
            <w:r w:rsidRPr="008D7982">
              <w:rPr>
                <w:rFonts w:ascii="Arial Narrow" w:hAnsi="Arial Narrow"/>
              </w:rPr>
              <w:t xml:space="preserve"> therapy, fracture history including the date(s), site(s), the symptoms associated with </w:t>
            </w:r>
            <w:r w:rsidRPr="008D7982">
              <w:rPr>
                <w:rFonts w:ascii="Arial Narrow" w:hAnsi="Arial Narrow"/>
              </w:rPr>
              <w:lastRenderedPageBreak/>
              <w:t>the fracture(s) which developed during the course of anti-</w:t>
            </w:r>
            <w:proofErr w:type="spellStart"/>
            <w:r w:rsidRPr="008D7982">
              <w:rPr>
                <w:rFonts w:ascii="Arial Narrow" w:hAnsi="Arial Narrow"/>
              </w:rPr>
              <w:t>resorptive</w:t>
            </w:r>
            <w:proofErr w:type="spellEnd"/>
            <w:r w:rsidRPr="008D7982">
              <w:rPr>
                <w:rFonts w:ascii="Arial Narrow" w:hAnsi="Arial Narrow"/>
              </w:rPr>
              <w:t xml:space="preserve"> therapy and the score of the qualifying BMD measurement must be provided to Medicare Australia at the time of application. </w:t>
            </w:r>
          </w:p>
          <w:p w:rsidR="00D8067A" w:rsidRPr="008D7982" w:rsidRDefault="00D8067A" w:rsidP="00324A45">
            <w:pPr>
              <w:jc w:val="left"/>
              <w:rPr>
                <w:rFonts w:ascii="Arial Narrow" w:hAnsi="Arial Narrow"/>
              </w:rPr>
            </w:pPr>
            <w:r w:rsidRPr="008D7982">
              <w:rPr>
                <w:rFonts w:ascii="Arial Narrow" w:hAnsi="Arial Narrow"/>
              </w:rPr>
              <w:t xml:space="preserve">Note </w:t>
            </w:r>
          </w:p>
          <w:p w:rsidR="00D8067A" w:rsidRPr="008D7982" w:rsidRDefault="00D8067A" w:rsidP="00324A45">
            <w:pPr>
              <w:jc w:val="left"/>
              <w:rPr>
                <w:rFonts w:ascii="Arial Narrow" w:hAnsi="Arial Narrow"/>
              </w:rPr>
            </w:pPr>
            <w:r w:rsidRPr="008D7982">
              <w:rPr>
                <w:rFonts w:ascii="Arial Narrow" w:hAnsi="Arial Narrow"/>
              </w:rPr>
              <w:t xml:space="preserve">No applications for increased maximum quantities and/or repeats will be authorised. </w:t>
            </w:r>
          </w:p>
          <w:p w:rsidR="00D8067A" w:rsidRPr="008D7982" w:rsidRDefault="00D8067A" w:rsidP="00324A45">
            <w:pPr>
              <w:jc w:val="left"/>
              <w:rPr>
                <w:rFonts w:ascii="Arial Narrow" w:hAnsi="Arial Narrow"/>
              </w:rPr>
            </w:pPr>
          </w:p>
        </w:tc>
        <w:tc>
          <w:tcPr>
            <w:tcW w:w="1234" w:type="dxa"/>
            <w:vMerge w:val="restart"/>
          </w:tcPr>
          <w:p w:rsidR="00D8067A" w:rsidRPr="008D7982" w:rsidRDefault="00D8067A" w:rsidP="00324A45">
            <w:pPr>
              <w:jc w:val="left"/>
              <w:rPr>
                <w:rFonts w:ascii="Arial Narrow" w:hAnsi="Arial Narrow"/>
              </w:rPr>
            </w:pPr>
            <w:r w:rsidRPr="008D7982">
              <w:rPr>
                <w:rFonts w:ascii="Arial Narrow" w:hAnsi="Arial Narrow"/>
              </w:rPr>
              <w:lastRenderedPageBreak/>
              <w:t>≤-3.0</w:t>
            </w:r>
          </w:p>
        </w:tc>
      </w:tr>
      <w:tr w:rsidR="00D8067A" w:rsidRPr="008D7982" w:rsidTr="00324A45">
        <w:trPr>
          <w:trHeight w:val="2210"/>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vMerge/>
          </w:tcPr>
          <w:p w:rsidR="00D8067A" w:rsidRPr="008D7982" w:rsidRDefault="00D8067A" w:rsidP="00324A45">
            <w:pPr>
              <w:jc w:val="left"/>
              <w:rPr>
                <w:rFonts w:ascii="Arial Narrow" w:hAnsi="Arial Narrow"/>
              </w:rPr>
            </w:pPr>
          </w:p>
        </w:tc>
        <w:tc>
          <w:tcPr>
            <w:tcW w:w="8721" w:type="dxa"/>
          </w:tcPr>
          <w:p w:rsidR="00D8067A" w:rsidRPr="008D7982" w:rsidRDefault="00D8067A" w:rsidP="00324A45">
            <w:pPr>
              <w:jc w:val="left"/>
              <w:rPr>
                <w:rFonts w:ascii="Arial Narrow" w:hAnsi="Arial Narrow"/>
              </w:rPr>
            </w:pPr>
            <w:r w:rsidRPr="008D7982">
              <w:rPr>
                <w:rFonts w:ascii="Arial Narrow" w:hAnsi="Arial Narrow"/>
              </w:rPr>
              <w:t xml:space="preserve">Continuing treatment for severe established osteoporosis where the patient has previously been issued with an authority prescription for this drug.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proofErr w:type="spellStart"/>
            <w:r w:rsidRPr="008D7982">
              <w:rPr>
                <w:rFonts w:ascii="Arial Narrow" w:hAnsi="Arial Narrow"/>
              </w:rPr>
              <w:t>Teriparatide</w:t>
            </w:r>
            <w:proofErr w:type="spellEnd"/>
            <w:r w:rsidRPr="008D7982">
              <w:rPr>
                <w:rFonts w:ascii="Arial Narrow" w:hAnsi="Arial Narrow"/>
              </w:rPr>
              <w:t xml:space="preserve"> must only be used for a lifetime maximum of 18 months therapy (18 pens). Up to a maximum of 18 pens will be reimbursed through the PBS. </w:t>
            </w:r>
          </w:p>
          <w:p w:rsidR="00D8067A" w:rsidRPr="008D7982" w:rsidRDefault="00D8067A" w:rsidP="00324A45">
            <w:pPr>
              <w:jc w:val="left"/>
              <w:rPr>
                <w:rFonts w:ascii="Arial Narrow" w:hAnsi="Arial Narrow"/>
              </w:rPr>
            </w:pPr>
            <w:r w:rsidRPr="008D7982">
              <w:rPr>
                <w:rFonts w:ascii="Arial Narrow" w:hAnsi="Arial Narrow"/>
              </w:rPr>
              <w:t xml:space="preserve">Note </w:t>
            </w:r>
          </w:p>
          <w:p w:rsidR="00D8067A" w:rsidRPr="008D7982" w:rsidRDefault="00D8067A" w:rsidP="00324A45">
            <w:pPr>
              <w:jc w:val="left"/>
              <w:rPr>
                <w:rFonts w:ascii="Arial Narrow" w:hAnsi="Arial Narrow"/>
              </w:rPr>
            </w:pPr>
            <w:r w:rsidRPr="008D7982">
              <w:rPr>
                <w:rFonts w:ascii="Arial Narrow" w:hAnsi="Arial Narrow"/>
              </w:rPr>
              <w:t>No applications for increased maximum quantities and/or repeats will be authorised.</w:t>
            </w:r>
          </w:p>
          <w:p w:rsidR="00D8067A" w:rsidRPr="008D7982" w:rsidRDefault="00D8067A" w:rsidP="00324A45">
            <w:pPr>
              <w:jc w:val="left"/>
              <w:rPr>
                <w:rFonts w:ascii="Arial Narrow" w:hAnsi="Arial Narrow"/>
              </w:rPr>
            </w:pPr>
            <w:r w:rsidRPr="008D7982">
              <w:rPr>
                <w:rFonts w:ascii="Arial Narrow" w:hAnsi="Arial Narrow"/>
              </w:rPr>
              <w:t xml:space="preserve">Continuing treatment for severe established osteoporosis where the patient has previously been issued with an authority prescription for this drug.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proofErr w:type="spellStart"/>
            <w:r w:rsidRPr="008D7982">
              <w:rPr>
                <w:rFonts w:ascii="Arial Narrow" w:hAnsi="Arial Narrow"/>
              </w:rPr>
              <w:t>Teriparatide</w:t>
            </w:r>
            <w:proofErr w:type="spellEnd"/>
            <w:r w:rsidRPr="008D7982">
              <w:rPr>
                <w:rFonts w:ascii="Arial Narrow" w:hAnsi="Arial Narrow"/>
              </w:rPr>
              <w:t xml:space="preserve"> must only be used for a lifetime maximum of 18 months therapy (18 pens). Up to a maximum of 18 pens will be reimbursed through the PBS.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Note </w:t>
            </w:r>
          </w:p>
          <w:p w:rsidR="00D8067A" w:rsidRPr="008D7982" w:rsidRDefault="00D8067A" w:rsidP="00324A45">
            <w:pPr>
              <w:jc w:val="left"/>
              <w:rPr>
                <w:rFonts w:ascii="Arial Narrow" w:hAnsi="Arial Narrow"/>
              </w:rPr>
            </w:pPr>
            <w:r w:rsidRPr="008D7982">
              <w:rPr>
                <w:rFonts w:ascii="Arial Narrow" w:hAnsi="Arial Narrow"/>
              </w:rPr>
              <w:t>No applications for increased maximum quantities and/or repeats will be authorised.</w:t>
            </w:r>
          </w:p>
        </w:tc>
        <w:tc>
          <w:tcPr>
            <w:tcW w:w="1234" w:type="dxa"/>
            <w:vMerge/>
          </w:tcPr>
          <w:p w:rsidR="00D8067A" w:rsidRPr="008D7982" w:rsidRDefault="00D8067A" w:rsidP="00324A45">
            <w:pPr>
              <w:jc w:val="left"/>
              <w:rPr>
                <w:rFonts w:ascii="Arial Narrow" w:hAnsi="Arial Narrow"/>
              </w:rPr>
            </w:pPr>
          </w:p>
        </w:tc>
      </w:tr>
      <w:tr w:rsidR="00D8067A" w:rsidRPr="008D7982" w:rsidTr="00324A45">
        <w:tc>
          <w:tcPr>
            <w:tcW w:w="1744"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strontium </w:t>
            </w:r>
            <w:proofErr w:type="spellStart"/>
            <w:r w:rsidRPr="008D7982">
              <w:rPr>
                <w:rFonts w:ascii="Arial Narrow" w:hAnsi="Arial Narrow"/>
              </w:rPr>
              <w:t>ranelate</w:t>
            </w:r>
            <w:proofErr w:type="spellEnd"/>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2 g</w:t>
            </w:r>
          </w:p>
        </w:tc>
        <w:tc>
          <w:tcPr>
            <w:tcW w:w="1273" w:type="dxa"/>
          </w:tcPr>
          <w:p w:rsidR="00D8067A" w:rsidRPr="008D7982" w:rsidRDefault="00D8067A" w:rsidP="00324A45">
            <w:pPr>
              <w:jc w:val="left"/>
              <w:rPr>
                <w:rFonts w:ascii="Arial Narrow" w:hAnsi="Arial Narrow"/>
              </w:rPr>
            </w:pPr>
            <w:r w:rsidRPr="008D7982">
              <w:rPr>
                <w:rFonts w:ascii="Arial Narrow" w:hAnsi="Arial Narrow"/>
              </w:rPr>
              <w:t>4117</w:t>
            </w:r>
          </w:p>
        </w:tc>
        <w:tc>
          <w:tcPr>
            <w:tcW w:w="8721" w:type="dxa"/>
          </w:tcPr>
          <w:p w:rsidR="00D8067A" w:rsidRPr="008D7982" w:rsidRDefault="00D8067A" w:rsidP="00324A45">
            <w:pPr>
              <w:jc w:val="left"/>
              <w:rPr>
                <w:rFonts w:ascii="Arial Narrow" w:hAnsi="Arial Narrow"/>
              </w:rPr>
            </w:pPr>
            <w:r w:rsidRPr="008D7982">
              <w:rPr>
                <w:rFonts w:ascii="Arial Narrow" w:hAnsi="Arial Narrow"/>
              </w:rPr>
              <w:t>Osteoporosis</w:t>
            </w:r>
          </w:p>
          <w:p w:rsidR="00D8067A" w:rsidRPr="008D7982" w:rsidRDefault="00D8067A" w:rsidP="00324A45">
            <w:pPr>
              <w:jc w:val="left"/>
              <w:rPr>
                <w:rFonts w:ascii="Arial Narrow" w:hAnsi="Arial Narrow"/>
              </w:rPr>
            </w:pPr>
            <w:r w:rsidRPr="008D7982">
              <w:rPr>
                <w:rFonts w:ascii="Arial Narrow" w:hAnsi="Arial Narrow"/>
              </w:rPr>
              <w:t>The Population criteria is:</w:t>
            </w:r>
          </w:p>
          <w:p w:rsidR="00D8067A" w:rsidRPr="008D7982" w:rsidRDefault="00D8067A" w:rsidP="00324A45">
            <w:pPr>
              <w:jc w:val="left"/>
              <w:rPr>
                <w:rFonts w:ascii="Arial Narrow" w:hAnsi="Arial Narrow"/>
              </w:rPr>
            </w:pPr>
            <w:r w:rsidRPr="008D7982">
              <w:rPr>
                <w:rFonts w:ascii="Arial Narrow" w:hAnsi="Arial Narrow"/>
              </w:rPr>
              <w:t>Patient must be aged 70 years or older,</w:t>
            </w:r>
          </w:p>
          <w:p w:rsidR="00D8067A" w:rsidRPr="008D7982" w:rsidRDefault="00D8067A" w:rsidP="00324A45">
            <w:pPr>
              <w:jc w:val="left"/>
              <w:rPr>
                <w:rFonts w:ascii="Arial Narrow" w:hAnsi="Arial Narrow"/>
              </w:rPr>
            </w:pPr>
            <w:r w:rsidRPr="008D7982">
              <w:rPr>
                <w:rFonts w:ascii="Arial Narrow" w:hAnsi="Arial Narrow"/>
              </w:rPr>
              <w:lastRenderedPageBreak/>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a Bone Mineral Density (BMD) T-score of -3.0 or less,</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324A45">
            <w:pPr>
              <w:jc w:val="left"/>
              <w:rPr>
                <w:rFonts w:ascii="Arial Narrow" w:hAnsi="Arial Narrow"/>
              </w:rPr>
            </w:pPr>
            <w:r w:rsidRPr="008D7982">
              <w:rPr>
                <w:rFonts w:ascii="Arial Narrow" w:hAnsi="Arial Narrow"/>
              </w:rPr>
              <w:t xml:space="preserve">The date, site (femoral neck or lumbar spine) and score of the qualifying BMD measurement must be documented in the patient's medical records when treatment is initiated. </w:t>
            </w:r>
          </w:p>
          <w:p w:rsidR="00D8067A" w:rsidRPr="008D7982" w:rsidRDefault="00D8067A" w:rsidP="00324A45">
            <w:pPr>
              <w:jc w:val="left"/>
              <w:rPr>
                <w:rFonts w:ascii="Arial Narrow" w:hAnsi="Arial Narrow"/>
              </w:rPr>
            </w:pPr>
          </w:p>
        </w:tc>
        <w:tc>
          <w:tcPr>
            <w:tcW w:w="1234" w:type="dxa"/>
          </w:tcPr>
          <w:p w:rsidR="00D8067A" w:rsidRPr="008D7982" w:rsidRDefault="00D8067A" w:rsidP="00324A45">
            <w:pPr>
              <w:jc w:val="left"/>
              <w:rPr>
                <w:rFonts w:ascii="Arial Narrow" w:hAnsi="Arial Narrow"/>
              </w:rPr>
            </w:pPr>
            <w:r w:rsidRPr="008D7982">
              <w:rPr>
                <w:rFonts w:ascii="Arial Narrow" w:hAnsi="Arial Narrow"/>
              </w:rPr>
              <w:lastRenderedPageBreak/>
              <w:t>≤-3.0</w:t>
            </w:r>
          </w:p>
        </w:tc>
      </w:tr>
      <w:tr w:rsidR="00D8067A" w:rsidRPr="008D7982" w:rsidTr="00324A45">
        <w:trPr>
          <w:trHeight w:val="296"/>
        </w:trPr>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4123</w:t>
            </w:r>
          </w:p>
        </w:tc>
        <w:tc>
          <w:tcPr>
            <w:tcW w:w="8721" w:type="dxa"/>
          </w:tcPr>
          <w:p w:rsidR="00D8067A" w:rsidRPr="008D7982" w:rsidRDefault="00D8067A" w:rsidP="00324A45">
            <w:pPr>
              <w:jc w:val="left"/>
              <w:rPr>
                <w:rFonts w:ascii="Arial Narrow" w:hAnsi="Arial Narrow"/>
              </w:rPr>
            </w:pPr>
            <w:r w:rsidRPr="008D7982">
              <w:rPr>
                <w:rFonts w:ascii="Arial Narrow" w:hAnsi="Arial Narrow"/>
              </w:rPr>
              <w:t>Established osteoporosis</w:t>
            </w:r>
          </w:p>
          <w:p w:rsidR="00D8067A" w:rsidRPr="008D7982" w:rsidRDefault="00D8067A" w:rsidP="00324A45">
            <w:pPr>
              <w:jc w:val="left"/>
              <w:rPr>
                <w:rFonts w:ascii="Arial Narrow" w:hAnsi="Arial Narrow"/>
              </w:rPr>
            </w:pPr>
            <w:r w:rsidRPr="008D7982">
              <w:rPr>
                <w:rFonts w:ascii="Arial Narrow" w:hAnsi="Arial Narrow"/>
              </w:rPr>
              <w:t>The Clinical criteria is:</w:t>
            </w:r>
          </w:p>
          <w:p w:rsidR="00D8067A" w:rsidRPr="008D7982" w:rsidRDefault="00D8067A" w:rsidP="00324A45">
            <w:pPr>
              <w:jc w:val="left"/>
              <w:rPr>
                <w:rFonts w:ascii="Arial Narrow" w:hAnsi="Arial Narrow"/>
              </w:rPr>
            </w:pPr>
            <w:r w:rsidRPr="008D7982">
              <w:rPr>
                <w:rFonts w:ascii="Arial Narrow" w:hAnsi="Arial Narrow"/>
              </w:rPr>
              <w:t>Patient must have fracture due to minimal trauma,</w:t>
            </w:r>
          </w:p>
          <w:p w:rsidR="00D8067A" w:rsidRPr="008D7982" w:rsidRDefault="00D8067A" w:rsidP="00324A45">
            <w:pPr>
              <w:jc w:val="left"/>
              <w:rPr>
                <w:rFonts w:ascii="Arial Narrow" w:hAnsi="Arial Narrow"/>
              </w:rPr>
            </w:pPr>
            <w:r w:rsidRPr="008D7982">
              <w:rPr>
                <w:rFonts w:ascii="Arial Narrow" w:hAnsi="Arial Narrow"/>
              </w:rPr>
              <w:t>AND the Clinical criteria is:</w:t>
            </w:r>
          </w:p>
          <w:p w:rsidR="00D8067A" w:rsidRPr="008D7982" w:rsidRDefault="00D8067A" w:rsidP="00324A45">
            <w:pPr>
              <w:jc w:val="left"/>
              <w:rPr>
                <w:rFonts w:ascii="Arial Narrow" w:hAnsi="Arial Narrow"/>
              </w:rPr>
            </w:pPr>
            <w:r w:rsidRPr="008D7982">
              <w:rPr>
                <w:rFonts w:ascii="Arial Narrow" w:hAnsi="Arial Narrow"/>
              </w:rPr>
              <w:t>Patient must not receive concomitant treatment with any other PBS-subsidised anti-</w:t>
            </w:r>
            <w:proofErr w:type="spellStart"/>
            <w:r w:rsidRPr="008D7982">
              <w:rPr>
                <w:rFonts w:ascii="Arial Narrow" w:hAnsi="Arial Narrow"/>
              </w:rPr>
              <w:t>resorptive</w:t>
            </w:r>
            <w:proofErr w:type="spellEnd"/>
            <w:r w:rsidRPr="008D7982">
              <w:rPr>
                <w:rFonts w:ascii="Arial Narrow" w:hAnsi="Arial Narrow"/>
              </w:rPr>
              <w:t xml:space="preserve"> agent for this condition.</w:t>
            </w:r>
          </w:p>
          <w:p w:rsidR="00D8067A" w:rsidRPr="008D7982" w:rsidRDefault="00D8067A" w:rsidP="00324A45">
            <w:pPr>
              <w:jc w:val="left"/>
              <w:rPr>
                <w:rFonts w:ascii="Arial Narrow" w:hAnsi="Arial Narrow"/>
              </w:rPr>
            </w:pPr>
            <w:r w:rsidRPr="008D7982">
              <w:rPr>
                <w:rFonts w:ascii="Arial Narrow" w:hAnsi="Arial Narrow"/>
              </w:rPr>
              <w:t xml:space="preserve">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computed tomography (CT) scan or magnetic resonance imaging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any of these heights compared to </w:t>
            </w:r>
            <w:r w:rsidRPr="008D7982">
              <w:rPr>
                <w:rFonts w:ascii="Arial Narrow" w:hAnsi="Arial Narrow"/>
              </w:rPr>
              <w:lastRenderedPageBreak/>
              <w:t>the vertebral body above or below the affected vertebral body..</w:t>
            </w:r>
          </w:p>
        </w:tc>
        <w:tc>
          <w:tcPr>
            <w:tcW w:w="1234" w:type="dxa"/>
          </w:tcPr>
          <w:p w:rsidR="00D8067A" w:rsidRPr="008D7982" w:rsidRDefault="00D8067A" w:rsidP="00324A45">
            <w:pPr>
              <w:jc w:val="left"/>
              <w:rPr>
                <w:rFonts w:ascii="Arial Narrow" w:hAnsi="Arial Narrow"/>
              </w:rPr>
            </w:pPr>
            <w:r w:rsidRPr="008D7982">
              <w:rPr>
                <w:rFonts w:ascii="Arial Narrow" w:hAnsi="Arial Narrow"/>
              </w:rPr>
              <w:lastRenderedPageBreak/>
              <w:t>N/A</w:t>
            </w:r>
          </w:p>
        </w:tc>
      </w:tr>
      <w:tr w:rsidR="00D8067A" w:rsidRPr="008D7982" w:rsidTr="00324A45">
        <w:tc>
          <w:tcPr>
            <w:tcW w:w="1744" w:type="dxa"/>
            <w:vMerge w:val="restart"/>
          </w:tcPr>
          <w:p w:rsidR="00D8067A" w:rsidRPr="008D7982" w:rsidRDefault="00D8067A" w:rsidP="00324A45">
            <w:pPr>
              <w:jc w:val="left"/>
              <w:rPr>
                <w:rFonts w:ascii="Arial Narrow" w:hAnsi="Arial Narrow"/>
              </w:rPr>
            </w:pPr>
            <w:proofErr w:type="spellStart"/>
            <w:r w:rsidRPr="008D7982">
              <w:rPr>
                <w:rFonts w:ascii="Arial Narrow" w:hAnsi="Arial Narrow"/>
              </w:rPr>
              <w:lastRenderedPageBreak/>
              <w:t>Calcitriol</w:t>
            </w:r>
            <w:proofErr w:type="spellEnd"/>
          </w:p>
        </w:tc>
        <w:tc>
          <w:tcPr>
            <w:tcW w:w="1438" w:type="dxa"/>
            <w:vMerge w:val="restart"/>
          </w:tcPr>
          <w:p w:rsidR="00D8067A" w:rsidRPr="008D7982" w:rsidRDefault="00D8067A" w:rsidP="00324A45">
            <w:pPr>
              <w:jc w:val="left"/>
              <w:rPr>
                <w:rFonts w:ascii="Arial Narrow" w:hAnsi="Arial Narrow"/>
              </w:rPr>
            </w:pPr>
            <w:r w:rsidRPr="008D7982">
              <w:rPr>
                <w:rFonts w:ascii="Arial Narrow" w:hAnsi="Arial Narrow"/>
              </w:rPr>
              <w:t xml:space="preserve">0.25 </w:t>
            </w:r>
            <w:proofErr w:type="spellStart"/>
            <w:r w:rsidRPr="008D7982">
              <w:rPr>
                <w:rFonts w:ascii="Arial Narrow" w:hAnsi="Arial Narrow"/>
              </w:rPr>
              <w:t>microg</w:t>
            </w:r>
            <w:proofErr w:type="spellEnd"/>
          </w:p>
        </w:tc>
        <w:tc>
          <w:tcPr>
            <w:tcW w:w="1273" w:type="dxa"/>
          </w:tcPr>
          <w:p w:rsidR="00D8067A" w:rsidRPr="008D7982" w:rsidRDefault="00D8067A" w:rsidP="00324A45">
            <w:pPr>
              <w:jc w:val="left"/>
              <w:rPr>
                <w:rFonts w:ascii="Arial Narrow" w:hAnsi="Arial Narrow"/>
              </w:rPr>
            </w:pPr>
            <w:r w:rsidRPr="008D7982">
              <w:rPr>
                <w:rFonts w:ascii="Arial Narrow" w:hAnsi="Arial Narrow"/>
              </w:rPr>
              <w:t>1165</w:t>
            </w:r>
          </w:p>
        </w:tc>
        <w:tc>
          <w:tcPr>
            <w:tcW w:w="8721" w:type="dxa"/>
          </w:tcPr>
          <w:p w:rsidR="00D8067A" w:rsidRPr="008D7982" w:rsidRDefault="00D8067A" w:rsidP="00324A45">
            <w:pPr>
              <w:jc w:val="left"/>
              <w:rPr>
                <w:rFonts w:ascii="Arial Narrow" w:hAnsi="Arial Narrow"/>
              </w:rPr>
            </w:pPr>
            <w:r w:rsidRPr="008D7982">
              <w:rPr>
                <w:rFonts w:ascii="Arial Narrow" w:hAnsi="Arial Narrow"/>
              </w:rPr>
              <w:t>Hypocalcaemia due to renal disease.</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1166</w:t>
            </w:r>
          </w:p>
        </w:tc>
        <w:tc>
          <w:tcPr>
            <w:tcW w:w="8721" w:type="dxa"/>
          </w:tcPr>
          <w:p w:rsidR="00D8067A" w:rsidRPr="008D7982" w:rsidRDefault="00D8067A" w:rsidP="00324A45">
            <w:pPr>
              <w:jc w:val="left"/>
              <w:rPr>
                <w:rFonts w:ascii="Arial Narrow" w:hAnsi="Arial Narrow"/>
              </w:rPr>
            </w:pPr>
            <w:proofErr w:type="spellStart"/>
            <w:r w:rsidRPr="008D7982">
              <w:rPr>
                <w:rFonts w:ascii="Arial Narrow" w:hAnsi="Arial Narrow"/>
              </w:rPr>
              <w:t>Hypoparathyroidism</w:t>
            </w:r>
            <w:proofErr w:type="spellEnd"/>
            <w:r w:rsidRPr="008D7982">
              <w:rPr>
                <w:rFonts w:ascii="Arial Narrow" w:hAnsi="Arial Narrow"/>
              </w:rPr>
              <w:t>.</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1167 </w:t>
            </w:r>
          </w:p>
        </w:tc>
        <w:tc>
          <w:tcPr>
            <w:tcW w:w="8721" w:type="dxa"/>
          </w:tcPr>
          <w:p w:rsidR="00D8067A" w:rsidRPr="008D7982" w:rsidRDefault="00D8067A" w:rsidP="00324A45">
            <w:pPr>
              <w:jc w:val="left"/>
              <w:rPr>
                <w:rFonts w:ascii="Arial Narrow" w:hAnsi="Arial Narrow"/>
              </w:rPr>
            </w:pPr>
            <w:proofErr w:type="spellStart"/>
            <w:r w:rsidRPr="008D7982">
              <w:rPr>
                <w:rFonts w:ascii="Arial Narrow" w:hAnsi="Arial Narrow"/>
              </w:rPr>
              <w:t>Hypophosphataemic</w:t>
            </w:r>
            <w:proofErr w:type="spellEnd"/>
            <w:r w:rsidRPr="008D7982">
              <w:rPr>
                <w:rFonts w:ascii="Arial Narrow" w:hAnsi="Arial Narrow"/>
              </w:rPr>
              <w:t xml:space="preserve"> rickets.</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 xml:space="preserve">1467 </w:t>
            </w:r>
          </w:p>
        </w:tc>
        <w:tc>
          <w:tcPr>
            <w:tcW w:w="8721" w:type="dxa"/>
          </w:tcPr>
          <w:p w:rsidR="00D8067A" w:rsidRPr="008D7982" w:rsidRDefault="00D8067A" w:rsidP="00324A45">
            <w:pPr>
              <w:jc w:val="left"/>
              <w:rPr>
                <w:rFonts w:ascii="Arial Narrow" w:hAnsi="Arial Narrow"/>
              </w:rPr>
            </w:pPr>
            <w:r w:rsidRPr="008D7982">
              <w:rPr>
                <w:rFonts w:ascii="Arial Narrow" w:hAnsi="Arial Narrow"/>
              </w:rPr>
              <w:t>Vitamin D-resistant rickets.</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744" w:type="dxa"/>
            <w:vMerge/>
          </w:tcPr>
          <w:p w:rsidR="00D8067A" w:rsidRPr="008D7982" w:rsidRDefault="00D8067A" w:rsidP="00324A45">
            <w:pPr>
              <w:jc w:val="left"/>
              <w:rPr>
                <w:rFonts w:ascii="Arial Narrow" w:hAnsi="Arial Narrow"/>
              </w:rPr>
            </w:pPr>
          </w:p>
        </w:tc>
        <w:tc>
          <w:tcPr>
            <w:tcW w:w="1438" w:type="dxa"/>
            <w:vMerge/>
          </w:tcPr>
          <w:p w:rsidR="00D8067A" w:rsidRPr="008D7982" w:rsidRDefault="00D8067A" w:rsidP="00324A45">
            <w:pPr>
              <w:jc w:val="left"/>
              <w:rPr>
                <w:rFonts w:ascii="Arial Narrow" w:hAnsi="Arial Narrow"/>
              </w:rPr>
            </w:pPr>
          </w:p>
        </w:tc>
        <w:tc>
          <w:tcPr>
            <w:tcW w:w="1273" w:type="dxa"/>
          </w:tcPr>
          <w:p w:rsidR="00D8067A" w:rsidRPr="008D7982" w:rsidRDefault="00D8067A" w:rsidP="00324A45">
            <w:pPr>
              <w:jc w:val="left"/>
              <w:rPr>
                <w:rFonts w:ascii="Arial Narrow" w:hAnsi="Arial Narrow"/>
              </w:rPr>
            </w:pPr>
            <w:r w:rsidRPr="008D7982">
              <w:rPr>
                <w:rFonts w:ascii="Arial Narrow" w:hAnsi="Arial Narrow"/>
              </w:rPr>
              <w:t>2636</w:t>
            </w:r>
          </w:p>
        </w:tc>
        <w:tc>
          <w:tcPr>
            <w:tcW w:w="8721" w:type="dxa"/>
          </w:tcPr>
          <w:p w:rsidR="00D8067A" w:rsidRPr="008D7982" w:rsidRDefault="00D8067A" w:rsidP="00324A45">
            <w:pPr>
              <w:jc w:val="left"/>
              <w:rPr>
                <w:rFonts w:ascii="Arial Narrow" w:hAnsi="Arial Narrow"/>
              </w:rPr>
            </w:pPr>
            <w:r w:rsidRPr="008D7982">
              <w:rPr>
                <w:rFonts w:ascii="Arial Narrow" w:hAnsi="Arial Narrow"/>
              </w:rPr>
              <w:t>Established osteoporosis in patients with fracture due to minimal trauma.</w:t>
            </w:r>
          </w:p>
        </w:tc>
        <w:tc>
          <w:tcPr>
            <w:tcW w:w="1234" w:type="dxa"/>
          </w:tcPr>
          <w:p w:rsidR="00D8067A" w:rsidRPr="008D7982" w:rsidRDefault="00D8067A" w:rsidP="00324A45">
            <w:pPr>
              <w:jc w:val="left"/>
              <w:rPr>
                <w:rFonts w:ascii="Arial Narrow" w:hAnsi="Arial Narrow"/>
              </w:rPr>
            </w:pPr>
            <w:r w:rsidRPr="008D7982">
              <w:rPr>
                <w:rFonts w:ascii="Arial Narrow" w:hAnsi="Arial Narrow"/>
              </w:rPr>
              <w:t>N/A</w:t>
            </w:r>
          </w:p>
        </w:tc>
      </w:tr>
      <w:tr w:rsidR="00D8067A" w:rsidRPr="008D7982" w:rsidTr="00324A45">
        <w:tc>
          <w:tcPr>
            <w:tcW w:w="14410" w:type="dxa"/>
            <w:gridSpan w:val="5"/>
          </w:tcPr>
          <w:p w:rsidR="00D8067A" w:rsidRPr="008D7982" w:rsidRDefault="00D8067A" w:rsidP="00324A45">
            <w:pPr>
              <w:jc w:val="left"/>
              <w:rPr>
                <w:rFonts w:ascii="Arial Narrow" w:hAnsi="Arial Narrow"/>
              </w:rPr>
            </w:pPr>
            <w:r w:rsidRPr="008D7982">
              <w:rPr>
                <w:rFonts w:ascii="Arial Narrow" w:hAnsi="Arial Narrow"/>
              </w:rPr>
              <w:t>1153 Heterotopic ossification.</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1165 Hypocalcaemia due to renal disease.</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1166Hypoparathyroidism.</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1167 </w:t>
            </w:r>
            <w:proofErr w:type="spellStart"/>
            <w:r w:rsidRPr="008D7982">
              <w:rPr>
                <w:rFonts w:ascii="Arial Narrow" w:hAnsi="Arial Narrow"/>
              </w:rPr>
              <w:t>Hypophosphataemic</w:t>
            </w:r>
            <w:proofErr w:type="spellEnd"/>
            <w:r w:rsidRPr="008D7982">
              <w:rPr>
                <w:rFonts w:ascii="Arial Narrow" w:hAnsi="Arial Narrow"/>
              </w:rPr>
              <w:t xml:space="preserve"> rickets.</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1467 Vitamin D-resistant rickets.</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2636Treatment for established osteoporosis in patients with fracture due to minimal trauma. 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CT-scan or MRI </w:t>
            </w:r>
            <w:r w:rsidRPr="008D7982">
              <w:rPr>
                <w:rFonts w:ascii="Arial Narrow" w:hAnsi="Arial Narrow"/>
              </w:rPr>
              <w:lastRenderedPageBreak/>
              <w:t xml:space="preserve">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2645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osteoporosis in a patient aged 70 years of age or older with a Bone Mineral Density (BMD) T-score of -3.0 or less.  The date, site (femoral neck or lumbar spine) and score of the qualifying BMD measurement must be documented in the patient's medical records when treatment is initiated.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2646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established osteoporosis in patients with fracture due to minimal trauma. 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CT-scan or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D8067A" w:rsidRPr="008D7982" w:rsidRDefault="00D8067A" w:rsidP="00324A45">
            <w:pPr>
              <w:jc w:val="left"/>
              <w:rPr>
                <w:rFonts w:ascii="Arial Narrow" w:hAnsi="Arial Narrow"/>
              </w:rPr>
            </w:pPr>
            <w:r w:rsidRPr="008D7982">
              <w:rPr>
                <w:rFonts w:ascii="Arial Narrow" w:hAnsi="Arial Narrow"/>
              </w:rPr>
              <w:t xml:space="preserve">Note </w:t>
            </w:r>
          </w:p>
          <w:p w:rsidR="00D8067A" w:rsidRPr="008D7982" w:rsidRDefault="00D8067A" w:rsidP="00324A45">
            <w:pPr>
              <w:jc w:val="left"/>
              <w:rPr>
                <w:rFonts w:ascii="Arial Narrow" w:hAnsi="Arial Narrow"/>
              </w:rPr>
            </w:pPr>
            <w:r w:rsidRPr="008D7982">
              <w:rPr>
                <w:rFonts w:ascii="Arial Narrow" w:hAnsi="Arial Narrow"/>
              </w:rPr>
              <w:t>Anti-</w:t>
            </w:r>
            <w:proofErr w:type="spellStart"/>
            <w:r w:rsidRPr="008D7982">
              <w:rPr>
                <w:rFonts w:ascii="Arial Narrow" w:hAnsi="Arial Narrow"/>
              </w:rPr>
              <w:t>resorptive</w:t>
            </w:r>
            <w:proofErr w:type="spellEnd"/>
            <w:r w:rsidRPr="008D7982">
              <w:rPr>
                <w:rFonts w:ascii="Arial Narrow" w:hAnsi="Arial Narrow"/>
              </w:rPr>
              <w:t xml:space="preserve"> agents in established osteoporosis include alendronate sodium, </w:t>
            </w:r>
            <w:proofErr w:type="spellStart"/>
            <w:r w:rsidRPr="008D7982">
              <w:rPr>
                <w:rFonts w:ascii="Arial Narrow" w:hAnsi="Arial Narrow"/>
              </w:rPr>
              <w:t>risedronate</w:t>
            </w:r>
            <w:proofErr w:type="spellEnd"/>
            <w:r w:rsidRPr="008D7982">
              <w:rPr>
                <w:rFonts w:ascii="Arial Narrow" w:hAnsi="Arial Narrow"/>
              </w:rPr>
              <w:t xml:space="preserve"> sodium, </w:t>
            </w:r>
            <w:proofErr w:type="spellStart"/>
            <w:r w:rsidRPr="008D7982">
              <w:rPr>
                <w:rFonts w:ascii="Arial Narrow" w:hAnsi="Arial Narrow"/>
              </w:rPr>
              <w:t>denosumab</w:t>
            </w:r>
            <w:proofErr w:type="spellEnd"/>
            <w:r w:rsidRPr="008D7982">
              <w:rPr>
                <w:rFonts w:ascii="Arial Narrow" w:hAnsi="Arial Narrow"/>
              </w:rPr>
              <w:t xml:space="preserve">, disodium </w:t>
            </w:r>
            <w:proofErr w:type="spellStart"/>
            <w:r w:rsidRPr="008D7982">
              <w:rPr>
                <w:rFonts w:ascii="Arial Narrow" w:hAnsi="Arial Narrow"/>
              </w:rPr>
              <w:t>etidronate</w:t>
            </w:r>
            <w:proofErr w:type="spellEnd"/>
            <w:r w:rsidRPr="008D7982">
              <w:rPr>
                <w:rFonts w:ascii="Arial Narrow" w:hAnsi="Arial Narrow"/>
              </w:rPr>
              <w:t xml:space="preserve">, </w:t>
            </w:r>
            <w:proofErr w:type="spellStart"/>
            <w:r w:rsidRPr="008D7982">
              <w:rPr>
                <w:rFonts w:ascii="Arial Narrow" w:hAnsi="Arial Narrow"/>
              </w:rPr>
              <w:t>raloxifene</w:t>
            </w:r>
            <w:proofErr w:type="spellEnd"/>
            <w:r w:rsidRPr="008D7982">
              <w:rPr>
                <w:rFonts w:ascii="Arial Narrow" w:hAnsi="Arial Narrow"/>
              </w:rPr>
              <w:t xml:space="preserve"> hydrochloride, strontium </w:t>
            </w:r>
            <w:proofErr w:type="spellStart"/>
            <w:r w:rsidRPr="008D7982">
              <w:rPr>
                <w:rFonts w:ascii="Arial Narrow" w:hAnsi="Arial Narrow"/>
              </w:rPr>
              <w:t>ranelate</w:t>
            </w:r>
            <w:proofErr w:type="spellEnd"/>
            <w:r w:rsidRPr="008D7982">
              <w:rPr>
                <w:rFonts w:ascii="Arial Narrow" w:hAnsi="Arial Narrow"/>
              </w:rPr>
              <w:t xml:space="preserve"> and </w:t>
            </w:r>
            <w:proofErr w:type="spellStart"/>
            <w:r w:rsidRPr="008D7982">
              <w:rPr>
                <w:rFonts w:ascii="Arial Narrow" w:hAnsi="Arial Narrow"/>
              </w:rPr>
              <w:t>zoledronic</w:t>
            </w:r>
            <w:proofErr w:type="spellEnd"/>
            <w:r w:rsidRPr="008D7982">
              <w:rPr>
                <w:rFonts w:ascii="Arial Narrow" w:hAnsi="Arial Narrow"/>
              </w:rPr>
              <w:t xml:space="preserve"> acid.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2647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established post-menopausal osteoporosis in patients with fracture due to minimal trauma. 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CT-scan or MRI scan must be documented in the patient's medical records when treatment is initiated.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w:t>
            </w:r>
            <w:r w:rsidRPr="008D7982">
              <w:rPr>
                <w:rFonts w:ascii="Arial Narrow" w:hAnsi="Arial Narrow"/>
              </w:rPr>
              <w:lastRenderedPageBreak/>
              <w:t xml:space="preserve">any of these heights compared to the vertebral body above or below the affected vertebral body.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Note </w:t>
            </w:r>
          </w:p>
          <w:p w:rsidR="00D8067A" w:rsidRPr="008D7982" w:rsidRDefault="00D8067A" w:rsidP="00324A45">
            <w:pPr>
              <w:jc w:val="left"/>
              <w:rPr>
                <w:rFonts w:ascii="Arial Narrow" w:hAnsi="Arial Narrow"/>
              </w:rPr>
            </w:pPr>
            <w:r w:rsidRPr="008D7982">
              <w:rPr>
                <w:rFonts w:ascii="Arial Narrow" w:hAnsi="Arial Narrow"/>
              </w:rPr>
              <w:t>Anti-</w:t>
            </w:r>
            <w:proofErr w:type="spellStart"/>
            <w:r w:rsidRPr="008D7982">
              <w:rPr>
                <w:rFonts w:ascii="Arial Narrow" w:hAnsi="Arial Narrow"/>
              </w:rPr>
              <w:t>resorptive</w:t>
            </w:r>
            <w:proofErr w:type="spellEnd"/>
            <w:r w:rsidRPr="008D7982">
              <w:rPr>
                <w:rFonts w:ascii="Arial Narrow" w:hAnsi="Arial Narrow"/>
              </w:rPr>
              <w:t xml:space="preserve"> agents in established osteoporosis include alendronate sodium, </w:t>
            </w:r>
            <w:proofErr w:type="spellStart"/>
            <w:r w:rsidRPr="008D7982">
              <w:rPr>
                <w:rFonts w:ascii="Arial Narrow" w:hAnsi="Arial Narrow"/>
              </w:rPr>
              <w:t>risedronate</w:t>
            </w:r>
            <w:proofErr w:type="spellEnd"/>
            <w:r w:rsidRPr="008D7982">
              <w:rPr>
                <w:rFonts w:ascii="Arial Narrow" w:hAnsi="Arial Narrow"/>
              </w:rPr>
              <w:t xml:space="preserve"> sodium, </w:t>
            </w:r>
            <w:proofErr w:type="spellStart"/>
            <w:r w:rsidRPr="008D7982">
              <w:rPr>
                <w:rFonts w:ascii="Arial Narrow" w:hAnsi="Arial Narrow"/>
              </w:rPr>
              <w:t>denosumab</w:t>
            </w:r>
            <w:proofErr w:type="spellEnd"/>
            <w:r w:rsidRPr="008D7982">
              <w:rPr>
                <w:rFonts w:ascii="Arial Narrow" w:hAnsi="Arial Narrow"/>
              </w:rPr>
              <w:t xml:space="preserve">, disodium </w:t>
            </w:r>
            <w:proofErr w:type="spellStart"/>
            <w:r w:rsidRPr="008D7982">
              <w:rPr>
                <w:rFonts w:ascii="Arial Narrow" w:hAnsi="Arial Narrow"/>
              </w:rPr>
              <w:t>etidronate</w:t>
            </w:r>
            <w:proofErr w:type="spellEnd"/>
            <w:r w:rsidRPr="008D7982">
              <w:rPr>
                <w:rFonts w:ascii="Arial Narrow" w:hAnsi="Arial Narrow"/>
              </w:rPr>
              <w:t xml:space="preserve">, </w:t>
            </w:r>
            <w:proofErr w:type="spellStart"/>
            <w:r w:rsidRPr="008D7982">
              <w:rPr>
                <w:rFonts w:ascii="Arial Narrow" w:hAnsi="Arial Narrow"/>
              </w:rPr>
              <w:t>raloxifene</w:t>
            </w:r>
            <w:proofErr w:type="spellEnd"/>
            <w:r w:rsidRPr="008D7982">
              <w:rPr>
                <w:rFonts w:ascii="Arial Narrow" w:hAnsi="Arial Narrow"/>
              </w:rPr>
              <w:t xml:space="preserve"> hydrochloride, strontium </w:t>
            </w:r>
            <w:proofErr w:type="spellStart"/>
            <w:r w:rsidRPr="008D7982">
              <w:rPr>
                <w:rFonts w:ascii="Arial Narrow" w:hAnsi="Arial Narrow"/>
              </w:rPr>
              <w:t>ranelate</w:t>
            </w:r>
            <w:proofErr w:type="spellEnd"/>
            <w:r w:rsidRPr="008D7982">
              <w:rPr>
                <w:rFonts w:ascii="Arial Narrow" w:hAnsi="Arial Narrow"/>
              </w:rPr>
              <w:t xml:space="preserve"> and </w:t>
            </w:r>
            <w:proofErr w:type="spellStart"/>
            <w:r w:rsidRPr="008D7982">
              <w:rPr>
                <w:rFonts w:ascii="Arial Narrow" w:hAnsi="Arial Narrow"/>
              </w:rPr>
              <w:t>zoledronic</w:t>
            </w:r>
            <w:proofErr w:type="spellEnd"/>
            <w:r w:rsidRPr="008D7982">
              <w:rPr>
                <w:rFonts w:ascii="Arial Narrow" w:hAnsi="Arial Narrow"/>
              </w:rPr>
              <w:t xml:space="preserve"> acid.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2758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osteoporosis in a woman aged 70 years or older with a bone mineral density (BMD) T-score of -3.0 or less.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The date, site (femoral neck or lumbar spine) and score of the qualifying BMD measurement must be documented in the patient's medical records when treatment is initiated. </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3070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corticosteroid-induced osteoporosis in a patient currently on long-term (at least 3 months), high-dose (at least 7.5 mg per day prednisolone or equivalent) corticosteroid therapy with a Bone Mineral Density (BMD) T-score of -1.5 or less. The duration and dose of corticosteroid therapy together with the date, site (femoral neck or lumbar spine) and score of the qualifying BMD measurement must be documented in the patient's medical records when treatment is initiated.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3256 Symptomatic Paget disease of bone.</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3257 Symptomatic Paget disease of bone when calcitonin has been found to be unsatisfactory due to lack of efficacy</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lastRenderedPageBreak/>
              <w:t>3258 Symptomatic Paget disease of bone when calcitonin has been found to be unsatisfactory due to unacceptable side effects</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 xml:space="preserve">3341Treatment of </w:t>
            </w:r>
            <w:proofErr w:type="spellStart"/>
            <w:r w:rsidRPr="008D7982">
              <w:rPr>
                <w:rFonts w:ascii="Arial Narrow" w:hAnsi="Arial Narrow"/>
              </w:rPr>
              <w:t>hypercalcaemia</w:t>
            </w:r>
            <w:proofErr w:type="spellEnd"/>
            <w:r w:rsidRPr="008D7982">
              <w:rPr>
                <w:rFonts w:ascii="Arial Narrow" w:hAnsi="Arial Narrow"/>
              </w:rPr>
              <w:t xml:space="preserve"> of malignancy refractory to anti-neoplastic therapy</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3342 Multiple myeloma</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3343 Bone metastases from breast cancer</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3256 Symptomatic Paget disease of bone.</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3257 Symptomatic Paget disease of bone when calcitonin has been found to be unsatisfactory due to lack of efficacy.</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3258 Symptomatic Paget disease of bone when calcitonin has been found to be unsatisfactory due to unacceptable side effects.</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3933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osteoporosis in a patient aged 70 years of age or older with a Bone Mineral Density (BMD) T-score of -2.5 or less. The date, site (femoral neck or lumbar spine) and score of the qualifying BMD measurement must be documented in the patient's medical records when treatment is initiated.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lastRenderedPageBreak/>
              <w:t>3945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corticosteroid-induced osteoporosis in a patient currently on long-term (at least 3 months), high-dose (at least 7.5 mg per day prednisolone or equivalent) corticosteroid therapy with a Bone Mineral Density (BMD) T-score of -1.5 or less.</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3946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established osteoporosis in a patient with fracture due to minimal trauma. </w:t>
            </w: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D8067A" w:rsidRPr="008D7982" w:rsidRDefault="00D8067A" w:rsidP="00324A45">
            <w:pPr>
              <w:jc w:val="left"/>
              <w:rPr>
                <w:rFonts w:ascii="Arial Narrow" w:hAnsi="Arial Narrow"/>
              </w:rPr>
            </w:pPr>
            <w:r w:rsidRPr="008D7982">
              <w:rPr>
                <w:rFonts w:ascii="Arial Narrow" w:hAnsi="Arial Narrow"/>
              </w:rPr>
              <w:t xml:space="preserve">In all cases, 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CT-scan or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Only 1 treatment each year per patient will be PBS-subsidised.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3947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osteoporosis in a patient aged 70 years of age or older with a Bone Mineral Density (BMD) T-score of -3.0 or less. </w:t>
            </w:r>
          </w:p>
          <w:p w:rsidR="00D8067A" w:rsidRPr="008D7982" w:rsidRDefault="00D8067A" w:rsidP="00324A45">
            <w:pPr>
              <w:jc w:val="left"/>
              <w:rPr>
                <w:rFonts w:ascii="Arial Narrow" w:hAnsi="Arial Narrow"/>
              </w:rPr>
            </w:pPr>
            <w:r w:rsidRPr="008D7982">
              <w:rPr>
                <w:rFonts w:ascii="Arial Narrow" w:hAnsi="Arial Narrow"/>
              </w:rPr>
              <w:t xml:space="preserve">The date, site (femoral neck or lumbar spine) and score of the qualifying BMD measurement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Only 1 treatment each year per patient will be PBS-subsidised.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3987</w:t>
            </w:r>
          </w:p>
          <w:p w:rsidR="00D8067A" w:rsidRPr="008D7982" w:rsidRDefault="00D8067A" w:rsidP="00324A45">
            <w:pPr>
              <w:jc w:val="left"/>
              <w:rPr>
                <w:rFonts w:ascii="Arial Narrow" w:hAnsi="Arial Narrow"/>
              </w:rPr>
            </w:pPr>
            <w:r w:rsidRPr="008D7982">
              <w:rPr>
                <w:rFonts w:ascii="Arial Narrow" w:hAnsi="Arial Narrow"/>
              </w:rPr>
              <w:t>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established post-menopausal osteoporosis in a woman with fracture due to minimal trauma. The fracture must have been demonstrated </w:t>
            </w:r>
            <w:proofErr w:type="spellStart"/>
            <w:r w:rsidRPr="008D7982">
              <w:rPr>
                <w:rFonts w:ascii="Arial Narrow" w:hAnsi="Arial Narrow"/>
              </w:rPr>
              <w:t>radiologically</w:t>
            </w:r>
            <w:proofErr w:type="spellEnd"/>
            <w:r w:rsidRPr="008D7982">
              <w:rPr>
                <w:rFonts w:ascii="Arial Narrow" w:hAnsi="Arial Narrow"/>
              </w:rPr>
              <w:t xml:space="preserve"> and the year of plain x-ray or CT-scan or MRI scan must be documented in the patient's medical records when treatment is initiated. </w:t>
            </w:r>
          </w:p>
          <w:p w:rsidR="00D8067A" w:rsidRPr="008D7982" w:rsidRDefault="00D8067A" w:rsidP="00324A45">
            <w:pPr>
              <w:jc w:val="left"/>
              <w:rPr>
                <w:rFonts w:ascii="Arial Narrow" w:hAnsi="Arial Narrow"/>
              </w:rPr>
            </w:pPr>
            <w:r w:rsidRPr="008D7982">
              <w:rPr>
                <w:rFonts w:ascii="Arial Narrow" w:hAnsi="Arial Narrow"/>
              </w:rPr>
              <w:t xml:space="preserve">A vertebral fracture is defined as a 20% or greater reduction in height of the anterior or mid portion of a vertebral body relative to the posterior height of that body, or, a 20% or greater reduction in </w:t>
            </w:r>
            <w:r w:rsidRPr="008D7982">
              <w:rPr>
                <w:rFonts w:ascii="Arial Narrow" w:hAnsi="Arial Narrow"/>
              </w:rPr>
              <w:lastRenderedPageBreak/>
              <w:t xml:space="preserve">any of these heights compared to the vertebral body above or below the affected vertebral body. </w:t>
            </w:r>
          </w:p>
          <w:p w:rsidR="00D8067A" w:rsidRPr="008D7982" w:rsidRDefault="00D8067A" w:rsidP="00324A45">
            <w:pPr>
              <w:jc w:val="left"/>
              <w:rPr>
                <w:rFonts w:ascii="Arial Narrow" w:hAnsi="Arial Narrow"/>
              </w:rPr>
            </w:pPr>
            <w:r w:rsidRPr="008D7982">
              <w:rPr>
                <w:rFonts w:ascii="Arial Narrow" w:hAnsi="Arial Narrow"/>
              </w:rPr>
              <w:t xml:space="preserve">Note </w:t>
            </w:r>
          </w:p>
          <w:p w:rsidR="00D8067A" w:rsidRPr="008D7982" w:rsidRDefault="00D8067A" w:rsidP="00324A45">
            <w:pPr>
              <w:jc w:val="left"/>
              <w:rPr>
                <w:rFonts w:ascii="Arial Narrow" w:hAnsi="Arial Narrow"/>
              </w:rPr>
            </w:pPr>
            <w:r w:rsidRPr="008D7982">
              <w:rPr>
                <w:rFonts w:ascii="Arial Narrow" w:hAnsi="Arial Narrow"/>
              </w:rPr>
              <w:t>Anti-</w:t>
            </w:r>
            <w:proofErr w:type="spellStart"/>
            <w:r w:rsidRPr="008D7982">
              <w:rPr>
                <w:rFonts w:ascii="Arial Narrow" w:hAnsi="Arial Narrow"/>
              </w:rPr>
              <w:t>resorptive</w:t>
            </w:r>
            <w:proofErr w:type="spellEnd"/>
            <w:r w:rsidRPr="008D7982">
              <w:rPr>
                <w:rFonts w:ascii="Arial Narrow" w:hAnsi="Arial Narrow"/>
              </w:rPr>
              <w:t xml:space="preserve"> agents in established osteoporosis include alendronate sodium, </w:t>
            </w:r>
            <w:proofErr w:type="spellStart"/>
            <w:r w:rsidRPr="008D7982">
              <w:rPr>
                <w:rFonts w:ascii="Arial Narrow" w:hAnsi="Arial Narrow"/>
              </w:rPr>
              <w:t>risedronate</w:t>
            </w:r>
            <w:proofErr w:type="spellEnd"/>
            <w:r w:rsidRPr="008D7982">
              <w:rPr>
                <w:rFonts w:ascii="Arial Narrow" w:hAnsi="Arial Narrow"/>
              </w:rPr>
              <w:t xml:space="preserve"> sodium, </w:t>
            </w:r>
            <w:proofErr w:type="spellStart"/>
            <w:r w:rsidRPr="008D7982">
              <w:rPr>
                <w:rFonts w:ascii="Arial Narrow" w:hAnsi="Arial Narrow"/>
              </w:rPr>
              <w:t>denosumab</w:t>
            </w:r>
            <w:proofErr w:type="spellEnd"/>
            <w:r w:rsidRPr="008D7982">
              <w:rPr>
                <w:rFonts w:ascii="Arial Narrow" w:hAnsi="Arial Narrow"/>
              </w:rPr>
              <w:t xml:space="preserve">, disodium </w:t>
            </w:r>
            <w:proofErr w:type="spellStart"/>
            <w:r w:rsidRPr="008D7982">
              <w:rPr>
                <w:rFonts w:ascii="Arial Narrow" w:hAnsi="Arial Narrow"/>
              </w:rPr>
              <w:t>etidronate</w:t>
            </w:r>
            <w:proofErr w:type="spellEnd"/>
            <w:r w:rsidRPr="008D7982">
              <w:rPr>
                <w:rFonts w:ascii="Arial Narrow" w:hAnsi="Arial Narrow"/>
              </w:rPr>
              <w:t xml:space="preserve">, </w:t>
            </w:r>
            <w:proofErr w:type="spellStart"/>
            <w:r w:rsidRPr="008D7982">
              <w:rPr>
                <w:rFonts w:ascii="Arial Narrow" w:hAnsi="Arial Narrow"/>
              </w:rPr>
              <w:t>raloxifene</w:t>
            </w:r>
            <w:proofErr w:type="spellEnd"/>
            <w:r w:rsidRPr="008D7982">
              <w:rPr>
                <w:rFonts w:ascii="Arial Narrow" w:hAnsi="Arial Narrow"/>
              </w:rPr>
              <w:t xml:space="preserve"> hydrochloride, strontium </w:t>
            </w:r>
            <w:proofErr w:type="spellStart"/>
            <w:r w:rsidRPr="008D7982">
              <w:rPr>
                <w:rFonts w:ascii="Arial Narrow" w:hAnsi="Arial Narrow"/>
              </w:rPr>
              <w:t>ranelate</w:t>
            </w:r>
            <w:proofErr w:type="spellEnd"/>
            <w:r w:rsidRPr="008D7982">
              <w:rPr>
                <w:rFonts w:ascii="Arial Narrow" w:hAnsi="Arial Narrow"/>
              </w:rPr>
              <w:t xml:space="preserve"> and </w:t>
            </w:r>
            <w:proofErr w:type="spellStart"/>
            <w:r w:rsidRPr="008D7982">
              <w:rPr>
                <w:rFonts w:ascii="Arial Narrow" w:hAnsi="Arial Narrow"/>
              </w:rPr>
              <w:t>zoledronic</w:t>
            </w:r>
            <w:proofErr w:type="spellEnd"/>
            <w:r w:rsidRPr="008D7982">
              <w:rPr>
                <w:rFonts w:ascii="Arial Narrow" w:hAnsi="Arial Narrow"/>
              </w:rPr>
              <w:t xml:space="preserve"> acid.</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4052Bone metastases from castration-resistant prostate cancer.</w:t>
            </w:r>
          </w:p>
          <w:p w:rsidR="00D8067A" w:rsidRPr="008D7982" w:rsidRDefault="00D8067A" w:rsidP="00324A45">
            <w:pPr>
              <w:jc w:val="left"/>
              <w:rPr>
                <w:rFonts w:ascii="Arial Narrow" w:hAnsi="Arial Narrow"/>
              </w:rPr>
            </w:pPr>
          </w:p>
          <w:p w:rsidR="00D8067A" w:rsidRPr="008D7982" w:rsidRDefault="00D8067A" w:rsidP="00324A45">
            <w:pPr>
              <w:jc w:val="left"/>
              <w:rPr>
                <w:rFonts w:ascii="Arial Narrow" w:hAnsi="Arial Narrow"/>
              </w:rPr>
            </w:pPr>
            <w:r w:rsidRPr="008D7982">
              <w:rPr>
                <w:rFonts w:ascii="Arial Narrow" w:hAnsi="Arial Narrow"/>
              </w:rPr>
              <w:t>4054 Treatment as the sole PBS-subsidised anti-</w:t>
            </w:r>
            <w:proofErr w:type="spellStart"/>
            <w:r w:rsidRPr="008D7982">
              <w:rPr>
                <w:rFonts w:ascii="Arial Narrow" w:hAnsi="Arial Narrow"/>
              </w:rPr>
              <w:t>resorptive</w:t>
            </w:r>
            <w:proofErr w:type="spellEnd"/>
            <w:r w:rsidRPr="008D7982">
              <w:rPr>
                <w:rFonts w:ascii="Arial Narrow" w:hAnsi="Arial Narrow"/>
              </w:rPr>
              <w:t xml:space="preserve"> agent for osteoporosis in a woman aged 70 years of age or older with a Bone Mineral Density (BMD) T-score of -2.5 or less. </w:t>
            </w:r>
          </w:p>
          <w:p w:rsidR="00D8067A" w:rsidRPr="008D7982" w:rsidRDefault="00D8067A" w:rsidP="00324A45">
            <w:pPr>
              <w:jc w:val="left"/>
              <w:rPr>
                <w:rFonts w:ascii="Arial Narrow" w:hAnsi="Arial Narrow"/>
              </w:rPr>
            </w:pPr>
            <w:r w:rsidRPr="008D7982">
              <w:rPr>
                <w:rFonts w:ascii="Arial Narrow" w:hAnsi="Arial Narrow"/>
              </w:rPr>
              <w:t>The date, site (femoral neck or lumbar spine) and score of the qualifying BMD measurement must be documented in the patient's medical records when treatment is initiated.</w:t>
            </w:r>
          </w:p>
        </w:tc>
      </w:tr>
    </w:tbl>
    <w:p w:rsidR="00D8067A" w:rsidRDefault="00D8067A" w:rsidP="00436EDB">
      <w:pPr>
        <w:spacing w:after="200" w:line="276" w:lineRule="auto"/>
        <w:jc w:val="left"/>
        <w:rPr>
          <w:rFonts w:ascii="Calibri" w:eastAsia="Times New Roman" w:hAnsi="Calibri" w:cs="Times New Roman"/>
          <w:sz w:val="22"/>
          <w:szCs w:val="22"/>
          <w:lang w:eastAsia="en-US"/>
        </w:rPr>
      </w:pPr>
    </w:p>
    <w:p w:rsidR="00D8067A" w:rsidRPr="00C43181" w:rsidRDefault="00D8067A" w:rsidP="00436EDB">
      <w:pPr>
        <w:spacing w:after="200" w:line="276" w:lineRule="auto"/>
        <w:jc w:val="left"/>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Source: </w:t>
      </w:r>
      <w:r w:rsidRPr="00F529FB">
        <w:rPr>
          <w:rFonts w:ascii="Calibri" w:eastAsia="Times New Roman" w:hAnsi="Calibri" w:cs="Times New Roman"/>
          <w:sz w:val="22"/>
          <w:szCs w:val="22"/>
          <w:lang w:eastAsia="en-US"/>
        </w:rPr>
        <w:t>Pharmaceutical Benefits Scheme (PBS)</w:t>
      </w:r>
      <w:r>
        <w:rPr>
          <w:rFonts w:ascii="Calibri" w:eastAsia="Times New Roman" w:hAnsi="Calibri" w:cs="Times New Roman"/>
          <w:sz w:val="22"/>
          <w:szCs w:val="22"/>
          <w:lang w:eastAsia="en-US"/>
        </w:rPr>
        <w:t xml:space="preserve"> as on 01/09/2012 &lt;</w:t>
      </w:r>
      <w:hyperlink r:id="rId17" w:tooltip="This is a link to the Pharmaceutical Benefits Scheme (PBS) website" w:history="1">
        <w:r w:rsidRPr="005A0C93">
          <w:rPr>
            <w:rStyle w:val="Hyperlink"/>
            <w:rFonts w:ascii="Calibri" w:eastAsia="Times New Roman" w:hAnsi="Calibri"/>
            <w:sz w:val="22"/>
            <w:szCs w:val="22"/>
            <w:lang w:eastAsia="en-US"/>
          </w:rPr>
          <w:t>http://www.pbs.gov.au/browse/body-system?depth=3&amp;codes=m05b</w:t>
        </w:r>
      </w:hyperlink>
      <w:r>
        <w:rPr>
          <w:rFonts w:ascii="Calibri" w:eastAsia="Times New Roman" w:hAnsi="Calibri" w:cs="Times New Roman"/>
          <w:sz w:val="22"/>
          <w:szCs w:val="22"/>
          <w:lang w:eastAsia="en-US"/>
        </w:rPr>
        <w:t xml:space="preserve">&gt;. Authority required to access details of indication for each drug. </w:t>
      </w:r>
    </w:p>
    <w:p w:rsidR="00D8067A" w:rsidRDefault="00D8067A" w:rsidP="0031428F"/>
    <w:p w:rsidR="00D8067A" w:rsidRDefault="00D8067A" w:rsidP="0031428F">
      <w:pPr>
        <w:spacing w:after="0" w:line="240" w:lineRule="auto"/>
        <w:jc w:val="left"/>
      </w:pPr>
      <w:r>
        <w:br w:type="page"/>
      </w:r>
    </w:p>
    <w:p w:rsidR="00D8067A" w:rsidRPr="00613957" w:rsidRDefault="00D8067A" w:rsidP="0031428F">
      <w:pPr>
        <w:pStyle w:val="Heading1"/>
      </w:pPr>
      <w:bookmarkStart w:id="62" w:name="_Toc335902686"/>
      <w:bookmarkStart w:id="63" w:name="_Toc335905430"/>
      <w:bookmarkStart w:id="64" w:name="_Toc362968505"/>
      <w:r w:rsidRPr="00613957">
        <w:lastRenderedPageBreak/>
        <w:t xml:space="preserve">Appendix </w:t>
      </w:r>
      <w:r>
        <w:t>4</w:t>
      </w:r>
      <w:r>
        <w:tab/>
        <w:t>PBS anti-osteoporotic medication, listed according to eligible indication</w:t>
      </w:r>
      <w:bookmarkEnd w:id="62"/>
      <w:bookmarkEnd w:id="63"/>
      <w:bookmarkEnd w:id="64"/>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gridCol w:w="4536"/>
      </w:tblGrid>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Indication</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ARTG</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PBS (indicated T-score)</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Prevention and/or treatment of osteoporosis</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sodium:120028, 76851;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141530, 150618, 166838, 166853, 166942, 74135, 82746</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Treatment for established osteoporosis (T-score </w:t>
            </w:r>
            <w:r w:rsidRPr="00BE56F3">
              <w:rPr>
                <w:rFonts w:ascii="Arial Narrow" w:eastAsia="Times New Roman" w:hAnsi="Arial Narrow" w:cs="Calibri"/>
                <w:lang w:eastAsia="en-US"/>
              </w:rPr>
              <w:t>≤</w:t>
            </w:r>
            <w:r w:rsidRPr="00BE56F3">
              <w:rPr>
                <w:rFonts w:ascii="Arial Narrow" w:eastAsia="Times New Roman" w:hAnsi="Arial Narrow" w:cs="Times New Roman"/>
                <w:lang w:eastAsia="en-US"/>
              </w:rPr>
              <w:t>-2.0) (MBS item 12321)</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76851, 9333, 161137, 73520, 67262, 73772; Disodium </w:t>
            </w:r>
            <w:proofErr w:type="spellStart"/>
            <w:r w:rsidRPr="00BE56F3">
              <w:rPr>
                <w:rFonts w:ascii="Arial Narrow" w:eastAsia="Times New Roman" w:hAnsi="Arial Narrow" w:cs="Times New Roman"/>
                <w:lang w:eastAsia="en-US"/>
              </w:rPr>
              <w:t>etidronate</w:t>
            </w:r>
            <w:proofErr w:type="spellEnd"/>
            <w:r w:rsidRPr="00BE56F3">
              <w:rPr>
                <w:rFonts w:ascii="Arial Narrow" w:eastAsia="Times New Roman" w:hAnsi="Arial Narrow" w:cs="Times New Roman"/>
                <w:lang w:eastAsia="en-US"/>
              </w:rPr>
              <w:t>: 46852</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14283" w:type="dxa"/>
            <w:gridSpan w:val="3"/>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b/>
                <w:lang w:eastAsia="en-US"/>
              </w:rPr>
              <w:t xml:space="preserve">Risk factors for osteoporosis </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Postmenopausal women, with fracture</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157805, 68428, 120028, 53158, 67262, 76851, 98944; Disodium </w:t>
            </w:r>
            <w:proofErr w:type="spellStart"/>
            <w:r w:rsidRPr="00BE56F3">
              <w:rPr>
                <w:rFonts w:ascii="Arial Narrow" w:eastAsia="Times New Roman" w:hAnsi="Arial Narrow" w:cs="Times New Roman"/>
                <w:lang w:eastAsia="en-US"/>
              </w:rPr>
              <w:t>etidronate</w:t>
            </w:r>
            <w:proofErr w:type="spellEnd"/>
            <w:r w:rsidRPr="00BE56F3">
              <w:rPr>
                <w:rFonts w:ascii="Arial Narrow" w:eastAsia="Times New Roman" w:hAnsi="Arial Narrow" w:cs="Times New Roman"/>
                <w:lang w:eastAsia="en-US"/>
              </w:rPr>
              <w:t xml:space="preserve">: 46852; </w:t>
            </w:r>
            <w:proofErr w:type="spellStart"/>
            <w:r w:rsidRPr="00BE56F3">
              <w:rPr>
                <w:rFonts w:ascii="Arial Narrow" w:eastAsia="Times New Roman" w:hAnsi="Arial Narrow" w:cs="Times New Roman"/>
                <w:lang w:eastAsia="en-US"/>
              </w:rPr>
              <w:t>Zoledronic</w:t>
            </w:r>
            <w:proofErr w:type="spellEnd"/>
            <w:r w:rsidRPr="00BE56F3">
              <w:rPr>
                <w:rFonts w:ascii="Arial Narrow" w:eastAsia="Times New Roman" w:hAnsi="Arial Narrow" w:cs="Times New Roman"/>
                <w:lang w:eastAsia="en-US"/>
              </w:rPr>
              <w:t xml:space="preserve"> acid: 134664</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proofErr w:type="spellStart"/>
            <w:r w:rsidRPr="00BE56F3">
              <w:rPr>
                <w:rFonts w:ascii="Arial Narrow" w:eastAsia="Times New Roman" w:hAnsi="Arial Narrow" w:cs="Times New Roman"/>
                <w:lang w:eastAsia="en-US"/>
              </w:rPr>
              <w:t>Raloxifene</w:t>
            </w:r>
            <w:proofErr w:type="spellEnd"/>
            <w:r w:rsidRPr="00BE56F3">
              <w:rPr>
                <w:rFonts w:ascii="Arial Narrow" w:eastAsia="Times New Roman" w:hAnsi="Arial Narrow" w:cs="Times New Roman"/>
                <w:lang w:eastAsia="en-US"/>
              </w:rPr>
              <w:t xml:space="preserve"> hydrochloride , </w:t>
            </w:r>
            <w:proofErr w:type="spellStart"/>
            <w:r w:rsidRPr="00BE56F3">
              <w:rPr>
                <w:rFonts w:ascii="Arial Narrow" w:eastAsia="Times New Roman" w:hAnsi="Arial Narrow" w:cs="Times New Roman"/>
                <w:lang w:eastAsia="en-US"/>
              </w:rPr>
              <w:t>Raloxifene</w:t>
            </w:r>
            <w:proofErr w:type="spellEnd"/>
            <w:r w:rsidRPr="00BE56F3">
              <w:rPr>
                <w:rFonts w:ascii="Arial Narrow" w:eastAsia="Times New Roman" w:hAnsi="Arial Narrow" w:cs="Times New Roman"/>
                <w:lang w:eastAsia="en-US"/>
              </w:rPr>
              <w:t xml:space="preserve"> hydrochloride (with fractures), </w:t>
            </w:r>
            <w:proofErr w:type="spellStart"/>
            <w:r w:rsidRPr="00BE56F3">
              <w:rPr>
                <w:rFonts w:ascii="Arial Narrow" w:eastAsia="Times New Roman" w:hAnsi="Arial Narrow" w:cs="Times New Roman"/>
                <w:lang w:eastAsia="en-US"/>
              </w:rPr>
              <w:t>Denosumab</w:t>
            </w:r>
            <w:proofErr w:type="spellEnd"/>
            <w:r w:rsidRPr="00BE56F3">
              <w:rPr>
                <w:rFonts w:ascii="Arial Narrow" w:eastAsia="Times New Roman" w:hAnsi="Arial Narrow" w:cs="Times New Roman"/>
                <w:lang w:eastAsia="en-US"/>
              </w:rPr>
              <w:t xml:space="preserve"> (with fractures), Strontium </w:t>
            </w:r>
            <w:proofErr w:type="spellStart"/>
            <w:r w:rsidRPr="00BE56F3">
              <w:rPr>
                <w:rFonts w:ascii="Arial Narrow" w:eastAsia="Times New Roman" w:hAnsi="Arial Narrow" w:cs="Times New Roman"/>
                <w:lang w:eastAsia="en-US"/>
              </w:rPr>
              <w:t>ranelate</w:t>
            </w:r>
            <w:proofErr w:type="spellEnd"/>
            <w:r w:rsidRPr="00BE56F3">
              <w:rPr>
                <w:rFonts w:ascii="Arial Narrow" w:eastAsia="Times New Roman" w:hAnsi="Arial Narrow" w:cs="Times New Roman"/>
                <w:lang w:eastAsia="en-US"/>
              </w:rPr>
              <w:t xml:space="preserve"> (with fractures)</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Previous fractures (including minimal trauma fractures)(MBS item 12306, 12321)</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161137, 67262, 73772, 76851, 93333, </w:t>
            </w:r>
            <w:r w:rsidRPr="00BE56F3">
              <w:rPr>
                <w:rFonts w:ascii="Arial Narrow" w:eastAsia="Times New Roman" w:hAnsi="Arial Narrow" w:cs="Calibri"/>
                <w:lang w:eastAsia="en-US"/>
              </w:rPr>
              <w:t xml:space="preserve">98944; </w:t>
            </w:r>
            <w:proofErr w:type="spellStart"/>
            <w:r w:rsidRPr="00BE56F3">
              <w:rPr>
                <w:rFonts w:ascii="Arial Narrow" w:eastAsia="Times New Roman" w:hAnsi="Arial Narrow" w:cs="Calibri"/>
                <w:iCs/>
                <w:lang w:val="en-US" w:eastAsia="en-US"/>
              </w:rPr>
              <w:t>Zoledronic</w:t>
            </w:r>
            <w:proofErr w:type="spellEnd"/>
            <w:r w:rsidRPr="00BE56F3">
              <w:rPr>
                <w:rFonts w:ascii="Arial Narrow" w:eastAsia="Times New Roman" w:hAnsi="Arial Narrow" w:cs="Calibri"/>
                <w:iCs/>
                <w:lang w:val="en-US" w:eastAsia="en-US"/>
              </w:rPr>
              <w:t xml:space="preserve"> acid: 134664</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 Alendronate sodium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 Alendronate sodium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and Calcium carbonate ,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and Calcium carbonate ,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and Calcium carbonate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 Disodium </w:t>
            </w:r>
            <w:proofErr w:type="spellStart"/>
            <w:r w:rsidRPr="00BE56F3">
              <w:rPr>
                <w:rFonts w:ascii="Arial Narrow" w:eastAsia="Times New Roman" w:hAnsi="Arial Narrow" w:cs="Times New Roman"/>
                <w:lang w:eastAsia="en-US"/>
              </w:rPr>
              <w:t>etidronate</w:t>
            </w:r>
            <w:proofErr w:type="spellEnd"/>
            <w:r w:rsidRPr="00BE56F3">
              <w:rPr>
                <w:rFonts w:ascii="Arial Narrow" w:eastAsia="Times New Roman" w:hAnsi="Arial Narrow" w:cs="Times New Roman"/>
                <w:lang w:eastAsia="en-US"/>
              </w:rPr>
              <w:t xml:space="preserve"> and Calcium carbonate ,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 , </w:t>
            </w:r>
            <w:proofErr w:type="spellStart"/>
            <w:r w:rsidRPr="00BE56F3">
              <w:rPr>
                <w:rFonts w:ascii="Arial Narrow" w:eastAsia="Times New Roman" w:hAnsi="Arial Narrow" w:cs="Times New Roman"/>
                <w:lang w:eastAsia="en-US"/>
              </w:rPr>
              <w:t>Denosumab</w:t>
            </w:r>
            <w:proofErr w:type="spellEnd"/>
            <w:r w:rsidRPr="00BE56F3">
              <w:rPr>
                <w:rFonts w:ascii="Arial Narrow" w:eastAsia="Times New Roman" w:hAnsi="Arial Narrow" w:cs="Times New Roman"/>
                <w:lang w:eastAsia="en-US"/>
              </w:rPr>
              <w:t xml:space="preserve"> (for postmenopausal women), </w:t>
            </w:r>
            <w:proofErr w:type="spellStart"/>
            <w:r w:rsidRPr="00BE56F3">
              <w:rPr>
                <w:rFonts w:ascii="Arial Narrow" w:eastAsia="Times New Roman" w:hAnsi="Arial Narrow" w:cs="Times New Roman"/>
                <w:lang w:eastAsia="en-US"/>
              </w:rPr>
              <w:t>Teriparatide</w:t>
            </w:r>
            <w:proofErr w:type="spellEnd"/>
            <w:r w:rsidRPr="00BE56F3">
              <w:rPr>
                <w:rFonts w:ascii="Arial Narrow" w:eastAsia="Times New Roman" w:hAnsi="Arial Narrow" w:cs="Times New Roman"/>
                <w:lang w:eastAsia="en-US"/>
              </w:rPr>
              <w:t xml:space="preserve"> (≤-3.0), Strontium </w:t>
            </w:r>
            <w:proofErr w:type="spellStart"/>
            <w:r w:rsidRPr="00BE56F3">
              <w:rPr>
                <w:rFonts w:ascii="Arial Narrow" w:eastAsia="Times New Roman" w:hAnsi="Arial Narrow" w:cs="Times New Roman"/>
                <w:lang w:eastAsia="en-US"/>
              </w:rPr>
              <w:t>ranelate</w:t>
            </w:r>
            <w:proofErr w:type="spellEnd"/>
            <w:r w:rsidRPr="00BE56F3">
              <w:rPr>
                <w:rFonts w:ascii="Arial Narrow" w:eastAsia="Times New Roman" w:hAnsi="Arial Narrow" w:cs="Times New Roman"/>
                <w:lang w:eastAsia="en-US"/>
              </w:rPr>
              <w:t xml:space="preserve"> (for postmenopausal women), </w:t>
            </w:r>
            <w:proofErr w:type="spellStart"/>
            <w:r w:rsidRPr="00BE56F3">
              <w:rPr>
                <w:rFonts w:ascii="Arial Narrow" w:eastAsia="Times New Roman" w:hAnsi="Arial Narrow" w:cs="Times New Roman"/>
                <w:lang w:eastAsia="en-US"/>
              </w:rPr>
              <w:t>Raloxifene</w:t>
            </w:r>
            <w:proofErr w:type="spellEnd"/>
            <w:r w:rsidRPr="00BE56F3">
              <w:rPr>
                <w:rFonts w:ascii="Arial Narrow" w:eastAsia="Times New Roman" w:hAnsi="Arial Narrow" w:cs="Times New Roman"/>
                <w:lang w:eastAsia="en-US"/>
              </w:rPr>
              <w:t xml:space="preserve"> hydrochloride (for postmenopausal women), </w:t>
            </w:r>
            <w:proofErr w:type="spellStart"/>
            <w:r w:rsidRPr="00BE56F3">
              <w:rPr>
                <w:rFonts w:ascii="Arial Narrow" w:eastAsia="Times New Roman" w:hAnsi="Arial Narrow" w:cs="Times New Roman"/>
                <w:lang w:eastAsia="en-US"/>
              </w:rPr>
              <w:t>Calcitriol</w:t>
            </w:r>
            <w:proofErr w:type="spellEnd"/>
            <w:r w:rsidRPr="00BE56F3">
              <w:rPr>
                <w:rFonts w:ascii="Arial Narrow" w:eastAsia="Times New Roman" w:hAnsi="Arial Narrow" w:cs="Times New Roman"/>
                <w:lang w:eastAsia="en-US"/>
              </w:rPr>
              <w:t xml:space="preserve"> . </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70 years or over (MBS item 12323)</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(≤-2.5), Alendronate sodium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(≤-2.5), Alendronate sodium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and Calcium carbonate (≤-2.5),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(≤-3.0),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and Calcium carbonate (≤-3.0),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and Calcium carbonate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(≤-3.0),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 (≤-3.0), </w:t>
            </w:r>
            <w:proofErr w:type="spellStart"/>
            <w:r w:rsidRPr="00BE56F3">
              <w:rPr>
                <w:rFonts w:ascii="Arial Narrow" w:eastAsia="Times New Roman" w:hAnsi="Arial Narrow" w:cs="Times New Roman"/>
                <w:lang w:eastAsia="en-US"/>
              </w:rPr>
              <w:t>Denosumab</w:t>
            </w:r>
            <w:proofErr w:type="spellEnd"/>
            <w:r w:rsidRPr="00BE56F3">
              <w:rPr>
                <w:rFonts w:ascii="Arial Narrow" w:eastAsia="Times New Roman" w:hAnsi="Arial Narrow" w:cs="Times New Roman"/>
                <w:lang w:eastAsia="en-US"/>
              </w:rPr>
              <w:t xml:space="preserve"> (≤-2.5), Strontium </w:t>
            </w:r>
            <w:proofErr w:type="spellStart"/>
            <w:r w:rsidRPr="00BE56F3">
              <w:rPr>
                <w:rFonts w:ascii="Arial Narrow" w:eastAsia="Times New Roman" w:hAnsi="Arial Narrow" w:cs="Times New Roman"/>
                <w:lang w:eastAsia="en-US"/>
              </w:rPr>
              <w:t>ranelate</w:t>
            </w:r>
            <w:proofErr w:type="spellEnd"/>
            <w:r w:rsidRPr="00BE56F3">
              <w:rPr>
                <w:rFonts w:ascii="Arial Narrow" w:eastAsia="Times New Roman" w:hAnsi="Arial Narrow" w:cs="Times New Roman"/>
                <w:lang w:eastAsia="en-US"/>
              </w:rPr>
              <w:t xml:space="preserve"> (≤-3.0 for women)</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Corticosteroids use (MBS item 12312)</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68428, 80333, 53158, 67262, 76851, 9333, 98944; Disodium </w:t>
            </w:r>
            <w:proofErr w:type="spellStart"/>
            <w:r w:rsidRPr="00BE56F3">
              <w:rPr>
                <w:rFonts w:ascii="Arial Narrow" w:eastAsia="Times New Roman" w:hAnsi="Arial Narrow" w:cs="Times New Roman"/>
                <w:lang w:eastAsia="en-US"/>
              </w:rPr>
              <w:t>etidronate</w:t>
            </w:r>
            <w:proofErr w:type="spellEnd"/>
            <w:r w:rsidRPr="00BE56F3">
              <w:rPr>
                <w:rFonts w:ascii="Arial Narrow" w:eastAsia="Times New Roman" w:hAnsi="Arial Narrow" w:cs="Times New Roman"/>
                <w:lang w:eastAsia="en-US"/>
              </w:rPr>
              <w:t xml:space="preserve">: 46852;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117667, 138211, 141530, 150618, 166838, 166853, 166942, 74135, 82746; </w:t>
            </w:r>
            <w:proofErr w:type="spellStart"/>
            <w:r w:rsidRPr="00BE56F3">
              <w:rPr>
                <w:rFonts w:ascii="Arial Narrow" w:eastAsia="Times New Roman" w:hAnsi="Arial Narrow" w:cs="Times New Roman"/>
                <w:lang w:eastAsia="en-US"/>
              </w:rPr>
              <w:t>Zoledronic</w:t>
            </w:r>
            <w:proofErr w:type="spellEnd"/>
            <w:r w:rsidRPr="00BE56F3">
              <w:rPr>
                <w:rFonts w:ascii="Arial Narrow" w:eastAsia="Times New Roman" w:hAnsi="Arial Narrow" w:cs="Times New Roman"/>
                <w:lang w:eastAsia="en-US"/>
              </w:rPr>
              <w:t xml:space="preserve"> acid: 134664; </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(≤-1.5), Alendronate sodium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(≤-1.5), Alendronate sodium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and Calcium carbonate (≤-1.5),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(≤-1.0 if patients on steroids for &gt; 3 months),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(≤-1.5),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and Calcium carbonate (NR),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and Calcium carbonate with </w:t>
            </w:r>
            <w:proofErr w:type="spellStart"/>
            <w:r w:rsidRPr="00BE56F3">
              <w:rPr>
                <w:rFonts w:ascii="Arial Narrow" w:eastAsia="Times New Roman" w:hAnsi="Arial Narrow" w:cs="Times New Roman"/>
                <w:lang w:eastAsia="en-US"/>
              </w:rPr>
              <w:t>Colecalciferol</w:t>
            </w:r>
            <w:proofErr w:type="spellEnd"/>
            <w:r w:rsidRPr="00BE56F3">
              <w:rPr>
                <w:rFonts w:ascii="Arial Narrow" w:eastAsia="Times New Roman" w:hAnsi="Arial Narrow" w:cs="Times New Roman"/>
                <w:lang w:eastAsia="en-US"/>
              </w:rPr>
              <w:t xml:space="preserve"> (≤-1.5),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 (≤-1.5)</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Male </w:t>
            </w:r>
            <w:proofErr w:type="spellStart"/>
            <w:r w:rsidRPr="00BE56F3">
              <w:rPr>
                <w:rFonts w:ascii="Arial Narrow" w:eastAsia="Times New Roman" w:hAnsi="Arial Narrow" w:cs="Times New Roman"/>
                <w:lang w:eastAsia="en-US"/>
              </w:rPr>
              <w:t>Hypogonadism</w:t>
            </w:r>
            <w:proofErr w:type="spellEnd"/>
            <w:r w:rsidRPr="00BE56F3">
              <w:rPr>
                <w:rFonts w:ascii="Arial Narrow" w:eastAsia="Times New Roman" w:hAnsi="Arial Narrow" w:cs="Times New Roman"/>
                <w:lang w:eastAsia="en-US"/>
              </w:rPr>
              <w:t xml:space="preserve"> (MBS item 12312)</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proofErr w:type="spellStart"/>
            <w:r w:rsidRPr="00BE56F3">
              <w:rPr>
                <w:rFonts w:ascii="Arial Narrow" w:eastAsia="Times New Roman" w:hAnsi="Arial Narrow" w:cs="Times New Roman"/>
                <w:lang w:eastAsia="en-US"/>
              </w:rPr>
              <w:lastRenderedPageBreak/>
              <w:t>Famale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Hypogonadismlasting</w:t>
            </w:r>
            <w:proofErr w:type="spellEnd"/>
            <w:r w:rsidRPr="00BE56F3">
              <w:rPr>
                <w:rFonts w:ascii="Arial Narrow" w:eastAsia="Times New Roman" w:hAnsi="Arial Narrow" w:cs="Times New Roman"/>
                <w:lang w:eastAsia="en-US"/>
              </w:rPr>
              <w:t xml:space="preserve"> &gt;6 months before age of 45 (MBS item 12312)</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Primary Hyperparathyroidism (MBS item 12315)</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Chronic renal disease (MBS item 12315)</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Chronic liver disease (MBS item 12315)</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Rheumatoid arthritis (MBS item 12315)</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Conditions associated with </w:t>
            </w:r>
            <w:proofErr w:type="spellStart"/>
            <w:r w:rsidRPr="00BE56F3">
              <w:rPr>
                <w:rFonts w:ascii="Arial Narrow" w:eastAsia="Times New Roman" w:hAnsi="Arial Narrow" w:cs="Times New Roman"/>
                <w:lang w:eastAsia="en-US"/>
              </w:rPr>
              <w:t>thyroxine</w:t>
            </w:r>
            <w:proofErr w:type="spellEnd"/>
            <w:r w:rsidRPr="00BE56F3">
              <w:rPr>
                <w:rFonts w:ascii="Arial Narrow" w:eastAsia="Times New Roman" w:hAnsi="Arial Narrow" w:cs="Times New Roman"/>
                <w:lang w:eastAsia="en-US"/>
              </w:rPr>
              <w:t xml:space="preserve"> excess (MBS item 12315)</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Proven </w:t>
            </w:r>
            <w:proofErr w:type="spellStart"/>
            <w:r w:rsidRPr="00BE56F3">
              <w:rPr>
                <w:rFonts w:ascii="Arial Narrow" w:eastAsia="Times New Roman" w:hAnsi="Arial Narrow" w:cs="Times New Roman"/>
                <w:lang w:eastAsia="en-US"/>
              </w:rPr>
              <w:t>malabsorptive</w:t>
            </w:r>
            <w:proofErr w:type="spellEnd"/>
            <w:r w:rsidRPr="00BE56F3">
              <w:rPr>
                <w:rFonts w:ascii="Arial Narrow" w:eastAsia="Times New Roman" w:hAnsi="Arial Narrow" w:cs="Times New Roman"/>
                <w:lang w:eastAsia="en-US"/>
              </w:rPr>
              <w:t xml:space="preserve"> disorders (MBS item 12315)</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Breast cancer patients receiving aromatase inhibitor treatment</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HIV</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Paget’s disease *</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74136</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Alendronate sodium, </w:t>
            </w:r>
            <w:proofErr w:type="spellStart"/>
            <w:r w:rsidRPr="00BE56F3">
              <w:rPr>
                <w:rFonts w:ascii="Arial Narrow" w:eastAsia="Times New Roman" w:hAnsi="Arial Narrow" w:cs="Times New Roman"/>
                <w:lang w:eastAsia="en-US"/>
              </w:rPr>
              <w:t>Risedronate</w:t>
            </w:r>
            <w:proofErr w:type="spellEnd"/>
            <w:r w:rsidRPr="00BE56F3">
              <w:rPr>
                <w:rFonts w:ascii="Arial Narrow" w:eastAsia="Times New Roman" w:hAnsi="Arial Narrow" w:cs="Times New Roman"/>
                <w:lang w:eastAsia="en-US"/>
              </w:rPr>
              <w:t xml:space="preserve"> sodium, Disodium </w:t>
            </w:r>
            <w:proofErr w:type="spellStart"/>
            <w:r w:rsidRPr="00BE56F3">
              <w:rPr>
                <w:rFonts w:ascii="Arial Narrow" w:eastAsia="Times New Roman" w:hAnsi="Arial Narrow" w:cs="Times New Roman"/>
                <w:lang w:eastAsia="en-US"/>
              </w:rPr>
              <w:t>etidronate</w:t>
            </w:r>
            <w:proofErr w:type="spellEnd"/>
            <w:r w:rsidRPr="00BE56F3">
              <w:rPr>
                <w:rFonts w:ascii="Arial Narrow" w:eastAsia="Times New Roman" w:hAnsi="Arial Narrow" w:cs="Times New Roman"/>
                <w:lang w:eastAsia="en-US"/>
              </w:rPr>
              <w:t xml:space="preserve">, Disodium </w:t>
            </w:r>
            <w:proofErr w:type="spellStart"/>
            <w:r w:rsidRPr="00BE56F3">
              <w:rPr>
                <w:rFonts w:ascii="Arial Narrow" w:eastAsia="Times New Roman" w:hAnsi="Arial Narrow" w:cs="Times New Roman"/>
                <w:lang w:eastAsia="en-US"/>
              </w:rPr>
              <w:t>pamidronate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 </w:t>
            </w:r>
            <w:proofErr w:type="spellStart"/>
            <w:r w:rsidRPr="00BE56F3">
              <w:rPr>
                <w:rFonts w:ascii="Arial Narrow" w:eastAsia="Times New Roman" w:hAnsi="Arial Narrow" w:cs="Times New Roman"/>
                <w:lang w:eastAsia="en-US"/>
              </w:rPr>
              <w:t>Tiludronate</w:t>
            </w:r>
            <w:proofErr w:type="spellEnd"/>
            <w:r w:rsidRPr="00BE56F3">
              <w:rPr>
                <w:rFonts w:ascii="Arial Narrow" w:eastAsia="Times New Roman" w:hAnsi="Arial Narrow" w:cs="Times New Roman"/>
                <w:lang w:eastAsia="en-US"/>
              </w:rPr>
              <w:t xml:space="preserve"> disodium</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Heterotopic ossification*</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Disodium </w:t>
            </w:r>
            <w:proofErr w:type="spellStart"/>
            <w:r w:rsidRPr="00BE56F3">
              <w:rPr>
                <w:rFonts w:ascii="Arial Narrow" w:eastAsia="Times New Roman" w:hAnsi="Arial Narrow" w:cs="Times New Roman"/>
                <w:lang w:eastAsia="en-US"/>
              </w:rPr>
              <w:t>etidronate</w:t>
            </w:r>
            <w:proofErr w:type="spellEnd"/>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proofErr w:type="spellStart"/>
            <w:r w:rsidRPr="00BE56F3">
              <w:rPr>
                <w:rFonts w:ascii="Arial Narrow" w:eastAsia="Times New Roman" w:hAnsi="Arial Narrow" w:cs="Times New Roman"/>
                <w:lang w:eastAsia="en-US"/>
              </w:rPr>
              <w:t>hypercalcaemia</w:t>
            </w:r>
            <w:proofErr w:type="spellEnd"/>
            <w:r w:rsidRPr="00BE56F3">
              <w:rPr>
                <w:rFonts w:ascii="Arial Narrow" w:eastAsia="Times New Roman" w:hAnsi="Arial Narrow" w:cs="Times New Roman"/>
                <w:lang w:eastAsia="en-US"/>
              </w:rPr>
              <w:t xml:space="preserve"> of malignancy*</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Sodium </w:t>
            </w:r>
            <w:proofErr w:type="spellStart"/>
            <w:r w:rsidRPr="00BE56F3">
              <w:rPr>
                <w:rFonts w:ascii="Arial Narrow" w:eastAsia="Times New Roman" w:hAnsi="Arial Narrow" w:cs="Times New Roman"/>
                <w:lang w:eastAsia="en-US"/>
              </w:rPr>
              <w:t>clodronate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tetrahydrate</w:t>
            </w:r>
            <w:proofErr w:type="spellEnd"/>
            <w:r w:rsidRPr="00BE56F3">
              <w:rPr>
                <w:rFonts w:ascii="Arial Narrow" w:eastAsia="Times New Roman" w:hAnsi="Arial Narrow" w:cs="Times New Roman"/>
                <w:lang w:eastAsia="en-US"/>
              </w:rPr>
              <w:t xml:space="preserve">: 181921, 181922, 66703, 66704, </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Disodium </w:t>
            </w:r>
            <w:proofErr w:type="spellStart"/>
            <w:r w:rsidRPr="00BE56F3">
              <w:rPr>
                <w:rFonts w:ascii="Arial Narrow" w:eastAsia="Times New Roman" w:hAnsi="Arial Narrow" w:cs="Times New Roman"/>
                <w:lang w:eastAsia="en-US"/>
              </w:rPr>
              <w:t>pamidronate</w:t>
            </w:r>
            <w:proofErr w:type="spellEnd"/>
            <w:r w:rsidRPr="00BE56F3">
              <w:rPr>
                <w:rFonts w:ascii="Arial Narrow" w:eastAsia="Times New Roman" w:hAnsi="Arial Narrow" w:cs="Times New Roman"/>
                <w:lang w:eastAsia="en-US"/>
              </w:rPr>
              <w:t xml:space="preserve">, Sodium </w:t>
            </w:r>
            <w:proofErr w:type="spellStart"/>
            <w:r w:rsidRPr="00BE56F3">
              <w:rPr>
                <w:rFonts w:ascii="Arial Narrow" w:eastAsia="Times New Roman" w:hAnsi="Arial Narrow" w:cs="Times New Roman"/>
                <w:lang w:eastAsia="en-US"/>
              </w:rPr>
              <w:t>clodronate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tetrahydrate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Multiple myeloma*</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 xml:space="preserve">Disodium </w:t>
            </w:r>
            <w:proofErr w:type="spellStart"/>
            <w:r w:rsidRPr="00BE56F3">
              <w:rPr>
                <w:rFonts w:ascii="Arial Narrow" w:eastAsia="Times New Roman" w:hAnsi="Arial Narrow" w:cs="Times New Roman"/>
                <w:lang w:eastAsia="en-US"/>
              </w:rPr>
              <w:t>pamidronate</w:t>
            </w:r>
            <w:proofErr w:type="spellEnd"/>
            <w:r w:rsidRPr="00BE56F3">
              <w:rPr>
                <w:rFonts w:ascii="Arial Narrow" w:eastAsia="Times New Roman" w:hAnsi="Arial Narrow" w:cs="Times New Roman"/>
                <w:lang w:eastAsia="en-US"/>
              </w:rPr>
              <w:t xml:space="preserve">, Sodium </w:t>
            </w:r>
            <w:proofErr w:type="spellStart"/>
            <w:r w:rsidRPr="00BE56F3">
              <w:rPr>
                <w:rFonts w:ascii="Arial Narrow" w:eastAsia="Times New Roman" w:hAnsi="Arial Narrow" w:cs="Times New Roman"/>
                <w:lang w:eastAsia="en-US"/>
              </w:rPr>
              <w:t>clodronate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tetrahydrate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Bone metastases from breast cancer*</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proofErr w:type="spellStart"/>
            <w:r w:rsidRPr="00BE56F3">
              <w:rPr>
                <w:rFonts w:ascii="Arial Narrow" w:eastAsia="Times New Roman" w:hAnsi="Arial Narrow" w:cs="Times New Roman"/>
                <w:lang w:eastAsia="en-US"/>
              </w:rPr>
              <w:t>Ibandronic</w:t>
            </w:r>
            <w:proofErr w:type="spellEnd"/>
            <w:r w:rsidRPr="00BE56F3">
              <w:rPr>
                <w:rFonts w:ascii="Arial Narrow" w:eastAsia="Times New Roman" w:hAnsi="Arial Narrow" w:cs="Times New Roman"/>
                <w:lang w:eastAsia="en-US"/>
              </w:rPr>
              <w:t xml:space="preserve"> acid, Disodium </w:t>
            </w:r>
            <w:proofErr w:type="spellStart"/>
            <w:r w:rsidRPr="00BE56F3">
              <w:rPr>
                <w:rFonts w:ascii="Arial Narrow" w:eastAsia="Times New Roman" w:hAnsi="Arial Narrow" w:cs="Times New Roman"/>
                <w:lang w:eastAsia="en-US"/>
              </w:rPr>
              <w:t>pamidronate</w:t>
            </w:r>
            <w:proofErr w:type="spellEnd"/>
            <w:r w:rsidRPr="00BE56F3">
              <w:rPr>
                <w:rFonts w:ascii="Arial Narrow" w:eastAsia="Times New Roman" w:hAnsi="Arial Narrow" w:cs="Times New Roman"/>
                <w:lang w:eastAsia="en-US"/>
              </w:rPr>
              <w:t xml:space="preserve">, Sodium </w:t>
            </w:r>
            <w:proofErr w:type="spellStart"/>
            <w:r w:rsidRPr="00BE56F3">
              <w:rPr>
                <w:rFonts w:ascii="Arial Narrow" w:eastAsia="Times New Roman" w:hAnsi="Arial Narrow" w:cs="Times New Roman"/>
                <w:lang w:eastAsia="en-US"/>
              </w:rPr>
              <w:t>clodronate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tetrahydrate</w:t>
            </w:r>
            <w:proofErr w:type="spellEnd"/>
            <w:r w:rsidRPr="00BE56F3">
              <w:rPr>
                <w:rFonts w:ascii="Arial Narrow" w:eastAsia="Times New Roman" w:hAnsi="Arial Narrow" w:cs="Times New Roman"/>
                <w:lang w:eastAsia="en-US"/>
              </w:rPr>
              <w:t xml:space="preserve">, </w:t>
            </w: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w:t>
            </w:r>
          </w:p>
        </w:tc>
      </w:tr>
      <w:tr w:rsidR="00D8067A" w:rsidRPr="00324A45" w:rsidTr="00BE56F3">
        <w:tc>
          <w:tcPr>
            <w:tcW w:w="4786"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Bone metastases from prostate cancer*</w:t>
            </w:r>
          </w:p>
        </w:tc>
        <w:tc>
          <w:tcPr>
            <w:tcW w:w="4961" w:type="dxa"/>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 drug specifically indicated</w:t>
            </w:r>
          </w:p>
        </w:tc>
        <w:tc>
          <w:tcPr>
            <w:tcW w:w="4536" w:type="dxa"/>
          </w:tcPr>
          <w:p w:rsidR="00D8067A" w:rsidRPr="00BE56F3" w:rsidRDefault="00D8067A" w:rsidP="00BE56F3">
            <w:pPr>
              <w:spacing w:after="0" w:line="240" w:lineRule="auto"/>
              <w:jc w:val="left"/>
              <w:rPr>
                <w:rFonts w:ascii="Arial Narrow" w:eastAsia="Times New Roman" w:hAnsi="Arial Narrow" w:cs="Times New Roman"/>
                <w:lang w:eastAsia="en-US"/>
              </w:rPr>
            </w:pPr>
            <w:proofErr w:type="spellStart"/>
            <w:r w:rsidRPr="00BE56F3">
              <w:rPr>
                <w:rFonts w:ascii="Arial Narrow" w:eastAsia="Times New Roman" w:hAnsi="Arial Narrow" w:cs="Times New Roman"/>
                <w:lang w:eastAsia="en-US"/>
              </w:rPr>
              <w:t>Zolendronic</w:t>
            </w:r>
            <w:proofErr w:type="spellEnd"/>
            <w:r w:rsidRPr="00BE56F3">
              <w:rPr>
                <w:rFonts w:ascii="Arial Narrow" w:eastAsia="Times New Roman" w:hAnsi="Arial Narrow" w:cs="Times New Roman"/>
                <w:lang w:eastAsia="en-US"/>
              </w:rPr>
              <w:t xml:space="preserve"> acid</w:t>
            </w:r>
          </w:p>
        </w:tc>
      </w:tr>
      <w:tr w:rsidR="00D8067A" w:rsidRPr="00324A45" w:rsidTr="00BE56F3">
        <w:tc>
          <w:tcPr>
            <w:tcW w:w="14283" w:type="dxa"/>
            <w:gridSpan w:val="3"/>
          </w:tcPr>
          <w:p w:rsidR="00D8067A" w:rsidRPr="00BE56F3" w:rsidRDefault="00D8067A" w:rsidP="00BE56F3">
            <w:pPr>
              <w:spacing w:after="0" w:line="240" w:lineRule="auto"/>
              <w:jc w:val="left"/>
              <w:rPr>
                <w:rFonts w:ascii="Arial Narrow" w:eastAsia="Times New Roman" w:hAnsi="Arial Narrow" w:cs="Times New Roman"/>
                <w:lang w:eastAsia="en-US"/>
              </w:rPr>
            </w:pPr>
            <w:r w:rsidRPr="00BE56F3">
              <w:rPr>
                <w:rFonts w:ascii="Arial Narrow" w:eastAsia="Times New Roman" w:hAnsi="Arial Narrow" w:cs="Times New Roman"/>
                <w:lang w:eastAsia="en-US"/>
              </w:rPr>
              <w:t>*not considered as a risk factor for osteoporosis; NR: Not reported.</w:t>
            </w:r>
          </w:p>
        </w:tc>
      </w:tr>
    </w:tbl>
    <w:p w:rsidR="00D8067A" w:rsidRDefault="00D8067A" w:rsidP="0031428F">
      <w:r>
        <w:rPr>
          <w:rFonts w:ascii="Calibri" w:eastAsia="Times New Roman" w:hAnsi="Calibri" w:cs="Times New Roman"/>
          <w:sz w:val="22"/>
          <w:szCs w:val="22"/>
          <w:lang w:eastAsia="en-US"/>
        </w:rPr>
        <w:t xml:space="preserve">Source: </w:t>
      </w:r>
      <w:r w:rsidRPr="00F529FB">
        <w:rPr>
          <w:rFonts w:ascii="Calibri" w:eastAsia="Times New Roman" w:hAnsi="Calibri" w:cs="Times New Roman"/>
          <w:sz w:val="22"/>
          <w:szCs w:val="22"/>
          <w:lang w:eastAsia="en-US"/>
        </w:rPr>
        <w:t>Pharmaceutical Benefits Scheme (PBS)</w:t>
      </w:r>
      <w:r>
        <w:rPr>
          <w:rFonts w:ascii="Calibri" w:eastAsia="Times New Roman" w:hAnsi="Calibri" w:cs="Times New Roman"/>
          <w:sz w:val="22"/>
          <w:szCs w:val="22"/>
          <w:lang w:eastAsia="en-US"/>
        </w:rPr>
        <w:t xml:space="preserve"> as on 01/09/2012 &lt;</w:t>
      </w:r>
      <w:hyperlink r:id="rId18" w:tooltip="Pharmaceutical Benefits Scheme (PBS)" w:history="1">
        <w:r w:rsidRPr="005A0C93">
          <w:rPr>
            <w:rStyle w:val="Hyperlink"/>
            <w:rFonts w:ascii="Calibri" w:eastAsia="Times New Roman" w:hAnsi="Calibri"/>
            <w:sz w:val="22"/>
            <w:szCs w:val="22"/>
            <w:lang w:eastAsia="en-US"/>
          </w:rPr>
          <w:t>http://www.pbs.gov.au/browse/body-system?depth=3&amp;codes=m05b</w:t>
        </w:r>
      </w:hyperlink>
      <w:r>
        <w:rPr>
          <w:rFonts w:ascii="Calibri" w:eastAsia="Times New Roman" w:hAnsi="Calibri" w:cs="Times New Roman"/>
          <w:sz w:val="22"/>
          <w:szCs w:val="22"/>
          <w:lang w:eastAsia="en-US"/>
        </w:rPr>
        <w:t>&gt;. Authority required to access details of indication for each drug (including indicated T-score).</w:t>
      </w:r>
    </w:p>
    <w:p w:rsidR="00D8067A" w:rsidRPr="008508D9" w:rsidRDefault="00D8067A" w:rsidP="0031428F"/>
    <w:p w:rsidR="00D8067A" w:rsidRDefault="00D8067A" w:rsidP="0031428F">
      <w:pPr>
        <w:spacing w:after="0" w:line="240" w:lineRule="auto"/>
        <w:jc w:val="left"/>
        <w:sectPr w:rsidR="00D8067A" w:rsidSect="00436EDB">
          <w:pgSz w:w="16838" w:h="11906" w:orient="landscape"/>
          <w:pgMar w:top="1440" w:right="1440" w:bottom="1440" w:left="1440" w:header="708" w:footer="708" w:gutter="0"/>
          <w:cols w:space="708"/>
          <w:titlePg/>
          <w:docGrid w:linePitch="360"/>
        </w:sectPr>
      </w:pPr>
    </w:p>
    <w:p w:rsidR="00D8067A" w:rsidRPr="00613957" w:rsidRDefault="00D8067A" w:rsidP="0031428F">
      <w:pPr>
        <w:pStyle w:val="Heading1"/>
      </w:pPr>
      <w:bookmarkStart w:id="65" w:name="_Toc335902687"/>
      <w:bookmarkStart w:id="66" w:name="_Toc335905431"/>
      <w:bookmarkStart w:id="67" w:name="_Toc362968506"/>
      <w:r w:rsidRPr="00613957">
        <w:lastRenderedPageBreak/>
        <w:t xml:space="preserve">Appendix </w:t>
      </w:r>
      <w:r>
        <w:t>5</w:t>
      </w:r>
      <w:r>
        <w:tab/>
      </w:r>
      <w:r w:rsidRPr="007E1253">
        <w:t>Medicare Benefits Schedule - Note D1.27</w:t>
      </w:r>
      <w:bookmarkEnd w:id="65"/>
      <w:bookmarkEnd w:id="66"/>
      <w:bookmarkEnd w:id="67"/>
    </w:p>
    <w:p w:rsidR="00D8067A" w:rsidRPr="00D73DDF" w:rsidRDefault="00D8067A" w:rsidP="0031428F">
      <w:pPr>
        <w:rPr>
          <w:rFonts w:ascii="Arial Narrow" w:hAnsi="Arial Narrow"/>
        </w:rPr>
      </w:pPr>
      <w:r w:rsidRPr="00D73DDF">
        <w:rPr>
          <w:rFonts w:ascii="Arial Narrow" w:hAnsi="Arial Narrow"/>
        </w:rPr>
        <w:t>Category 2 - DIAGNOSTIC PROCEDURES AND INVESTIGATIONS</w:t>
      </w:r>
      <w:r>
        <w:rPr>
          <w:rFonts w:ascii="Arial Narrow" w:hAnsi="Arial Narrow"/>
        </w:rPr>
        <w:t xml:space="preserve"> </w:t>
      </w:r>
      <w:proofErr w:type="gramStart"/>
      <w:r w:rsidRPr="00D73DDF">
        <w:rPr>
          <w:rFonts w:ascii="Arial Narrow" w:hAnsi="Arial Narrow"/>
        </w:rPr>
        <w:t>D1.27  Bone</w:t>
      </w:r>
      <w:proofErr w:type="gramEnd"/>
      <w:r w:rsidRPr="00D73DDF">
        <w:rPr>
          <w:rFonts w:ascii="Arial Narrow" w:hAnsi="Arial Narrow"/>
        </w:rPr>
        <w:t xml:space="preserve"> Densitometry - (Items 12306 to 12323)  </w:t>
      </w:r>
    </w:p>
    <w:p w:rsidR="00D8067A" w:rsidRPr="00D73DDF" w:rsidRDefault="00D8067A" w:rsidP="0031428F">
      <w:pPr>
        <w:rPr>
          <w:rFonts w:ascii="Arial Narrow" w:hAnsi="Arial Narrow"/>
        </w:rPr>
      </w:pPr>
      <w:r w:rsidRPr="00D73DDF">
        <w:rPr>
          <w:rFonts w:ascii="Arial Narrow" w:hAnsi="Arial Narrow"/>
        </w:rPr>
        <w:t>Item 12321 is intended to allow for bone mineral density measurement following a significant change in therapy - e.g. a change in the class of drugs - rather than for a change in the dosage regimen.</w:t>
      </w:r>
    </w:p>
    <w:p w:rsidR="00D8067A" w:rsidRPr="00D73DDF" w:rsidRDefault="00D8067A" w:rsidP="0031428F">
      <w:pPr>
        <w:rPr>
          <w:rFonts w:ascii="Arial Narrow" w:hAnsi="Arial Narrow"/>
        </w:rPr>
      </w:pPr>
      <w:r w:rsidRPr="00D73DDF">
        <w:rPr>
          <w:rFonts w:ascii="Arial Narrow" w:hAnsi="Arial Narrow"/>
        </w:rPr>
        <w:t xml:space="preserve">Item 12323 enables the payment of a Medicare benefit for a bone densitometry service performed on a patient aged 70 years or over.  The Government has decided to expand access to Medicare subsidised bone mineral density testing to coincide with the expanded eligibility for the osteoporosis medication 'alendronate' under the Pharmaceutical Benefits Scheme.  </w:t>
      </w:r>
    </w:p>
    <w:p w:rsidR="00D8067A" w:rsidRPr="00D73DDF" w:rsidRDefault="00D8067A" w:rsidP="0031428F">
      <w:pPr>
        <w:rPr>
          <w:rFonts w:ascii="Arial Narrow" w:hAnsi="Arial Narrow"/>
        </w:rPr>
      </w:pPr>
      <w:r w:rsidRPr="00D73DDF">
        <w:rPr>
          <w:rFonts w:ascii="Arial Narrow" w:hAnsi="Arial Narrow"/>
        </w:rPr>
        <w:t>An examination under any of these items covers the measurement of 2 or more sites, interpretation and provision of a report.  Two or more sites must include the measurement of bone density of the lumbar spine and proximal femur.  If technical difficulties preclude measurement at these sites, other sites can be used for the purpose of measurements.  The measurement of bone mineral density at either forearms or both heels or in combination is excluded for the purpose of Medicare benefit.</w:t>
      </w:r>
    </w:p>
    <w:p w:rsidR="00D8067A" w:rsidRPr="00D73DDF" w:rsidRDefault="00D8067A" w:rsidP="0031428F">
      <w:pPr>
        <w:rPr>
          <w:rFonts w:ascii="Arial Narrow" w:hAnsi="Arial Narrow"/>
        </w:rPr>
      </w:pPr>
      <w:r w:rsidRPr="00D73DDF">
        <w:rPr>
          <w:rFonts w:ascii="Arial Narrow" w:hAnsi="Arial Narrow"/>
        </w:rPr>
        <w:t>Referrals</w:t>
      </w:r>
    </w:p>
    <w:p w:rsidR="00D8067A" w:rsidRPr="00D73DDF" w:rsidRDefault="00D8067A" w:rsidP="0031428F">
      <w:pPr>
        <w:rPr>
          <w:rFonts w:ascii="Arial Narrow" w:hAnsi="Arial Narrow"/>
        </w:rPr>
      </w:pPr>
      <w:r w:rsidRPr="00D73DDF">
        <w:rPr>
          <w:rFonts w:ascii="Arial Narrow" w:hAnsi="Arial Narrow"/>
        </w:rPr>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12309, 12312, 12315, 12318, 12321 and 12323.</w:t>
      </w:r>
    </w:p>
    <w:p w:rsidR="00D8067A" w:rsidRPr="00D73DDF" w:rsidRDefault="00D8067A" w:rsidP="0031428F">
      <w:pPr>
        <w:rPr>
          <w:rFonts w:ascii="Arial Narrow" w:hAnsi="Arial Narrow"/>
        </w:rPr>
      </w:pPr>
      <w:r w:rsidRPr="00D73DDF">
        <w:rPr>
          <w:rFonts w:ascii="Arial Narrow" w:hAnsi="Arial Narrow"/>
        </w:rPr>
        <w:t>For Items 12306 and 12309 the referral should specify the indication for the test, namely:</w:t>
      </w:r>
    </w:p>
    <w:p w:rsidR="00D8067A" w:rsidRPr="00D73DDF" w:rsidRDefault="00D8067A" w:rsidP="0031428F">
      <w:pPr>
        <w:rPr>
          <w:rFonts w:ascii="Arial Narrow" w:hAnsi="Arial Narrow"/>
        </w:rPr>
      </w:pPr>
      <w:r w:rsidRPr="00D73DDF">
        <w:rPr>
          <w:rFonts w:ascii="Arial Narrow" w:hAnsi="Arial Narrow"/>
        </w:rPr>
        <w:t xml:space="preserve"> (a) 1 or more fractures occurring after minimal trauma; or</w:t>
      </w:r>
    </w:p>
    <w:p w:rsidR="00D8067A" w:rsidRPr="00D73DDF" w:rsidRDefault="00D8067A" w:rsidP="0031428F">
      <w:pPr>
        <w:rPr>
          <w:rFonts w:ascii="Arial Narrow" w:hAnsi="Arial Narrow"/>
        </w:rPr>
      </w:pPr>
      <w:r w:rsidRPr="00D73DDF">
        <w:rPr>
          <w:rFonts w:ascii="Arial Narrow" w:hAnsi="Arial Narrow"/>
        </w:rPr>
        <w:t xml:space="preserve"> (b) </w:t>
      </w:r>
      <w:proofErr w:type="gramStart"/>
      <w:r w:rsidRPr="00D73DDF">
        <w:rPr>
          <w:rFonts w:ascii="Arial Narrow" w:hAnsi="Arial Narrow"/>
        </w:rPr>
        <w:t>monitoring</w:t>
      </w:r>
      <w:proofErr w:type="gramEnd"/>
      <w:r w:rsidRPr="00D73DDF">
        <w:rPr>
          <w:rFonts w:ascii="Arial Narrow" w:hAnsi="Arial Narrow"/>
        </w:rPr>
        <w:t xml:space="preserve"> of low bone mineral density proven by previous bone densitometry.</w:t>
      </w:r>
    </w:p>
    <w:p w:rsidR="00D8067A" w:rsidRPr="00D73DDF" w:rsidRDefault="00D8067A" w:rsidP="0031428F">
      <w:pPr>
        <w:rPr>
          <w:rFonts w:ascii="Arial Narrow" w:hAnsi="Arial Narrow"/>
        </w:rPr>
      </w:pPr>
      <w:r w:rsidRPr="00D73DDF">
        <w:rPr>
          <w:rFonts w:ascii="Arial Narrow" w:hAnsi="Arial Narrow"/>
        </w:rPr>
        <w:t>For Item 12312 the referral should specify the indication for the test, namely:</w:t>
      </w:r>
    </w:p>
    <w:p w:rsidR="00D8067A" w:rsidRPr="00D73DDF" w:rsidRDefault="00D8067A" w:rsidP="0031428F">
      <w:pPr>
        <w:rPr>
          <w:rFonts w:ascii="Arial Narrow" w:hAnsi="Arial Narrow"/>
        </w:rPr>
      </w:pPr>
      <w:r w:rsidRPr="00D73DDF">
        <w:rPr>
          <w:rFonts w:ascii="Arial Narrow" w:hAnsi="Arial Narrow"/>
        </w:rPr>
        <w:t xml:space="preserve"> (a) </w:t>
      </w:r>
      <w:proofErr w:type="gramStart"/>
      <w:r w:rsidRPr="00D73DDF">
        <w:rPr>
          <w:rFonts w:ascii="Arial Narrow" w:hAnsi="Arial Narrow"/>
        </w:rPr>
        <w:t>prolonged</w:t>
      </w:r>
      <w:proofErr w:type="gramEnd"/>
      <w:r w:rsidRPr="00D73DDF">
        <w:rPr>
          <w:rFonts w:ascii="Arial Narrow" w:hAnsi="Arial Narrow"/>
        </w:rPr>
        <w:t xml:space="preserve"> glucocorticoid therapy;</w:t>
      </w:r>
    </w:p>
    <w:p w:rsidR="00D8067A" w:rsidRPr="00D73DDF" w:rsidRDefault="00D8067A" w:rsidP="0031428F">
      <w:pPr>
        <w:rPr>
          <w:rFonts w:ascii="Arial Narrow" w:hAnsi="Arial Narrow"/>
        </w:rPr>
      </w:pPr>
      <w:r w:rsidRPr="00D73DDF">
        <w:rPr>
          <w:rFonts w:ascii="Arial Narrow" w:hAnsi="Arial Narrow"/>
        </w:rPr>
        <w:t xml:space="preserve"> (b) </w:t>
      </w:r>
      <w:proofErr w:type="gramStart"/>
      <w:r w:rsidRPr="00D73DDF">
        <w:rPr>
          <w:rFonts w:ascii="Arial Narrow" w:hAnsi="Arial Narrow"/>
        </w:rPr>
        <w:t>conditions</w:t>
      </w:r>
      <w:proofErr w:type="gramEnd"/>
      <w:r w:rsidRPr="00D73DDF">
        <w:rPr>
          <w:rFonts w:ascii="Arial Narrow" w:hAnsi="Arial Narrow"/>
        </w:rPr>
        <w:t xml:space="preserve"> associated with excess glucocorticoid secretion;</w:t>
      </w:r>
    </w:p>
    <w:p w:rsidR="00D8067A" w:rsidRPr="00D73DDF" w:rsidRDefault="00D8067A" w:rsidP="0031428F">
      <w:pPr>
        <w:rPr>
          <w:rFonts w:ascii="Arial Narrow" w:hAnsi="Arial Narrow"/>
        </w:rPr>
      </w:pPr>
      <w:r w:rsidRPr="00D73DDF">
        <w:rPr>
          <w:rFonts w:ascii="Arial Narrow" w:hAnsi="Arial Narrow"/>
        </w:rPr>
        <w:t xml:space="preserve"> (c) </w:t>
      </w:r>
      <w:proofErr w:type="gramStart"/>
      <w:r w:rsidRPr="00D73DDF">
        <w:rPr>
          <w:rFonts w:ascii="Arial Narrow" w:hAnsi="Arial Narrow"/>
        </w:rPr>
        <w:t>male</w:t>
      </w:r>
      <w:proofErr w:type="gramEnd"/>
      <w:r w:rsidRPr="00D73DDF">
        <w:rPr>
          <w:rFonts w:ascii="Arial Narrow" w:hAnsi="Arial Narrow"/>
        </w:rPr>
        <w:t xml:space="preserve"> </w:t>
      </w:r>
      <w:proofErr w:type="spellStart"/>
      <w:r w:rsidRPr="00D73DDF">
        <w:rPr>
          <w:rFonts w:ascii="Arial Narrow" w:hAnsi="Arial Narrow"/>
        </w:rPr>
        <w:t>hypogonadism</w:t>
      </w:r>
      <w:proofErr w:type="spellEnd"/>
      <w:r w:rsidRPr="00D73DDF">
        <w:rPr>
          <w:rFonts w:ascii="Arial Narrow" w:hAnsi="Arial Narrow"/>
        </w:rPr>
        <w:t>; or</w:t>
      </w:r>
    </w:p>
    <w:p w:rsidR="00D8067A" w:rsidRPr="00D73DDF" w:rsidRDefault="00D8067A" w:rsidP="0031428F">
      <w:pPr>
        <w:rPr>
          <w:rFonts w:ascii="Arial Narrow" w:hAnsi="Arial Narrow"/>
        </w:rPr>
      </w:pPr>
      <w:r w:rsidRPr="00D73DDF">
        <w:rPr>
          <w:rFonts w:ascii="Arial Narrow" w:hAnsi="Arial Narrow"/>
        </w:rPr>
        <w:t xml:space="preserve"> (d) </w:t>
      </w:r>
      <w:proofErr w:type="gramStart"/>
      <w:r w:rsidRPr="00D73DDF">
        <w:rPr>
          <w:rFonts w:ascii="Arial Narrow" w:hAnsi="Arial Narrow"/>
        </w:rPr>
        <w:t>female</w:t>
      </w:r>
      <w:proofErr w:type="gramEnd"/>
      <w:r w:rsidRPr="00D73DDF">
        <w:rPr>
          <w:rFonts w:ascii="Arial Narrow" w:hAnsi="Arial Narrow"/>
        </w:rPr>
        <w:t xml:space="preserve"> </w:t>
      </w:r>
      <w:proofErr w:type="spellStart"/>
      <w:r w:rsidRPr="00D73DDF">
        <w:rPr>
          <w:rFonts w:ascii="Arial Narrow" w:hAnsi="Arial Narrow"/>
        </w:rPr>
        <w:t>hypogonadism</w:t>
      </w:r>
      <w:proofErr w:type="spellEnd"/>
      <w:r w:rsidRPr="00D73DDF">
        <w:rPr>
          <w:rFonts w:ascii="Arial Narrow" w:hAnsi="Arial Narrow"/>
        </w:rPr>
        <w:t xml:space="preserve"> lasting more than 6 months before the age of 45.</w:t>
      </w:r>
    </w:p>
    <w:p w:rsidR="00D8067A" w:rsidRPr="00D73DDF" w:rsidRDefault="00D8067A" w:rsidP="0031428F">
      <w:pPr>
        <w:rPr>
          <w:rFonts w:ascii="Arial Narrow" w:hAnsi="Arial Narrow"/>
        </w:rPr>
      </w:pPr>
      <w:r w:rsidRPr="00D73DDF">
        <w:rPr>
          <w:rFonts w:ascii="Arial Narrow" w:hAnsi="Arial Narrow"/>
        </w:rPr>
        <w:t>For Item 12315 the referral should specify the indication for the test, namely:</w:t>
      </w:r>
    </w:p>
    <w:p w:rsidR="00D8067A" w:rsidRPr="00D73DDF" w:rsidRDefault="00D8067A" w:rsidP="0031428F">
      <w:pPr>
        <w:rPr>
          <w:rFonts w:ascii="Arial Narrow" w:hAnsi="Arial Narrow"/>
        </w:rPr>
      </w:pPr>
      <w:r w:rsidRPr="00D73DDF">
        <w:rPr>
          <w:rFonts w:ascii="Arial Narrow" w:hAnsi="Arial Narrow"/>
        </w:rPr>
        <w:t xml:space="preserve"> (a) </w:t>
      </w:r>
      <w:proofErr w:type="gramStart"/>
      <w:r w:rsidRPr="00D73DDF">
        <w:rPr>
          <w:rFonts w:ascii="Arial Narrow" w:hAnsi="Arial Narrow"/>
        </w:rPr>
        <w:t>primary</w:t>
      </w:r>
      <w:proofErr w:type="gramEnd"/>
      <w:r w:rsidRPr="00D73DDF">
        <w:rPr>
          <w:rFonts w:ascii="Arial Narrow" w:hAnsi="Arial Narrow"/>
        </w:rPr>
        <w:t xml:space="preserve"> hyperparathyroidism;</w:t>
      </w:r>
    </w:p>
    <w:p w:rsidR="00D8067A" w:rsidRPr="00D73DDF" w:rsidRDefault="00D8067A" w:rsidP="0031428F">
      <w:pPr>
        <w:rPr>
          <w:rFonts w:ascii="Arial Narrow" w:hAnsi="Arial Narrow"/>
        </w:rPr>
      </w:pPr>
      <w:r w:rsidRPr="00D73DDF">
        <w:rPr>
          <w:rFonts w:ascii="Arial Narrow" w:hAnsi="Arial Narrow"/>
        </w:rPr>
        <w:t xml:space="preserve"> (b) </w:t>
      </w:r>
      <w:proofErr w:type="gramStart"/>
      <w:r w:rsidRPr="00D73DDF">
        <w:rPr>
          <w:rFonts w:ascii="Arial Narrow" w:hAnsi="Arial Narrow"/>
        </w:rPr>
        <w:t>chronic</w:t>
      </w:r>
      <w:proofErr w:type="gramEnd"/>
      <w:r w:rsidRPr="00D73DDF">
        <w:rPr>
          <w:rFonts w:ascii="Arial Narrow" w:hAnsi="Arial Narrow"/>
        </w:rPr>
        <w:t xml:space="preserve"> liver disease;</w:t>
      </w:r>
    </w:p>
    <w:p w:rsidR="00D8067A" w:rsidRPr="00D73DDF" w:rsidRDefault="00D8067A" w:rsidP="0031428F">
      <w:pPr>
        <w:rPr>
          <w:rFonts w:ascii="Arial Narrow" w:hAnsi="Arial Narrow"/>
        </w:rPr>
      </w:pPr>
      <w:r w:rsidRPr="00D73DDF">
        <w:rPr>
          <w:rFonts w:ascii="Arial Narrow" w:hAnsi="Arial Narrow"/>
        </w:rPr>
        <w:t xml:space="preserve"> (c) </w:t>
      </w:r>
      <w:proofErr w:type="gramStart"/>
      <w:r w:rsidRPr="00D73DDF">
        <w:rPr>
          <w:rFonts w:ascii="Arial Narrow" w:hAnsi="Arial Narrow"/>
        </w:rPr>
        <w:t>chronic</w:t>
      </w:r>
      <w:proofErr w:type="gramEnd"/>
      <w:r w:rsidRPr="00D73DDF">
        <w:rPr>
          <w:rFonts w:ascii="Arial Narrow" w:hAnsi="Arial Narrow"/>
        </w:rPr>
        <w:t xml:space="preserve"> renal disease;</w:t>
      </w:r>
    </w:p>
    <w:p w:rsidR="00D8067A" w:rsidRPr="00D73DDF" w:rsidRDefault="00D8067A" w:rsidP="0031428F">
      <w:pPr>
        <w:rPr>
          <w:rFonts w:ascii="Arial Narrow" w:hAnsi="Arial Narrow"/>
        </w:rPr>
      </w:pPr>
      <w:r w:rsidRPr="00D73DDF">
        <w:rPr>
          <w:rFonts w:ascii="Arial Narrow" w:hAnsi="Arial Narrow"/>
        </w:rPr>
        <w:lastRenderedPageBreak/>
        <w:t xml:space="preserve"> (d) </w:t>
      </w:r>
      <w:proofErr w:type="gramStart"/>
      <w:r w:rsidRPr="00D73DDF">
        <w:rPr>
          <w:rFonts w:ascii="Arial Narrow" w:hAnsi="Arial Narrow"/>
        </w:rPr>
        <w:t>proven</w:t>
      </w:r>
      <w:proofErr w:type="gramEnd"/>
      <w:r w:rsidRPr="00D73DDF">
        <w:rPr>
          <w:rFonts w:ascii="Arial Narrow" w:hAnsi="Arial Narrow"/>
        </w:rPr>
        <w:t xml:space="preserve"> </w:t>
      </w:r>
      <w:proofErr w:type="spellStart"/>
      <w:r w:rsidRPr="00D73DDF">
        <w:rPr>
          <w:rFonts w:ascii="Arial Narrow" w:hAnsi="Arial Narrow"/>
        </w:rPr>
        <w:t>malabsorptive</w:t>
      </w:r>
      <w:proofErr w:type="spellEnd"/>
      <w:r w:rsidRPr="00D73DDF">
        <w:rPr>
          <w:rFonts w:ascii="Arial Narrow" w:hAnsi="Arial Narrow"/>
        </w:rPr>
        <w:t xml:space="preserve"> disorders;</w:t>
      </w:r>
    </w:p>
    <w:p w:rsidR="00D8067A" w:rsidRPr="00D73DDF" w:rsidRDefault="00D8067A" w:rsidP="0031428F">
      <w:pPr>
        <w:rPr>
          <w:rFonts w:ascii="Arial Narrow" w:hAnsi="Arial Narrow"/>
        </w:rPr>
      </w:pPr>
      <w:r w:rsidRPr="00D73DDF">
        <w:rPr>
          <w:rFonts w:ascii="Arial Narrow" w:hAnsi="Arial Narrow"/>
        </w:rPr>
        <w:t xml:space="preserve"> (e) </w:t>
      </w:r>
      <w:proofErr w:type="gramStart"/>
      <w:r w:rsidRPr="00D73DDF">
        <w:rPr>
          <w:rFonts w:ascii="Arial Narrow" w:hAnsi="Arial Narrow"/>
        </w:rPr>
        <w:t>rheumatoid</w:t>
      </w:r>
      <w:proofErr w:type="gramEnd"/>
      <w:r w:rsidRPr="00D73DDF">
        <w:rPr>
          <w:rFonts w:ascii="Arial Narrow" w:hAnsi="Arial Narrow"/>
        </w:rPr>
        <w:t xml:space="preserve"> arthritis; or</w:t>
      </w:r>
    </w:p>
    <w:p w:rsidR="00D8067A" w:rsidRPr="00D73DDF" w:rsidRDefault="00D8067A" w:rsidP="0031428F">
      <w:pPr>
        <w:rPr>
          <w:rFonts w:ascii="Arial Narrow" w:hAnsi="Arial Narrow"/>
        </w:rPr>
      </w:pPr>
      <w:r w:rsidRPr="00D73DDF">
        <w:rPr>
          <w:rFonts w:ascii="Arial Narrow" w:hAnsi="Arial Narrow"/>
        </w:rPr>
        <w:t xml:space="preserve"> (f) </w:t>
      </w:r>
      <w:proofErr w:type="gramStart"/>
      <w:r w:rsidRPr="00D73DDF">
        <w:rPr>
          <w:rFonts w:ascii="Arial Narrow" w:hAnsi="Arial Narrow"/>
        </w:rPr>
        <w:t>conditions</w:t>
      </w:r>
      <w:proofErr w:type="gramEnd"/>
      <w:r w:rsidRPr="00D73DDF">
        <w:rPr>
          <w:rFonts w:ascii="Arial Narrow" w:hAnsi="Arial Narrow"/>
        </w:rPr>
        <w:t xml:space="preserve"> associated with </w:t>
      </w:r>
      <w:proofErr w:type="spellStart"/>
      <w:r w:rsidRPr="00D73DDF">
        <w:rPr>
          <w:rFonts w:ascii="Arial Narrow" w:hAnsi="Arial Narrow"/>
        </w:rPr>
        <w:t>thyroxine</w:t>
      </w:r>
      <w:proofErr w:type="spellEnd"/>
      <w:r w:rsidRPr="00D73DDF">
        <w:rPr>
          <w:rFonts w:ascii="Arial Narrow" w:hAnsi="Arial Narrow"/>
        </w:rPr>
        <w:t xml:space="preserve"> excess.</w:t>
      </w:r>
    </w:p>
    <w:p w:rsidR="00D8067A" w:rsidRPr="00D73DDF" w:rsidRDefault="00D8067A" w:rsidP="0031428F">
      <w:pPr>
        <w:rPr>
          <w:rFonts w:ascii="Arial Narrow" w:hAnsi="Arial Narrow"/>
        </w:rPr>
      </w:pPr>
      <w:r w:rsidRPr="00D73DDF">
        <w:rPr>
          <w:rFonts w:ascii="Arial Narrow" w:hAnsi="Arial Narrow"/>
        </w:rPr>
        <w:t>For Item 12318 the referral should specify the indication for the test, namely:</w:t>
      </w:r>
    </w:p>
    <w:p w:rsidR="00D8067A" w:rsidRPr="00D73DDF" w:rsidRDefault="00D8067A" w:rsidP="0031428F">
      <w:pPr>
        <w:rPr>
          <w:rFonts w:ascii="Arial Narrow" w:hAnsi="Arial Narrow"/>
        </w:rPr>
      </w:pPr>
      <w:r w:rsidRPr="00D73DDF">
        <w:rPr>
          <w:rFonts w:ascii="Arial Narrow" w:hAnsi="Arial Narrow"/>
        </w:rPr>
        <w:t xml:space="preserve"> (a) </w:t>
      </w:r>
      <w:proofErr w:type="gramStart"/>
      <w:r w:rsidRPr="00D73DDF">
        <w:rPr>
          <w:rFonts w:ascii="Arial Narrow" w:hAnsi="Arial Narrow"/>
        </w:rPr>
        <w:t>prolonged</w:t>
      </w:r>
      <w:proofErr w:type="gramEnd"/>
      <w:r w:rsidRPr="00D73DDF">
        <w:rPr>
          <w:rFonts w:ascii="Arial Narrow" w:hAnsi="Arial Narrow"/>
        </w:rPr>
        <w:t xml:space="preserve"> glucocorticoid therapy;</w:t>
      </w:r>
    </w:p>
    <w:p w:rsidR="00D8067A" w:rsidRPr="00D73DDF" w:rsidRDefault="00D8067A" w:rsidP="0031428F">
      <w:pPr>
        <w:rPr>
          <w:rFonts w:ascii="Arial Narrow" w:hAnsi="Arial Narrow"/>
        </w:rPr>
      </w:pPr>
      <w:r w:rsidRPr="00D73DDF">
        <w:rPr>
          <w:rFonts w:ascii="Arial Narrow" w:hAnsi="Arial Narrow"/>
        </w:rPr>
        <w:t xml:space="preserve"> (b) </w:t>
      </w:r>
      <w:proofErr w:type="gramStart"/>
      <w:r w:rsidRPr="00D73DDF">
        <w:rPr>
          <w:rFonts w:ascii="Arial Narrow" w:hAnsi="Arial Narrow"/>
        </w:rPr>
        <w:t>conditions</w:t>
      </w:r>
      <w:proofErr w:type="gramEnd"/>
      <w:r w:rsidRPr="00D73DDF">
        <w:rPr>
          <w:rFonts w:ascii="Arial Narrow" w:hAnsi="Arial Narrow"/>
        </w:rPr>
        <w:t xml:space="preserve"> associated with excess glucocorticoid secretion;</w:t>
      </w:r>
    </w:p>
    <w:p w:rsidR="00D8067A" w:rsidRPr="00D73DDF" w:rsidRDefault="00D8067A" w:rsidP="0031428F">
      <w:pPr>
        <w:rPr>
          <w:rFonts w:ascii="Arial Narrow" w:hAnsi="Arial Narrow"/>
        </w:rPr>
      </w:pPr>
      <w:r w:rsidRPr="00D73DDF">
        <w:rPr>
          <w:rFonts w:ascii="Arial Narrow" w:hAnsi="Arial Narrow"/>
        </w:rPr>
        <w:t xml:space="preserve"> (c) </w:t>
      </w:r>
      <w:proofErr w:type="gramStart"/>
      <w:r w:rsidRPr="00D73DDF">
        <w:rPr>
          <w:rFonts w:ascii="Arial Narrow" w:hAnsi="Arial Narrow"/>
        </w:rPr>
        <w:t>male</w:t>
      </w:r>
      <w:proofErr w:type="gramEnd"/>
      <w:r w:rsidRPr="00D73DDF">
        <w:rPr>
          <w:rFonts w:ascii="Arial Narrow" w:hAnsi="Arial Narrow"/>
        </w:rPr>
        <w:t xml:space="preserve"> </w:t>
      </w:r>
      <w:proofErr w:type="spellStart"/>
      <w:r w:rsidRPr="00D73DDF">
        <w:rPr>
          <w:rFonts w:ascii="Arial Narrow" w:hAnsi="Arial Narrow"/>
        </w:rPr>
        <w:t>hypogonadism</w:t>
      </w:r>
      <w:proofErr w:type="spellEnd"/>
      <w:r w:rsidRPr="00D73DDF">
        <w:rPr>
          <w:rFonts w:ascii="Arial Narrow" w:hAnsi="Arial Narrow"/>
        </w:rPr>
        <w:t>;</w:t>
      </w:r>
    </w:p>
    <w:p w:rsidR="00D8067A" w:rsidRPr="00D73DDF" w:rsidRDefault="00D8067A" w:rsidP="0031428F">
      <w:pPr>
        <w:rPr>
          <w:rFonts w:ascii="Arial Narrow" w:hAnsi="Arial Narrow"/>
        </w:rPr>
      </w:pPr>
      <w:r w:rsidRPr="00D73DDF">
        <w:rPr>
          <w:rFonts w:ascii="Arial Narrow" w:hAnsi="Arial Narrow"/>
        </w:rPr>
        <w:t xml:space="preserve"> (d) </w:t>
      </w:r>
      <w:proofErr w:type="gramStart"/>
      <w:r w:rsidRPr="00D73DDF">
        <w:rPr>
          <w:rFonts w:ascii="Arial Narrow" w:hAnsi="Arial Narrow"/>
        </w:rPr>
        <w:t>female</w:t>
      </w:r>
      <w:proofErr w:type="gramEnd"/>
      <w:r w:rsidRPr="00D73DDF">
        <w:rPr>
          <w:rFonts w:ascii="Arial Narrow" w:hAnsi="Arial Narrow"/>
        </w:rPr>
        <w:t xml:space="preserve"> </w:t>
      </w:r>
      <w:proofErr w:type="spellStart"/>
      <w:r w:rsidRPr="00D73DDF">
        <w:rPr>
          <w:rFonts w:ascii="Arial Narrow" w:hAnsi="Arial Narrow"/>
        </w:rPr>
        <w:t>hypogonadism</w:t>
      </w:r>
      <w:proofErr w:type="spellEnd"/>
      <w:r w:rsidRPr="00D73DDF">
        <w:rPr>
          <w:rFonts w:ascii="Arial Narrow" w:hAnsi="Arial Narrow"/>
        </w:rPr>
        <w:t xml:space="preserve"> lasting more than 6 months before the age of 45;</w:t>
      </w:r>
    </w:p>
    <w:p w:rsidR="00D8067A" w:rsidRPr="00D73DDF" w:rsidRDefault="00D8067A" w:rsidP="0031428F">
      <w:pPr>
        <w:rPr>
          <w:rFonts w:ascii="Arial Narrow" w:hAnsi="Arial Narrow"/>
        </w:rPr>
      </w:pPr>
      <w:r w:rsidRPr="00D73DDF">
        <w:rPr>
          <w:rFonts w:ascii="Arial Narrow" w:hAnsi="Arial Narrow"/>
        </w:rPr>
        <w:t xml:space="preserve"> (e) </w:t>
      </w:r>
      <w:proofErr w:type="gramStart"/>
      <w:r w:rsidRPr="00D73DDF">
        <w:rPr>
          <w:rFonts w:ascii="Arial Narrow" w:hAnsi="Arial Narrow"/>
        </w:rPr>
        <w:t>primary</w:t>
      </w:r>
      <w:proofErr w:type="gramEnd"/>
      <w:r w:rsidRPr="00D73DDF">
        <w:rPr>
          <w:rFonts w:ascii="Arial Narrow" w:hAnsi="Arial Narrow"/>
        </w:rPr>
        <w:t xml:space="preserve"> hyperparathyroidism;</w:t>
      </w:r>
    </w:p>
    <w:p w:rsidR="00D8067A" w:rsidRPr="00D73DDF" w:rsidRDefault="00D8067A" w:rsidP="0031428F">
      <w:pPr>
        <w:rPr>
          <w:rFonts w:ascii="Arial Narrow" w:hAnsi="Arial Narrow"/>
        </w:rPr>
      </w:pPr>
      <w:r w:rsidRPr="00D73DDF">
        <w:rPr>
          <w:rFonts w:ascii="Arial Narrow" w:hAnsi="Arial Narrow"/>
        </w:rPr>
        <w:t xml:space="preserve"> (f) </w:t>
      </w:r>
      <w:proofErr w:type="gramStart"/>
      <w:r w:rsidRPr="00D73DDF">
        <w:rPr>
          <w:rFonts w:ascii="Arial Narrow" w:hAnsi="Arial Narrow"/>
        </w:rPr>
        <w:t>chronic</w:t>
      </w:r>
      <w:proofErr w:type="gramEnd"/>
      <w:r w:rsidRPr="00D73DDF">
        <w:rPr>
          <w:rFonts w:ascii="Arial Narrow" w:hAnsi="Arial Narrow"/>
        </w:rPr>
        <w:t xml:space="preserve"> liver disease;</w:t>
      </w:r>
    </w:p>
    <w:p w:rsidR="00D8067A" w:rsidRPr="00D73DDF" w:rsidRDefault="00D8067A" w:rsidP="0031428F">
      <w:pPr>
        <w:rPr>
          <w:rFonts w:ascii="Arial Narrow" w:hAnsi="Arial Narrow"/>
        </w:rPr>
      </w:pPr>
      <w:r w:rsidRPr="00D73DDF">
        <w:rPr>
          <w:rFonts w:ascii="Arial Narrow" w:hAnsi="Arial Narrow"/>
        </w:rPr>
        <w:t xml:space="preserve"> (g) </w:t>
      </w:r>
      <w:proofErr w:type="gramStart"/>
      <w:r w:rsidRPr="00D73DDF">
        <w:rPr>
          <w:rFonts w:ascii="Arial Narrow" w:hAnsi="Arial Narrow"/>
        </w:rPr>
        <w:t>chronic</w:t>
      </w:r>
      <w:proofErr w:type="gramEnd"/>
      <w:r w:rsidRPr="00D73DDF">
        <w:rPr>
          <w:rFonts w:ascii="Arial Narrow" w:hAnsi="Arial Narrow"/>
        </w:rPr>
        <w:t xml:space="preserve"> renal disease;</w:t>
      </w:r>
    </w:p>
    <w:p w:rsidR="00D8067A" w:rsidRPr="00D73DDF" w:rsidRDefault="00D8067A" w:rsidP="0031428F">
      <w:pPr>
        <w:rPr>
          <w:rFonts w:ascii="Arial Narrow" w:hAnsi="Arial Narrow"/>
        </w:rPr>
      </w:pPr>
      <w:r w:rsidRPr="00D73DDF">
        <w:rPr>
          <w:rFonts w:ascii="Arial Narrow" w:hAnsi="Arial Narrow"/>
        </w:rPr>
        <w:t xml:space="preserve"> (h) </w:t>
      </w:r>
      <w:proofErr w:type="gramStart"/>
      <w:r w:rsidRPr="00D73DDF">
        <w:rPr>
          <w:rFonts w:ascii="Arial Narrow" w:hAnsi="Arial Narrow"/>
        </w:rPr>
        <w:t>proven</w:t>
      </w:r>
      <w:proofErr w:type="gramEnd"/>
      <w:r w:rsidRPr="00D73DDF">
        <w:rPr>
          <w:rFonts w:ascii="Arial Narrow" w:hAnsi="Arial Narrow"/>
        </w:rPr>
        <w:t xml:space="preserve"> </w:t>
      </w:r>
      <w:proofErr w:type="spellStart"/>
      <w:r w:rsidRPr="00D73DDF">
        <w:rPr>
          <w:rFonts w:ascii="Arial Narrow" w:hAnsi="Arial Narrow"/>
        </w:rPr>
        <w:t>malabsorptive</w:t>
      </w:r>
      <w:proofErr w:type="spellEnd"/>
      <w:r w:rsidRPr="00D73DDF">
        <w:rPr>
          <w:rFonts w:ascii="Arial Narrow" w:hAnsi="Arial Narrow"/>
        </w:rPr>
        <w:t xml:space="preserve"> disorders;</w:t>
      </w:r>
    </w:p>
    <w:p w:rsidR="00D8067A" w:rsidRPr="00D73DDF" w:rsidRDefault="00D8067A" w:rsidP="0031428F">
      <w:pPr>
        <w:rPr>
          <w:rFonts w:ascii="Arial Narrow" w:hAnsi="Arial Narrow"/>
        </w:rPr>
      </w:pPr>
      <w:r w:rsidRPr="00D73DDF">
        <w:rPr>
          <w:rFonts w:ascii="Arial Narrow" w:hAnsi="Arial Narrow"/>
        </w:rPr>
        <w:t xml:space="preserve"> (</w:t>
      </w:r>
      <w:proofErr w:type="spellStart"/>
      <w:r w:rsidRPr="00D73DDF">
        <w:rPr>
          <w:rFonts w:ascii="Arial Narrow" w:hAnsi="Arial Narrow"/>
        </w:rPr>
        <w:t>i</w:t>
      </w:r>
      <w:proofErr w:type="spellEnd"/>
      <w:r w:rsidRPr="00D73DDF">
        <w:rPr>
          <w:rFonts w:ascii="Arial Narrow" w:hAnsi="Arial Narrow"/>
        </w:rPr>
        <w:t xml:space="preserve">) </w:t>
      </w:r>
      <w:proofErr w:type="gramStart"/>
      <w:r w:rsidRPr="00D73DDF">
        <w:rPr>
          <w:rFonts w:ascii="Arial Narrow" w:hAnsi="Arial Narrow"/>
        </w:rPr>
        <w:t>rheumatoid</w:t>
      </w:r>
      <w:proofErr w:type="gramEnd"/>
      <w:r w:rsidRPr="00D73DDF">
        <w:rPr>
          <w:rFonts w:ascii="Arial Narrow" w:hAnsi="Arial Narrow"/>
        </w:rPr>
        <w:t xml:space="preserve"> arthritis; or</w:t>
      </w:r>
    </w:p>
    <w:p w:rsidR="00D8067A" w:rsidRPr="00D73DDF" w:rsidRDefault="00D8067A" w:rsidP="0031428F">
      <w:pPr>
        <w:rPr>
          <w:rFonts w:ascii="Arial Narrow" w:hAnsi="Arial Narrow"/>
        </w:rPr>
      </w:pPr>
      <w:r w:rsidRPr="00D73DDF">
        <w:rPr>
          <w:rFonts w:ascii="Arial Narrow" w:hAnsi="Arial Narrow"/>
        </w:rPr>
        <w:t xml:space="preserve"> (j) </w:t>
      </w:r>
      <w:proofErr w:type="gramStart"/>
      <w:r w:rsidRPr="00D73DDF">
        <w:rPr>
          <w:rFonts w:ascii="Arial Narrow" w:hAnsi="Arial Narrow"/>
        </w:rPr>
        <w:t>conditions</w:t>
      </w:r>
      <w:proofErr w:type="gramEnd"/>
      <w:r w:rsidRPr="00D73DDF">
        <w:rPr>
          <w:rFonts w:ascii="Arial Narrow" w:hAnsi="Arial Narrow"/>
        </w:rPr>
        <w:t xml:space="preserve"> associated with </w:t>
      </w:r>
      <w:proofErr w:type="spellStart"/>
      <w:r w:rsidRPr="00D73DDF">
        <w:rPr>
          <w:rFonts w:ascii="Arial Narrow" w:hAnsi="Arial Narrow"/>
        </w:rPr>
        <w:t>thyroxine</w:t>
      </w:r>
      <w:proofErr w:type="spellEnd"/>
      <w:r w:rsidRPr="00D73DDF">
        <w:rPr>
          <w:rFonts w:ascii="Arial Narrow" w:hAnsi="Arial Narrow"/>
        </w:rPr>
        <w:t xml:space="preserve"> excess.</w:t>
      </w:r>
    </w:p>
    <w:p w:rsidR="00D8067A" w:rsidRPr="00D73DDF" w:rsidRDefault="00D8067A" w:rsidP="0031428F">
      <w:pPr>
        <w:rPr>
          <w:rFonts w:ascii="Arial Narrow" w:hAnsi="Arial Narrow"/>
        </w:rPr>
      </w:pPr>
      <w:r w:rsidRPr="00D73DDF">
        <w:rPr>
          <w:rFonts w:ascii="Arial Narrow" w:hAnsi="Arial Narrow"/>
        </w:rPr>
        <w:t>Definitions</w:t>
      </w:r>
    </w:p>
    <w:p w:rsidR="00D8067A" w:rsidRPr="00D73DDF" w:rsidRDefault="00D8067A" w:rsidP="0031428F">
      <w:pPr>
        <w:rPr>
          <w:rFonts w:ascii="Arial Narrow" w:hAnsi="Arial Narrow"/>
        </w:rPr>
      </w:pPr>
      <w:r w:rsidRPr="00D73DDF">
        <w:rPr>
          <w:rFonts w:ascii="Arial Narrow" w:hAnsi="Arial Narrow"/>
        </w:rPr>
        <w:t>Low bone mineral density is present when the bone (organ) mineral density falls more than 1.5 standard deviations below the age matched mean or more than 2.5 standard deviations below the young normal mean at the same site and in the same gender.</w:t>
      </w:r>
    </w:p>
    <w:p w:rsidR="00D8067A" w:rsidRPr="00D73DDF" w:rsidRDefault="00D8067A" w:rsidP="0031428F">
      <w:pPr>
        <w:rPr>
          <w:rFonts w:ascii="Arial Narrow" w:hAnsi="Arial Narrow"/>
        </w:rPr>
      </w:pPr>
      <w:r w:rsidRPr="00D73DDF">
        <w:rPr>
          <w:rFonts w:ascii="Arial Narrow" w:hAnsi="Arial Narrow"/>
        </w:rPr>
        <w:t>For Items 12312 and 12318</w:t>
      </w:r>
    </w:p>
    <w:p w:rsidR="00D8067A" w:rsidRPr="00D73DDF" w:rsidRDefault="00D8067A" w:rsidP="0031428F">
      <w:pPr>
        <w:rPr>
          <w:rFonts w:ascii="Arial Narrow" w:hAnsi="Arial Narrow"/>
        </w:rPr>
      </w:pPr>
      <w:r w:rsidRPr="00D73DDF">
        <w:rPr>
          <w:rFonts w:ascii="Arial Narrow" w:hAnsi="Arial Narrow"/>
        </w:rPr>
        <w:t xml:space="preserve"> (a) 'Prolonged glucocorticoid therapy' is defined as the commencement of a dosage of inhaled glucocorticoid equivalent to or greater than 800 micrograms </w:t>
      </w:r>
      <w:proofErr w:type="spellStart"/>
      <w:r w:rsidRPr="00D73DDF">
        <w:rPr>
          <w:rFonts w:ascii="Arial Narrow" w:hAnsi="Arial Narrow"/>
        </w:rPr>
        <w:t>beclomethasone</w:t>
      </w:r>
      <w:proofErr w:type="spellEnd"/>
      <w:r w:rsidRPr="00D73DDF">
        <w:rPr>
          <w:rFonts w:ascii="Arial Narrow" w:hAnsi="Arial Narrow"/>
        </w:rPr>
        <w:t xml:space="preserve"> </w:t>
      </w:r>
      <w:proofErr w:type="spellStart"/>
      <w:r w:rsidRPr="00D73DDF">
        <w:rPr>
          <w:rFonts w:ascii="Arial Narrow" w:hAnsi="Arial Narrow"/>
        </w:rPr>
        <w:t>dipropionate</w:t>
      </w:r>
      <w:proofErr w:type="spellEnd"/>
      <w:r w:rsidRPr="00D73DDF">
        <w:rPr>
          <w:rFonts w:ascii="Arial Narrow" w:hAnsi="Arial Narrow"/>
        </w:rPr>
        <w:t xml:space="preserve"> or budesonide per day; or</w:t>
      </w:r>
    </w:p>
    <w:p w:rsidR="00D8067A" w:rsidRPr="00D73DDF" w:rsidRDefault="00D8067A" w:rsidP="0031428F">
      <w:pPr>
        <w:rPr>
          <w:rFonts w:ascii="Arial Narrow" w:hAnsi="Arial Narrow"/>
        </w:rPr>
      </w:pPr>
      <w:r w:rsidRPr="00D73DDF">
        <w:rPr>
          <w:rFonts w:ascii="Arial Narrow" w:hAnsi="Arial Narrow"/>
        </w:rPr>
        <w:t xml:space="preserve"> (b) </w:t>
      </w:r>
      <w:proofErr w:type="gramStart"/>
      <w:r w:rsidRPr="00D73DDF">
        <w:rPr>
          <w:rFonts w:ascii="Arial Narrow" w:hAnsi="Arial Narrow"/>
        </w:rPr>
        <w:t>a</w:t>
      </w:r>
      <w:proofErr w:type="gramEnd"/>
      <w:r w:rsidRPr="00D73DDF">
        <w:rPr>
          <w:rFonts w:ascii="Arial Narrow" w:hAnsi="Arial Narrow"/>
        </w:rPr>
        <w:t xml:space="preserve"> </w:t>
      </w:r>
      <w:proofErr w:type="spellStart"/>
      <w:r w:rsidRPr="00D73DDF">
        <w:rPr>
          <w:rFonts w:ascii="Arial Narrow" w:hAnsi="Arial Narrow"/>
        </w:rPr>
        <w:t>supraphysiological</w:t>
      </w:r>
      <w:proofErr w:type="spellEnd"/>
      <w:r w:rsidRPr="00D73DDF">
        <w:rPr>
          <w:rFonts w:ascii="Arial Narrow" w:hAnsi="Arial Narrow"/>
        </w:rPr>
        <w:t xml:space="preserve"> glucocorticoid dosage equivalent to or greater than 7.5 mg prednisolone in an adult taken orally per day;</w:t>
      </w:r>
    </w:p>
    <w:p w:rsidR="00D8067A" w:rsidRPr="00D73DDF" w:rsidRDefault="00D8067A" w:rsidP="0031428F">
      <w:pPr>
        <w:rPr>
          <w:rFonts w:ascii="Arial Narrow" w:hAnsi="Arial Narrow"/>
        </w:rPr>
      </w:pPr>
      <w:proofErr w:type="gramStart"/>
      <w:r w:rsidRPr="00D73DDF">
        <w:rPr>
          <w:rFonts w:ascii="Arial Narrow" w:hAnsi="Arial Narrow"/>
        </w:rPr>
        <w:t>for</w:t>
      </w:r>
      <w:proofErr w:type="gramEnd"/>
      <w:r w:rsidRPr="00D73DDF">
        <w:rPr>
          <w:rFonts w:ascii="Arial Narrow" w:hAnsi="Arial Narrow"/>
        </w:rPr>
        <w:t xml:space="preserve"> a period anticipated to last for at least 4 months.</w:t>
      </w:r>
    </w:p>
    <w:p w:rsidR="00D8067A" w:rsidRPr="00D73DDF" w:rsidRDefault="00D8067A" w:rsidP="0031428F">
      <w:pPr>
        <w:rPr>
          <w:rFonts w:ascii="Arial Narrow" w:hAnsi="Arial Narrow"/>
        </w:rPr>
      </w:pPr>
      <w:r w:rsidRPr="00D73DDF">
        <w:rPr>
          <w:rFonts w:ascii="Arial Narrow" w:hAnsi="Arial Narrow"/>
        </w:rPr>
        <w:t>Glucocorticoid therapy must be contemporaneous with the current scan. Patients no longer on steroids would not qualify for benefits.</w:t>
      </w:r>
    </w:p>
    <w:p w:rsidR="00D8067A" w:rsidRPr="00D73DDF" w:rsidRDefault="00D8067A" w:rsidP="0031428F">
      <w:pPr>
        <w:rPr>
          <w:rFonts w:ascii="Arial Narrow" w:hAnsi="Arial Narrow"/>
        </w:rPr>
      </w:pPr>
      <w:r w:rsidRPr="00D73DDF">
        <w:rPr>
          <w:rFonts w:ascii="Arial Narrow" w:hAnsi="Arial Narrow"/>
        </w:rPr>
        <w:t>For Items 12312 and 12318</w:t>
      </w:r>
    </w:p>
    <w:p w:rsidR="00D8067A" w:rsidRPr="00D73DDF" w:rsidRDefault="00D8067A" w:rsidP="0031428F">
      <w:pPr>
        <w:rPr>
          <w:rFonts w:ascii="Arial Narrow" w:hAnsi="Arial Narrow"/>
        </w:rPr>
      </w:pPr>
      <w:r w:rsidRPr="00D73DDF">
        <w:rPr>
          <w:rFonts w:ascii="Arial Narrow" w:hAnsi="Arial Narrow"/>
        </w:rPr>
        <w:t xml:space="preserve"> (a) Male </w:t>
      </w:r>
      <w:proofErr w:type="spellStart"/>
      <w:r w:rsidRPr="00D73DDF">
        <w:rPr>
          <w:rFonts w:ascii="Arial Narrow" w:hAnsi="Arial Narrow"/>
        </w:rPr>
        <w:t>hypogonadism</w:t>
      </w:r>
      <w:proofErr w:type="spellEnd"/>
      <w:r w:rsidRPr="00D73DDF">
        <w:rPr>
          <w:rFonts w:ascii="Arial Narrow" w:hAnsi="Arial Narrow"/>
        </w:rPr>
        <w:t xml:space="preserve"> is defined as serum testosterone levels below the age matched normal range.</w:t>
      </w:r>
    </w:p>
    <w:p w:rsidR="00D8067A" w:rsidRPr="00D73DDF" w:rsidRDefault="00D8067A" w:rsidP="0031428F">
      <w:pPr>
        <w:rPr>
          <w:rFonts w:ascii="Arial Narrow" w:hAnsi="Arial Narrow"/>
        </w:rPr>
      </w:pPr>
      <w:r w:rsidRPr="00D73DDF">
        <w:rPr>
          <w:rFonts w:ascii="Arial Narrow" w:hAnsi="Arial Narrow"/>
        </w:rPr>
        <w:lastRenderedPageBreak/>
        <w:t xml:space="preserve"> (b) Female </w:t>
      </w:r>
      <w:proofErr w:type="spellStart"/>
      <w:r w:rsidRPr="00D73DDF">
        <w:rPr>
          <w:rFonts w:ascii="Arial Narrow" w:hAnsi="Arial Narrow"/>
        </w:rPr>
        <w:t>hypogonadism</w:t>
      </w:r>
      <w:proofErr w:type="spellEnd"/>
      <w:r w:rsidRPr="00D73DDF">
        <w:rPr>
          <w:rFonts w:ascii="Arial Narrow" w:hAnsi="Arial Narrow"/>
        </w:rPr>
        <w:t xml:space="preserve"> is defined as serum oestrogen levels below the age matched normal range.</w:t>
      </w:r>
    </w:p>
    <w:p w:rsidR="00D8067A" w:rsidRPr="00D73DDF" w:rsidRDefault="00D8067A" w:rsidP="0031428F">
      <w:pPr>
        <w:rPr>
          <w:rFonts w:ascii="Arial Narrow" w:hAnsi="Arial Narrow"/>
        </w:rPr>
      </w:pPr>
      <w:r w:rsidRPr="00D73DDF">
        <w:rPr>
          <w:rFonts w:ascii="Arial Narrow" w:hAnsi="Arial Narrow"/>
        </w:rPr>
        <w:t>For Items 12315 and 12318</w:t>
      </w:r>
    </w:p>
    <w:p w:rsidR="00D8067A" w:rsidRPr="00D73DDF" w:rsidRDefault="00D8067A" w:rsidP="0031428F">
      <w:pPr>
        <w:rPr>
          <w:rFonts w:ascii="Arial Narrow" w:hAnsi="Arial Narrow"/>
        </w:rPr>
      </w:pPr>
      <w:r w:rsidRPr="00D73DDF">
        <w:rPr>
          <w:rFonts w:ascii="Arial Narrow" w:hAnsi="Arial Narrow"/>
        </w:rPr>
        <w:t xml:space="preserve">A </w:t>
      </w:r>
      <w:proofErr w:type="spellStart"/>
      <w:r w:rsidRPr="00D73DDF">
        <w:rPr>
          <w:rFonts w:ascii="Arial Narrow" w:hAnsi="Arial Narrow"/>
        </w:rPr>
        <w:t>malabsorptive</w:t>
      </w:r>
      <w:proofErr w:type="spellEnd"/>
      <w:r w:rsidRPr="00D73DDF">
        <w:rPr>
          <w:rFonts w:ascii="Arial Narrow" w:hAnsi="Arial Narrow"/>
        </w:rPr>
        <w:t xml:space="preserve"> disorder is defined as one or more of the following:</w:t>
      </w:r>
    </w:p>
    <w:p w:rsidR="00D8067A" w:rsidRPr="00D73DDF" w:rsidRDefault="00D8067A" w:rsidP="0031428F">
      <w:pPr>
        <w:rPr>
          <w:rFonts w:ascii="Arial Narrow" w:hAnsi="Arial Narrow"/>
        </w:rPr>
      </w:pPr>
      <w:r w:rsidRPr="00D73DDF">
        <w:rPr>
          <w:rFonts w:ascii="Arial Narrow" w:hAnsi="Arial Narrow"/>
        </w:rPr>
        <w:t xml:space="preserve"> (a) </w:t>
      </w:r>
      <w:proofErr w:type="spellStart"/>
      <w:r w:rsidRPr="00D73DDF">
        <w:rPr>
          <w:rFonts w:ascii="Arial Narrow" w:hAnsi="Arial Narrow"/>
        </w:rPr>
        <w:t>malabsorption</w:t>
      </w:r>
      <w:proofErr w:type="spellEnd"/>
      <w:r w:rsidRPr="00D73DDF">
        <w:rPr>
          <w:rFonts w:ascii="Arial Narrow" w:hAnsi="Arial Narrow"/>
        </w:rPr>
        <w:t xml:space="preserve"> of fat, defined as faecal fat estimated at greater than 18 </w:t>
      </w:r>
      <w:proofErr w:type="spellStart"/>
      <w:r w:rsidRPr="00D73DDF">
        <w:rPr>
          <w:rFonts w:ascii="Arial Narrow" w:hAnsi="Arial Narrow"/>
        </w:rPr>
        <w:t>gm</w:t>
      </w:r>
      <w:proofErr w:type="spellEnd"/>
      <w:r w:rsidRPr="00D73DDF">
        <w:rPr>
          <w:rFonts w:ascii="Arial Narrow" w:hAnsi="Arial Narrow"/>
        </w:rPr>
        <w:t xml:space="preserve"> per 72 hours on a normal fat diet; or</w:t>
      </w:r>
    </w:p>
    <w:p w:rsidR="00D8067A" w:rsidRPr="00D73DDF" w:rsidRDefault="00D8067A" w:rsidP="0031428F">
      <w:pPr>
        <w:rPr>
          <w:rFonts w:ascii="Arial Narrow" w:hAnsi="Arial Narrow"/>
        </w:rPr>
      </w:pPr>
      <w:r w:rsidRPr="00D73DDF">
        <w:rPr>
          <w:rFonts w:ascii="Arial Narrow" w:hAnsi="Arial Narrow"/>
        </w:rPr>
        <w:t xml:space="preserve"> (b) </w:t>
      </w:r>
      <w:proofErr w:type="gramStart"/>
      <w:r w:rsidRPr="00D73DDF">
        <w:rPr>
          <w:rFonts w:ascii="Arial Narrow" w:hAnsi="Arial Narrow"/>
        </w:rPr>
        <w:t>bowel</w:t>
      </w:r>
      <w:proofErr w:type="gramEnd"/>
      <w:r w:rsidRPr="00D73DDF">
        <w:rPr>
          <w:rFonts w:ascii="Arial Narrow" w:hAnsi="Arial Narrow"/>
        </w:rPr>
        <w:t xml:space="preserve"> disease with presumptive vitamin D </w:t>
      </w:r>
      <w:proofErr w:type="spellStart"/>
      <w:r w:rsidRPr="00D73DDF">
        <w:rPr>
          <w:rFonts w:ascii="Arial Narrow" w:hAnsi="Arial Narrow"/>
        </w:rPr>
        <w:t>malabsorption</w:t>
      </w:r>
      <w:proofErr w:type="spellEnd"/>
      <w:r w:rsidRPr="00D73DDF">
        <w:rPr>
          <w:rFonts w:ascii="Arial Narrow" w:hAnsi="Arial Narrow"/>
        </w:rPr>
        <w:t xml:space="preserve"> as indicated by a sub-normal circulating 25-hydroxyvitamin D level; or</w:t>
      </w:r>
    </w:p>
    <w:p w:rsidR="00D8067A" w:rsidRPr="00D73DDF" w:rsidRDefault="00D8067A" w:rsidP="0031428F">
      <w:pPr>
        <w:rPr>
          <w:rFonts w:ascii="Arial Narrow" w:hAnsi="Arial Narrow"/>
        </w:rPr>
      </w:pPr>
      <w:r w:rsidRPr="00D73DDF">
        <w:rPr>
          <w:rFonts w:ascii="Arial Narrow" w:hAnsi="Arial Narrow"/>
        </w:rPr>
        <w:t xml:space="preserve"> (c) </w:t>
      </w:r>
      <w:proofErr w:type="gramStart"/>
      <w:r w:rsidRPr="00D73DDF">
        <w:rPr>
          <w:rFonts w:ascii="Arial Narrow" w:hAnsi="Arial Narrow"/>
        </w:rPr>
        <w:t>histologically</w:t>
      </w:r>
      <w:proofErr w:type="gramEnd"/>
      <w:r w:rsidRPr="00D73DDF">
        <w:rPr>
          <w:rFonts w:ascii="Arial Narrow" w:hAnsi="Arial Narrow"/>
        </w:rPr>
        <w:t xml:space="preserve"> proven Coeliac disease.</w:t>
      </w:r>
    </w:p>
    <w:p w:rsidR="00D8067A" w:rsidRPr="00D73DDF" w:rsidRDefault="00D8067A" w:rsidP="0031428F">
      <w:pPr>
        <w:rPr>
          <w:rFonts w:ascii="Arial Narrow" w:hAnsi="Arial Narrow"/>
        </w:rPr>
      </w:pPr>
      <w:r w:rsidRPr="00D73DDF">
        <w:rPr>
          <w:rFonts w:ascii="Arial Narrow" w:hAnsi="Arial Narrow"/>
        </w:rPr>
        <w:t>Related Items: 12306, 12309, 12312, 12315, 12318, 12321, 12323</w:t>
      </w:r>
    </w:p>
    <w:p w:rsidR="00D8067A" w:rsidRPr="0048348B" w:rsidRDefault="00D8067A" w:rsidP="0048348B"/>
    <w:sectPr w:rsidR="00D8067A" w:rsidRPr="0048348B" w:rsidSect="00436ED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F4" w:rsidRDefault="003A6EF4" w:rsidP="000901A8">
      <w:r>
        <w:separator/>
      </w:r>
    </w:p>
  </w:endnote>
  <w:endnote w:type="continuationSeparator" w:id="0">
    <w:p w:rsidR="003A6EF4" w:rsidRDefault="003A6EF4"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F4" w:rsidRDefault="003A6EF4" w:rsidP="000901A8">
      <w:r>
        <w:separator/>
      </w:r>
    </w:p>
  </w:footnote>
  <w:footnote w:type="continuationSeparator" w:id="0">
    <w:p w:rsidR="003A6EF4" w:rsidRDefault="003A6EF4"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E6" w:rsidRDefault="005E09EC">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5344" o:spid="_x0000_s204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E6" w:rsidRDefault="005E09EC">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5345" o:spid="_x0000_s2050"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E6" w:rsidRDefault="005E09EC">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5343" o:spid="_x0000_s2051"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7A9"/>
    <w:multiLevelType w:val="hybridMultilevel"/>
    <w:tmpl w:val="1760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976C7"/>
    <w:multiLevelType w:val="hybridMultilevel"/>
    <w:tmpl w:val="E5429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A5072"/>
    <w:multiLevelType w:val="hybridMultilevel"/>
    <w:tmpl w:val="D730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2D4783"/>
    <w:multiLevelType w:val="hybridMultilevel"/>
    <w:tmpl w:val="33FA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624C0"/>
    <w:multiLevelType w:val="hybridMultilevel"/>
    <w:tmpl w:val="F2F402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6C2575F"/>
    <w:multiLevelType w:val="hybridMultilevel"/>
    <w:tmpl w:val="3C423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E13128"/>
    <w:multiLevelType w:val="hybridMultilevel"/>
    <w:tmpl w:val="F6C4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55314"/>
    <w:multiLevelType w:val="hybridMultilevel"/>
    <w:tmpl w:val="51C8F16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A2E02"/>
    <w:multiLevelType w:val="singleLevel"/>
    <w:tmpl w:val="87E8459A"/>
    <w:lvl w:ilvl="0">
      <w:start w:val="1"/>
      <w:numFmt w:val="bullet"/>
      <w:lvlText w:val=""/>
      <w:lvlJc w:val="left"/>
      <w:pPr>
        <w:tabs>
          <w:tab w:val="num" w:pos="357"/>
        </w:tabs>
        <w:ind w:left="357" w:hanging="357"/>
      </w:pPr>
      <w:rPr>
        <w:rFonts w:ascii="Symbol" w:hAnsi="Symbol" w:hint="default"/>
        <w:sz w:val="20"/>
      </w:rPr>
    </w:lvl>
  </w:abstractNum>
  <w:abstractNum w:abstractNumId="9">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0">
    <w:nsid w:val="29567463"/>
    <w:multiLevelType w:val="hybridMultilevel"/>
    <w:tmpl w:val="8CD8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5237EA"/>
    <w:multiLevelType w:val="hybridMultilevel"/>
    <w:tmpl w:val="8C96C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FC03B3"/>
    <w:multiLevelType w:val="hybridMultilevel"/>
    <w:tmpl w:val="0270C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32C63"/>
    <w:multiLevelType w:val="hybridMultilevel"/>
    <w:tmpl w:val="FE3E5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8C07EC"/>
    <w:multiLevelType w:val="hybridMultilevel"/>
    <w:tmpl w:val="18E2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096D9B"/>
    <w:multiLevelType w:val="hybridMultilevel"/>
    <w:tmpl w:val="434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6349DB"/>
    <w:multiLevelType w:val="hybridMultilevel"/>
    <w:tmpl w:val="1C96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E009E2"/>
    <w:multiLevelType w:val="hybridMultilevel"/>
    <w:tmpl w:val="973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82180"/>
    <w:multiLevelType w:val="hybridMultilevel"/>
    <w:tmpl w:val="A6D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0D316E"/>
    <w:multiLevelType w:val="hybridMultilevel"/>
    <w:tmpl w:val="25EE8B9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8D63CF"/>
    <w:multiLevelType w:val="hybridMultilevel"/>
    <w:tmpl w:val="9AE2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BB279E"/>
    <w:multiLevelType w:val="hybridMultilevel"/>
    <w:tmpl w:val="ADB691A2"/>
    <w:lvl w:ilvl="0" w:tplc="FBB29DD0">
      <w:start w:val="1"/>
      <w:numFmt w:val="lowerLetter"/>
      <w:lvlText w:val="(%1)"/>
      <w:lvlJc w:val="left"/>
      <w:pPr>
        <w:ind w:left="720" w:hanging="360"/>
      </w:pPr>
      <w:rPr>
        <w:rFonts w:ascii="Arial Narrow" w:eastAsia="Times New Roman" w:hAnsi="Arial Narrow" w:cs="Times New Roman" w:hint="default"/>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3C8645F"/>
    <w:multiLevelType w:val="hybridMultilevel"/>
    <w:tmpl w:val="C626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690147"/>
    <w:multiLevelType w:val="hybridMultilevel"/>
    <w:tmpl w:val="43B8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856E7F"/>
    <w:multiLevelType w:val="hybridMultilevel"/>
    <w:tmpl w:val="79A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C5D23"/>
    <w:multiLevelType w:val="hybridMultilevel"/>
    <w:tmpl w:val="ACD88B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59C11055"/>
    <w:multiLevelType w:val="hybridMultilevel"/>
    <w:tmpl w:val="96FE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9">
    <w:nsid w:val="63062F38"/>
    <w:multiLevelType w:val="hybridMultilevel"/>
    <w:tmpl w:val="486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2915A3"/>
    <w:multiLevelType w:val="hybridMultilevel"/>
    <w:tmpl w:val="6772F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165943"/>
    <w:multiLevelType w:val="hybridMultilevel"/>
    <w:tmpl w:val="41666F2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062"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3">
    <w:nsid w:val="6B17298C"/>
    <w:multiLevelType w:val="hybridMultilevel"/>
    <w:tmpl w:val="2506A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25261C"/>
    <w:multiLevelType w:val="hybridMultilevel"/>
    <w:tmpl w:val="730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41252E"/>
    <w:multiLevelType w:val="hybridMultilevel"/>
    <w:tmpl w:val="29F2B0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21E2633"/>
    <w:multiLevelType w:val="hybridMultilevel"/>
    <w:tmpl w:val="0C9C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BD71F7"/>
    <w:multiLevelType w:val="hybridMultilevel"/>
    <w:tmpl w:val="B46C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1542B9"/>
    <w:multiLevelType w:val="hybridMultilevel"/>
    <w:tmpl w:val="D024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EA2C21"/>
    <w:multiLevelType w:val="hybridMultilevel"/>
    <w:tmpl w:val="4DFE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1">
    <w:nsid w:val="7B1D6189"/>
    <w:multiLevelType w:val="hybridMultilevel"/>
    <w:tmpl w:val="402E98B8"/>
    <w:lvl w:ilvl="0" w:tplc="D6BC821E">
      <w:start w:val="1"/>
      <w:numFmt w:val="bullet"/>
      <w:lvlText w:val=""/>
      <w:lvlJc w:val="left"/>
      <w:pPr>
        <w:tabs>
          <w:tab w:val="num" w:pos="578"/>
        </w:tabs>
        <w:ind w:left="578" w:hanging="360"/>
      </w:pPr>
      <w:rPr>
        <w:rFonts w:ascii="Symbol" w:hAnsi="Symbol" w:hint="default"/>
        <w:sz w:val="20"/>
      </w:rPr>
    </w:lvl>
    <w:lvl w:ilvl="1" w:tplc="0C090003" w:tentative="1">
      <w:start w:val="1"/>
      <w:numFmt w:val="bullet"/>
      <w:lvlText w:val="o"/>
      <w:lvlJc w:val="left"/>
      <w:pPr>
        <w:tabs>
          <w:tab w:val="num" w:pos="1658"/>
        </w:tabs>
        <w:ind w:left="1658" w:hanging="360"/>
      </w:pPr>
      <w:rPr>
        <w:rFonts w:ascii="Courier New" w:hAnsi="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42">
    <w:nsid w:val="7BBE0BEA"/>
    <w:multiLevelType w:val="hybridMultilevel"/>
    <w:tmpl w:val="816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24"/>
  </w:num>
  <w:num w:numId="4">
    <w:abstractNumId w:val="28"/>
  </w:num>
  <w:num w:numId="5">
    <w:abstractNumId w:val="32"/>
  </w:num>
  <w:num w:numId="6">
    <w:abstractNumId w:val="34"/>
  </w:num>
  <w:num w:numId="7">
    <w:abstractNumId w:val="29"/>
  </w:num>
  <w:num w:numId="8">
    <w:abstractNumId w:val="20"/>
  </w:num>
  <w:num w:numId="9">
    <w:abstractNumId w:val="15"/>
  </w:num>
  <w:num w:numId="10">
    <w:abstractNumId w:val="6"/>
  </w:num>
  <w:num w:numId="11">
    <w:abstractNumId w:val="35"/>
  </w:num>
  <w:num w:numId="12">
    <w:abstractNumId w:val="26"/>
  </w:num>
  <w:num w:numId="13">
    <w:abstractNumId w:val="36"/>
  </w:num>
  <w:num w:numId="14">
    <w:abstractNumId w:val="4"/>
  </w:num>
  <w:num w:numId="15">
    <w:abstractNumId w:val="23"/>
  </w:num>
  <w:num w:numId="16">
    <w:abstractNumId w:val="37"/>
  </w:num>
  <w:num w:numId="17">
    <w:abstractNumId w:val="22"/>
  </w:num>
  <w:num w:numId="18">
    <w:abstractNumId w:val="12"/>
  </w:num>
  <w:num w:numId="19">
    <w:abstractNumId w:val="2"/>
  </w:num>
  <w:num w:numId="20">
    <w:abstractNumId w:val="1"/>
  </w:num>
  <w:num w:numId="21">
    <w:abstractNumId w:val="27"/>
  </w:num>
  <w:num w:numId="22">
    <w:abstractNumId w:val="17"/>
  </w:num>
  <w:num w:numId="23">
    <w:abstractNumId w:val="42"/>
  </w:num>
  <w:num w:numId="24">
    <w:abstractNumId w:val="25"/>
  </w:num>
  <w:num w:numId="25">
    <w:abstractNumId w:val="39"/>
  </w:num>
  <w:num w:numId="26">
    <w:abstractNumId w:val="38"/>
  </w:num>
  <w:num w:numId="27">
    <w:abstractNumId w:val="13"/>
  </w:num>
  <w:num w:numId="28">
    <w:abstractNumId w:val="14"/>
  </w:num>
  <w:num w:numId="29">
    <w:abstractNumId w:val="11"/>
  </w:num>
  <w:num w:numId="30">
    <w:abstractNumId w:val="16"/>
  </w:num>
  <w:num w:numId="31">
    <w:abstractNumId w:val="33"/>
  </w:num>
  <w:num w:numId="32">
    <w:abstractNumId w:val="30"/>
  </w:num>
  <w:num w:numId="33">
    <w:abstractNumId w:val="19"/>
  </w:num>
  <w:num w:numId="34">
    <w:abstractNumId w:val="31"/>
  </w:num>
  <w:num w:numId="35">
    <w:abstractNumId w:val="7"/>
  </w:num>
  <w:num w:numId="36">
    <w:abstractNumId w:val="21"/>
  </w:num>
  <w:num w:numId="37">
    <w:abstractNumId w:val="18"/>
  </w:num>
  <w:num w:numId="38">
    <w:abstractNumId w:val="5"/>
  </w:num>
  <w:num w:numId="39">
    <w:abstractNumId w:val="10"/>
  </w:num>
  <w:num w:numId="40">
    <w:abstractNumId w:val="8"/>
  </w:num>
  <w:num w:numId="41">
    <w:abstractNumId w:val="41"/>
  </w:num>
  <w:num w:numId="42">
    <w:abstractNumId w:val="0"/>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8C"/>
    <w:rsid w:val="000011AF"/>
    <w:rsid w:val="00001706"/>
    <w:rsid w:val="00006244"/>
    <w:rsid w:val="00007033"/>
    <w:rsid w:val="00010418"/>
    <w:rsid w:val="00012ABD"/>
    <w:rsid w:val="00016FE2"/>
    <w:rsid w:val="0002264E"/>
    <w:rsid w:val="00022DB0"/>
    <w:rsid w:val="00025435"/>
    <w:rsid w:val="0002618A"/>
    <w:rsid w:val="000265FA"/>
    <w:rsid w:val="00027F49"/>
    <w:rsid w:val="000305CD"/>
    <w:rsid w:val="00032C4F"/>
    <w:rsid w:val="000371CA"/>
    <w:rsid w:val="00043B0E"/>
    <w:rsid w:val="000440B1"/>
    <w:rsid w:val="00047D5C"/>
    <w:rsid w:val="00062CD5"/>
    <w:rsid w:val="00063E7D"/>
    <w:rsid w:val="00064809"/>
    <w:rsid w:val="00067E0B"/>
    <w:rsid w:val="000717CA"/>
    <w:rsid w:val="0007200C"/>
    <w:rsid w:val="00072AA7"/>
    <w:rsid w:val="00073C17"/>
    <w:rsid w:val="0007470C"/>
    <w:rsid w:val="00075E36"/>
    <w:rsid w:val="000775A1"/>
    <w:rsid w:val="00077A82"/>
    <w:rsid w:val="00084FAB"/>
    <w:rsid w:val="00087CFA"/>
    <w:rsid w:val="0009013C"/>
    <w:rsid w:val="000901A8"/>
    <w:rsid w:val="00090218"/>
    <w:rsid w:val="00092191"/>
    <w:rsid w:val="0009279E"/>
    <w:rsid w:val="00092BCC"/>
    <w:rsid w:val="00095A41"/>
    <w:rsid w:val="000963CD"/>
    <w:rsid w:val="00096DA0"/>
    <w:rsid w:val="000A082F"/>
    <w:rsid w:val="000A25EF"/>
    <w:rsid w:val="000A3A7E"/>
    <w:rsid w:val="000A3D96"/>
    <w:rsid w:val="000A4405"/>
    <w:rsid w:val="000A6059"/>
    <w:rsid w:val="000A6B75"/>
    <w:rsid w:val="000A717E"/>
    <w:rsid w:val="000A72BE"/>
    <w:rsid w:val="000A7698"/>
    <w:rsid w:val="000B0E8A"/>
    <w:rsid w:val="000B115B"/>
    <w:rsid w:val="000B2EF5"/>
    <w:rsid w:val="000B2F3E"/>
    <w:rsid w:val="000B7CE0"/>
    <w:rsid w:val="000C07B6"/>
    <w:rsid w:val="000C0D42"/>
    <w:rsid w:val="000C1498"/>
    <w:rsid w:val="000C54FF"/>
    <w:rsid w:val="000C6834"/>
    <w:rsid w:val="000C7705"/>
    <w:rsid w:val="000C7AD6"/>
    <w:rsid w:val="000D491A"/>
    <w:rsid w:val="000D5880"/>
    <w:rsid w:val="000D6344"/>
    <w:rsid w:val="000E037B"/>
    <w:rsid w:val="000E0A7C"/>
    <w:rsid w:val="000E1B50"/>
    <w:rsid w:val="000E32B2"/>
    <w:rsid w:val="000E7170"/>
    <w:rsid w:val="000F2479"/>
    <w:rsid w:val="000F6022"/>
    <w:rsid w:val="000F7949"/>
    <w:rsid w:val="000F7ADF"/>
    <w:rsid w:val="001006E7"/>
    <w:rsid w:val="00100E3B"/>
    <w:rsid w:val="00104A9C"/>
    <w:rsid w:val="00111DC4"/>
    <w:rsid w:val="00113A8A"/>
    <w:rsid w:val="001143F6"/>
    <w:rsid w:val="00116C23"/>
    <w:rsid w:val="001208B9"/>
    <w:rsid w:val="00123B6C"/>
    <w:rsid w:val="00124683"/>
    <w:rsid w:val="0012700F"/>
    <w:rsid w:val="001273D8"/>
    <w:rsid w:val="00134F3C"/>
    <w:rsid w:val="00136A7A"/>
    <w:rsid w:val="00136C8A"/>
    <w:rsid w:val="00141992"/>
    <w:rsid w:val="00144931"/>
    <w:rsid w:val="001452A2"/>
    <w:rsid w:val="0014682F"/>
    <w:rsid w:val="00146FB9"/>
    <w:rsid w:val="001474E7"/>
    <w:rsid w:val="001476DB"/>
    <w:rsid w:val="00152811"/>
    <w:rsid w:val="0015330B"/>
    <w:rsid w:val="001537A4"/>
    <w:rsid w:val="00156CB5"/>
    <w:rsid w:val="00157658"/>
    <w:rsid w:val="001610CA"/>
    <w:rsid w:val="0016253D"/>
    <w:rsid w:val="0016659A"/>
    <w:rsid w:val="00166AC8"/>
    <w:rsid w:val="00173F97"/>
    <w:rsid w:val="00175FBB"/>
    <w:rsid w:val="00176D27"/>
    <w:rsid w:val="0018099E"/>
    <w:rsid w:val="00180D66"/>
    <w:rsid w:val="00183D04"/>
    <w:rsid w:val="00184F82"/>
    <w:rsid w:val="00192B9C"/>
    <w:rsid w:val="0019349E"/>
    <w:rsid w:val="001951AA"/>
    <w:rsid w:val="00195718"/>
    <w:rsid w:val="001A02E3"/>
    <w:rsid w:val="001A15EB"/>
    <w:rsid w:val="001A28EA"/>
    <w:rsid w:val="001A2BF0"/>
    <w:rsid w:val="001A3EAC"/>
    <w:rsid w:val="001A562E"/>
    <w:rsid w:val="001A7A50"/>
    <w:rsid w:val="001B0269"/>
    <w:rsid w:val="001B0701"/>
    <w:rsid w:val="001B1281"/>
    <w:rsid w:val="001B1EE9"/>
    <w:rsid w:val="001B21B9"/>
    <w:rsid w:val="001B2CF7"/>
    <w:rsid w:val="001B6F46"/>
    <w:rsid w:val="001C1186"/>
    <w:rsid w:val="001C7E7A"/>
    <w:rsid w:val="001D209C"/>
    <w:rsid w:val="001D46F6"/>
    <w:rsid w:val="001D53DA"/>
    <w:rsid w:val="001D7077"/>
    <w:rsid w:val="001D78B9"/>
    <w:rsid w:val="001E3986"/>
    <w:rsid w:val="001E763C"/>
    <w:rsid w:val="001F0ECE"/>
    <w:rsid w:val="001F13F9"/>
    <w:rsid w:val="001F2ECB"/>
    <w:rsid w:val="001F35B6"/>
    <w:rsid w:val="001F3BC3"/>
    <w:rsid w:val="001F633F"/>
    <w:rsid w:val="00215B8F"/>
    <w:rsid w:val="00216E4A"/>
    <w:rsid w:val="00217B4D"/>
    <w:rsid w:val="00223010"/>
    <w:rsid w:val="00223662"/>
    <w:rsid w:val="0022429F"/>
    <w:rsid w:val="00227AEC"/>
    <w:rsid w:val="00227F5F"/>
    <w:rsid w:val="00230FE6"/>
    <w:rsid w:val="00234D94"/>
    <w:rsid w:val="00235E38"/>
    <w:rsid w:val="00236602"/>
    <w:rsid w:val="002373D7"/>
    <w:rsid w:val="00252345"/>
    <w:rsid w:val="00254B1C"/>
    <w:rsid w:val="00260D69"/>
    <w:rsid w:val="00261055"/>
    <w:rsid w:val="00263510"/>
    <w:rsid w:val="00265367"/>
    <w:rsid w:val="002675F1"/>
    <w:rsid w:val="0027012F"/>
    <w:rsid w:val="0027091F"/>
    <w:rsid w:val="00272503"/>
    <w:rsid w:val="002745C8"/>
    <w:rsid w:val="002802A0"/>
    <w:rsid w:val="0028037B"/>
    <w:rsid w:val="002812C4"/>
    <w:rsid w:val="0028194B"/>
    <w:rsid w:val="0028338E"/>
    <w:rsid w:val="00284D06"/>
    <w:rsid w:val="00290CAA"/>
    <w:rsid w:val="00292C36"/>
    <w:rsid w:val="00296E39"/>
    <w:rsid w:val="002A044A"/>
    <w:rsid w:val="002A3638"/>
    <w:rsid w:val="002A3AC1"/>
    <w:rsid w:val="002A6116"/>
    <w:rsid w:val="002A6980"/>
    <w:rsid w:val="002B40B0"/>
    <w:rsid w:val="002B549C"/>
    <w:rsid w:val="002B6023"/>
    <w:rsid w:val="002B6CAB"/>
    <w:rsid w:val="002C6E35"/>
    <w:rsid w:val="002D2623"/>
    <w:rsid w:val="002D4092"/>
    <w:rsid w:val="002D40F4"/>
    <w:rsid w:val="002D4461"/>
    <w:rsid w:val="002D4CA7"/>
    <w:rsid w:val="002D7933"/>
    <w:rsid w:val="002D7A2F"/>
    <w:rsid w:val="002E1369"/>
    <w:rsid w:val="002E2637"/>
    <w:rsid w:val="002E41A0"/>
    <w:rsid w:val="002E4A8E"/>
    <w:rsid w:val="002E4B28"/>
    <w:rsid w:val="002E4CF0"/>
    <w:rsid w:val="002E6E60"/>
    <w:rsid w:val="002F136E"/>
    <w:rsid w:val="002F3EBB"/>
    <w:rsid w:val="002F49E1"/>
    <w:rsid w:val="002F5A2C"/>
    <w:rsid w:val="002F5B32"/>
    <w:rsid w:val="0030146D"/>
    <w:rsid w:val="0030226A"/>
    <w:rsid w:val="0030420F"/>
    <w:rsid w:val="0031123D"/>
    <w:rsid w:val="00312862"/>
    <w:rsid w:val="00313EC8"/>
    <w:rsid w:val="0031428F"/>
    <w:rsid w:val="00314BE5"/>
    <w:rsid w:val="00316D1E"/>
    <w:rsid w:val="00317BA8"/>
    <w:rsid w:val="00320E6C"/>
    <w:rsid w:val="00320E92"/>
    <w:rsid w:val="00324A45"/>
    <w:rsid w:val="003251C0"/>
    <w:rsid w:val="003251F5"/>
    <w:rsid w:val="003268D5"/>
    <w:rsid w:val="00327FAF"/>
    <w:rsid w:val="003313FE"/>
    <w:rsid w:val="00331FD5"/>
    <w:rsid w:val="003340DD"/>
    <w:rsid w:val="0033554E"/>
    <w:rsid w:val="003367C6"/>
    <w:rsid w:val="003373F9"/>
    <w:rsid w:val="00340C30"/>
    <w:rsid w:val="00346E90"/>
    <w:rsid w:val="00351F1C"/>
    <w:rsid w:val="0035261F"/>
    <w:rsid w:val="00352872"/>
    <w:rsid w:val="00357FB8"/>
    <w:rsid w:val="00363CB8"/>
    <w:rsid w:val="00364316"/>
    <w:rsid w:val="00366BBE"/>
    <w:rsid w:val="0036720C"/>
    <w:rsid w:val="003677FB"/>
    <w:rsid w:val="00370B4A"/>
    <w:rsid w:val="00372170"/>
    <w:rsid w:val="003751C2"/>
    <w:rsid w:val="003769E6"/>
    <w:rsid w:val="00376A18"/>
    <w:rsid w:val="00380366"/>
    <w:rsid w:val="00380D12"/>
    <w:rsid w:val="00382A47"/>
    <w:rsid w:val="003831A4"/>
    <w:rsid w:val="00383F37"/>
    <w:rsid w:val="0038412A"/>
    <w:rsid w:val="0038439A"/>
    <w:rsid w:val="0038569F"/>
    <w:rsid w:val="00387D70"/>
    <w:rsid w:val="00391E64"/>
    <w:rsid w:val="003920DD"/>
    <w:rsid w:val="003940F7"/>
    <w:rsid w:val="003A46EA"/>
    <w:rsid w:val="003A48F8"/>
    <w:rsid w:val="003A4ABC"/>
    <w:rsid w:val="003A51D1"/>
    <w:rsid w:val="003A6EF4"/>
    <w:rsid w:val="003B12EB"/>
    <w:rsid w:val="003B1BB0"/>
    <w:rsid w:val="003B232A"/>
    <w:rsid w:val="003B37A9"/>
    <w:rsid w:val="003B386B"/>
    <w:rsid w:val="003B7A54"/>
    <w:rsid w:val="003C09CE"/>
    <w:rsid w:val="003C3BAF"/>
    <w:rsid w:val="003C4B17"/>
    <w:rsid w:val="003C57A1"/>
    <w:rsid w:val="003D17F0"/>
    <w:rsid w:val="003D26C1"/>
    <w:rsid w:val="003D33D4"/>
    <w:rsid w:val="003D4723"/>
    <w:rsid w:val="003D560D"/>
    <w:rsid w:val="003D7C0A"/>
    <w:rsid w:val="003D7D19"/>
    <w:rsid w:val="003E0E84"/>
    <w:rsid w:val="003E35AF"/>
    <w:rsid w:val="003E48D6"/>
    <w:rsid w:val="003E4C9A"/>
    <w:rsid w:val="003E76CB"/>
    <w:rsid w:val="003E792A"/>
    <w:rsid w:val="003F588F"/>
    <w:rsid w:val="003F58E9"/>
    <w:rsid w:val="003F5D96"/>
    <w:rsid w:val="00404D20"/>
    <w:rsid w:val="004061AC"/>
    <w:rsid w:val="004069E6"/>
    <w:rsid w:val="004073C0"/>
    <w:rsid w:val="00410287"/>
    <w:rsid w:val="004103E0"/>
    <w:rsid w:val="004120EF"/>
    <w:rsid w:val="00415A84"/>
    <w:rsid w:val="0041661A"/>
    <w:rsid w:val="00417B0A"/>
    <w:rsid w:val="0042242D"/>
    <w:rsid w:val="0042260E"/>
    <w:rsid w:val="0042273B"/>
    <w:rsid w:val="004308F6"/>
    <w:rsid w:val="004356C0"/>
    <w:rsid w:val="00436A58"/>
    <w:rsid w:val="00436EDB"/>
    <w:rsid w:val="00440684"/>
    <w:rsid w:val="00441C24"/>
    <w:rsid w:val="004421D9"/>
    <w:rsid w:val="00442DE9"/>
    <w:rsid w:val="00442EA8"/>
    <w:rsid w:val="00443540"/>
    <w:rsid w:val="00443806"/>
    <w:rsid w:val="004442FC"/>
    <w:rsid w:val="00444E8D"/>
    <w:rsid w:val="004503B8"/>
    <w:rsid w:val="004512D3"/>
    <w:rsid w:val="004516CE"/>
    <w:rsid w:val="004522EF"/>
    <w:rsid w:val="00452D41"/>
    <w:rsid w:val="00452D81"/>
    <w:rsid w:val="00453830"/>
    <w:rsid w:val="004577EF"/>
    <w:rsid w:val="00460B36"/>
    <w:rsid w:val="00461D63"/>
    <w:rsid w:val="00463880"/>
    <w:rsid w:val="00471F2A"/>
    <w:rsid w:val="00473509"/>
    <w:rsid w:val="00480148"/>
    <w:rsid w:val="004801BC"/>
    <w:rsid w:val="0048348B"/>
    <w:rsid w:val="004836F6"/>
    <w:rsid w:val="00485C3A"/>
    <w:rsid w:val="004869DF"/>
    <w:rsid w:val="00487CAB"/>
    <w:rsid w:val="00490191"/>
    <w:rsid w:val="00492A46"/>
    <w:rsid w:val="00497750"/>
    <w:rsid w:val="004A0039"/>
    <w:rsid w:val="004A3896"/>
    <w:rsid w:val="004A3F6E"/>
    <w:rsid w:val="004A4622"/>
    <w:rsid w:val="004A5009"/>
    <w:rsid w:val="004A548F"/>
    <w:rsid w:val="004A5C22"/>
    <w:rsid w:val="004A6C8D"/>
    <w:rsid w:val="004B2BD5"/>
    <w:rsid w:val="004C1624"/>
    <w:rsid w:val="004C18D9"/>
    <w:rsid w:val="004C6737"/>
    <w:rsid w:val="004C6B65"/>
    <w:rsid w:val="004E3874"/>
    <w:rsid w:val="004E3A9C"/>
    <w:rsid w:val="004E684C"/>
    <w:rsid w:val="004E7C5C"/>
    <w:rsid w:val="004F0812"/>
    <w:rsid w:val="004F2233"/>
    <w:rsid w:val="004F2E82"/>
    <w:rsid w:val="004F78AA"/>
    <w:rsid w:val="00502DA8"/>
    <w:rsid w:val="0050320C"/>
    <w:rsid w:val="005073A3"/>
    <w:rsid w:val="0051177D"/>
    <w:rsid w:val="005123B7"/>
    <w:rsid w:val="005128CC"/>
    <w:rsid w:val="005144D1"/>
    <w:rsid w:val="00514C0B"/>
    <w:rsid w:val="00517FE1"/>
    <w:rsid w:val="0052004A"/>
    <w:rsid w:val="0052497B"/>
    <w:rsid w:val="00525166"/>
    <w:rsid w:val="00525C94"/>
    <w:rsid w:val="00526659"/>
    <w:rsid w:val="00530E66"/>
    <w:rsid w:val="00534AF4"/>
    <w:rsid w:val="00535517"/>
    <w:rsid w:val="00535C59"/>
    <w:rsid w:val="00536159"/>
    <w:rsid w:val="00536CBD"/>
    <w:rsid w:val="00541834"/>
    <w:rsid w:val="005426DD"/>
    <w:rsid w:val="00544777"/>
    <w:rsid w:val="005506E9"/>
    <w:rsid w:val="005518EC"/>
    <w:rsid w:val="00551F6A"/>
    <w:rsid w:val="005555C0"/>
    <w:rsid w:val="005617A7"/>
    <w:rsid w:val="00563E2A"/>
    <w:rsid w:val="00566BE5"/>
    <w:rsid w:val="00566FB9"/>
    <w:rsid w:val="005674A9"/>
    <w:rsid w:val="00567E45"/>
    <w:rsid w:val="00570982"/>
    <w:rsid w:val="00574DDF"/>
    <w:rsid w:val="0057687C"/>
    <w:rsid w:val="005825FD"/>
    <w:rsid w:val="00584138"/>
    <w:rsid w:val="00584294"/>
    <w:rsid w:val="00591341"/>
    <w:rsid w:val="00594406"/>
    <w:rsid w:val="00594712"/>
    <w:rsid w:val="00596580"/>
    <w:rsid w:val="005A0C93"/>
    <w:rsid w:val="005A334B"/>
    <w:rsid w:val="005A3D90"/>
    <w:rsid w:val="005A45F5"/>
    <w:rsid w:val="005A6BBA"/>
    <w:rsid w:val="005B1CA9"/>
    <w:rsid w:val="005C2A47"/>
    <w:rsid w:val="005C4367"/>
    <w:rsid w:val="005C532E"/>
    <w:rsid w:val="005C545C"/>
    <w:rsid w:val="005C5E1F"/>
    <w:rsid w:val="005C6E80"/>
    <w:rsid w:val="005D06DC"/>
    <w:rsid w:val="005D130F"/>
    <w:rsid w:val="005D2670"/>
    <w:rsid w:val="005D6FA5"/>
    <w:rsid w:val="005E0042"/>
    <w:rsid w:val="005E09EC"/>
    <w:rsid w:val="005E19F7"/>
    <w:rsid w:val="005E3245"/>
    <w:rsid w:val="005E5371"/>
    <w:rsid w:val="005F165A"/>
    <w:rsid w:val="005F1F16"/>
    <w:rsid w:val="005F4AE7"/>
    <w:rsid w:val="00601DB8"/>
    <w:rsid w:val="0060758F"/>
    <w:rsid w:val="00613957"/>
    <w:rsid w:val="00614D03"/>
    <w:rsid w:val="00615E23"/>
    <w:rsid w:val="00617456"/>
    <w:rsid w:val="00621904"/>
    <w:rsid w:val="00627609"/>
    <w:rsid w:val="00632CFA"/>
    <w:rsid w:val="006334E2"/>
    <w:rsid w:val="00640B1F"/>
    <w:rsid w:val="006422CB"/>
    <w:rsid w:val="006431A4"/>
    <w:rsid w:val="00644701"/>
    <w:rsid w:val="0065047F"/>
    <w:rsid w:val="006528C8"/>
    <w:rsid w:val="00652F3A"/>
    <w:rsid w:val="00655E42"/>
    <w:rsid w:val="00656000"/>
    <w:rsid w:val="00662C82"/>
    <w:rsid w:val="00665286"/>
    <w:rsid w:val="00666B27"/>
    <w:rsid w:val="0067172B"/>
    <w:rsid w:val="00673257"/>
    <w:rsid w:val="006732CA"/>
    <w:rsid w:val="006737A1"/>
    <w:rsid w:val="00674C70"/>
    <w:rsid w:val="006754E7"/>
    <w:rsid w:val="00676E13"/>
    <w:rsid w:val="00677522"/>
    <w:rsid w:val="00680AAB"/>
    <w:rsid w:val="00684997"/>
    <w:rsid w:val="00685248"/>
    <w:rsid w:val="0068532D"/>
    <w:rsid w:val="006903C8"/>
    <w:rsid w:val="00691416"/>
    <w:rsid w:val="00692B45"/>
    <w:rsid w:val="00693AF5"/>
    <w:rsid w:val="006A099B"/>
    <w:rsid w:val="006A20A4"/>
    <w:rsid w:val="006A4AFC"/>
    <w:rsid w:val="006A4E17"/>
    <w:rsid w:val="006A4EB0"/>
    <w:rsid w:val="006A50EB"/>
    <w:rsid w:val="006A77BD"/>
    <w:rsid w:val="006B48A3"/>
    <w:rsid w:val="006B7240"/>
    <w:rsid w:val="006C1233"/>
    <w:rsid w:val="006C17A9"/>
    <w:rsid w:val="006C222C"/>
    <w:rsid w:val="006C2900"/>
    <w:rsid w:val="006C35E6"/>
    <w:rsid w:val="006C47BE"/>
    <w:rsid w:val="006C6E2D"/>
    <w:rsid w:val="006D0D12"/>
    <w:rsid w:val="006D621B"/>
    <w:rsid w:val="006D6639"/>
    <w:rsid w:val="006D7203"/>
    <w:rsid w:val="006D7ABD"/>
    <w:rsid w:val="006E1C7F"/>
    <w:rsid w:val="006E304B"/>
    <w:rsid w:val="006E3B7B"/>
    <w:rsid w:val="006E435C"/>
    <w:rsid w:val="006E4668"/>
    <w:rsid w:val="006F0A87"/>
    <w:rsid w:val="006F39A0"/>
    <w:rsid w:val="006F5817"/>
    <w:rsid w:val="006F5C12"/>
    <w:rsid w:val="007030BB"/>
    <w:rsid w:val="00703C13"/>
    <w:rsid w:val="00703ECE"/>
    <w:rsid w:val="00705340"/>
    <w:rsid w:val="00706593"/>
    <w:rsid w:val="007135A8"/>
    <w:rsid w:val="00713A67"/>
    <w:rsid w:val="0071585B"/>
    <w:rsid w:val="00716D3F"/>
    <w:rsid w:val="0072030D"/>
    <w:rsid w:val="00723AC7"/>
    <w:rsid w:val="00723AD3"/>
    <w:rsid w:val="007252D5"/>
    <w:rsid w:val="00725AD2"/>
    <w:rsid w:val="00725BEC"/>
    <w:rsid w:val="00730693"/>
    <w:rsid w:val="0073147F"/>
    <w:rsid w:val="00731ABA"/>
    <w:rsid w:val="00736AEF"/>
    <w:rsid w:val="00737E35"/>
    <w:rsid w:val="00737EAE"/>
    <w:rsid w:val="007518AC"/>
    <w:rsid w:val="00751FA0"/>
    <w:rsid w:val="00755630"/>
    <w:rsid w:val="007558AE"/>
    <w:rsid w:val="007563E9"/>
    <w:rsid w:val="00760DAB"/>
    <w:rsid w:val="00763658"/>
    <w:rsid w:val="007646DB"/>
    <w:rsid w:val="00764A97"/>
    <w:rsid w:val="007652AD"/>
    <w:rsid w:val="00765716"/>
    <w:rsid w:val="007670D3"/>
    <w:rsid w:val="00767E0C"/>
    <w:rsid w:val="00767ECE"/>
    <w:rsid w:val="00772A7A"/>
    <w:rsid w:val="00775685"/>
    <w:rsid w:val="00776897"/>
    <w:rsid w:val="00776AAC"/>
    <w:rsid w:val="00780062"/>
    <w:rsid w:val="007802A9"/>
    <w:rsid w:val="00783859"/>
    <w:rsid w:val="0078387F"/>
    <w:rsid w:val="0078542F"/>
    <w:rsid w:val="00785651"/>
    <w:rsid w:val="00785C2F"/>
    <w:rsid w:val="00794F2D"/>
    <w:rsid w:val="00797C9A"/>
    <w:rsid w:val="007A0B2B"/>
    <w:rsid w:val="007A40DE"/>
    <w:rsid w:val="007B15AC"/>
    <w:rsid w:val="007B3D1F"/>
    <w:rsid w:val="007B5296"/>
    <w:rsid w:val="007B5439"/>
    <w:rsid w:val="007C0225"/>
    <w:rsid w:val="007C0542"/>
    <w:rsid w:val="007C2C21"/>
    <w:rsid w:val="007C355E"/>
    <w:rsid w:val="007C5E2F"/>
    <w:rsid w:val="007C7721"/>
    <w:rsid w:val="007D025C"/>
    <w:rsid w:val="007D17EE"/>
    <w:rsid w:val="007D4C35"/>
    <w:rsid w:val="007D4F82"/>
    <w:rsid w:val="007E0830"/>
    <w:rsid w:val="007E1253"/>
    <w:rsid w:val="007E1EBF"/>
    <w:rsid w:val="007E5DF4"/>
    <w:rsid w:val="007E6A63"/>
    <w:rsid w:val="007F01EA"/>
    <w:rsid w:val="007F054C"/>
    <w:rsid w:val="007F18C0"/>
    <w:rsid w:val="007F21B5"/>
    <w:rsid w:val="007F53CA"/>
    <w:rsid w:val="007F710D"/>
    <w:rsid w:val="007F7AB7"/>
    <w:rsid w:val="0080494B"/>
    <w:rsid w:val="00806A1F"/>
    <w:rsid w:val="00807D54"/>
    <w:rsid w:val="00815C33"/>
    <w:rsid w:val="008218DC"/>
    <w:rsid w:val="00823405"/>
    <w:rsid w:val="00825484"/>
    <w:rsid w:val="008258CA"/>
    <w:rsid w:val="0083021D"/>
    <w:rsid w:val="00831C2D"/>
    <w:rsid w:val="00831FD2"/>
    <w:rsid w:val="0083220B"/>
    <w:rsid w:val="00836DC2"/>
    <w:rsid w:val="00844D3D"/>
    <w:rsid w:val="008476B9"/>
    <w:rsid w:val="00847F45"/>
    <w:rsid w:val="008500D2"/>
    <w:rsid w:val="008508D9"/>
    <w:rsid w:val="00850C5B"/>
    <w:rsid w:val="00851CD3"/>
    <w:rsid w:val="00851EB3"/>
    <w:rsid w:val="0085293D"/>
    <w:rsid w:val="0085355F"/>
    <w:rsid w:val="00855388"/>
    <w:rsid w:val="00857219"/>
    <w:rsid w:val="00860DAA"/>
    <w:rsid w:val="00860F84"/>
    <w:rsid w:val="00862E6A"/>
    <w:rsid w:val="00863328"/>
    <w:rsid w:val="008669AE"/>
    <w:rsid w:val="008703C4"/>
    <w:rsid w:val="0087184F"/>
    <w:rsid w:val="00876F0F"/>
    <w:rsid w:val="00882200"/>
    <w:rsid w:val="008826D8"/>
    <w:rsid w:val="00885A77"/>
    <w:rsid w:val="008872E6"/>
    <w:rsid w:val="00892444"/>
    <w:rsid w:val="00892B69"/>
    <w:rsid w:val="008934FA"/>
    <w:rsid w:val="00894708"/>
    <w:rsid w:val="00894C35"/>
    <w:rsid w:val="00897410"/>
    <w:rsid w:val="008A128B"/>
    <w:rsid w:val="008A15F7"/>
    <w:rsid w:val="008A1615"/>
    <w:rsid w:val="008A1AF9"/>
    <w:rsid w:val="008A5E60"/>
    <w:rsid w:val="008A7249"/>
    <w:rsid w:val="008A7FA6"/>
    <w:rsid w:val="008B0C32"/>
    <w:rsid w:val="008B3CC5"/>
    <w:rsid w:val="008B4862"/>
    <w:rsid w:val="008B6286"/>
    <w:rsid w:val="008C3AD5"/>
    <w:rsid w:val="008C48DC"/>
    <w:rsid w:val="008C7DE0"/>
    <w:rsid w:val="008C7E2F"/>
    <w:rsid w:val="008D148D"/>
    <w:rsid w:val="008D23C6"/>
    <w:rsid w:val="008D4007"/>
    <w:rsid w:val="008D48B9"/>
    <w:rsid w:val="008D6E56"/>
    <w:rsid w:val="008D7982"/>
    <w:rsid w:val="008E2CA4"/>
    <w:rsid w:val="008E327E"/>
    <w:rsid w:val="008E3807"/>
    <w:rsid w:val="008E5D09"/>
    <w:rsid w:val="008F1829"/>
    <w:rsid w:val="008F2C95"/>
    <w:rsid w:val="00906D81"/>
    <w:rsid w:val="00906FA8"/>
    <w:rsid w:val="00907C5B"/>
    <w:rsid w:val="0091243F"/>
    <w:rsid w:val="009144E6"/>
    <w:rsid w:val="00914D15"/>
    <w:rsid w:val="00920EA8"/>
    <w:rsid w:val="00922950"/>
    <w:rsid w:val="0092310C"/>
    <w:rsid w:val="00925429"/>
    <w:rsid w:val="00925CF6"/>
    <w:rsid w:val="00925E65"/>
    <w:rsid w:val="00927567"/>
    <w:rsid w:val="00930F28"/>
    <w:rsid w:val="00931436"/>
    <w:rsid w:val="00937520"/>
    <w:rsid w:val="0094078F"/>
    <w:rsid w:val="00945BAE"/>
    <w:rsid w:val="0094620B"/>
    <w:rsid w:val="00947922"/>
    <w:rsid w:val="00952A04"/>
    <w:rsid w:val="00957CE6"/>
    <w:rsid w:val="0096178B"/>
    <w:rsid w:val="0096303C"/>
    <w:rsid w:val="00966024"/>
    <w:rsid w:val="0096673A"/>
    <w:rsid w:val="009708DE"/>
    <w:rsid w:val="00974910"/>
    <w:rsid w:val="00974F63"/>
    <w:rsid w:val="00977A5B"/>
    <w:rsid w:val="009822AB"/>
    <w:rsid w:val="00982970"/>
    <w:rsid w:val="009843E1"/>
    <w:rsid w:val="00985D08"/>
    <w:rsid w:val="00985DEF"/>
    <w:rsid w:val="0099195F"/>
    <w:rsid w:val="00992280"/>
    <w:rsid w:val="009957F6"/>
    <w:rsid w:val="00996F1B"/>
    <w:rsid w:val="009970EB"/>
    <w:rsid w:val="009972DE"/>
    <w:rsid w:val="009A3356"/>
    <w:rsid w:val="009A54E9"/>
    <w:rsid w:val="009B38B3"/>
    <w:rsid w:val="009B4E41"/>
    <w:rsid w:val="009B59B7"/>
    <w:rsid w:val="009B6E40"/>
    <w:rsid w:val="009C1F4F"/>
    <w:rsid w:val="009C335C"/>
    <w:rsid w:val="009C4F10"/>
    <w:rsid w:val="009D0C37"/>
    <w:rsid w:val="009D1831"/>
    <w:rsid w:val="009D1C46"/>
    <w:rsid w:val="009D7B0D"/>
    <w:rsid w:val="009E0790"/>
    <w:rsid w:val="009E2C89"/>
    <w:rsid w:val="009E4296"/>
    <w:rsid w:val="009E530B"/>
    <w:rsid w:val="009E5BA8"/>
    <w:rsid w:val="009E5BB9"/>
    <w:rsid w:val="009E616A"/>
    <w:rsid w:val="009F3D33"/>
    <w:rsid w:val="009F3E3E"/>
    <w:rsid w:val="009F51C9"/>
    <w:rsid w:val="009F7DB8"/>
    <w:rsid w:val="00A0030F"/>
    <w:rsid w:val="00A0033A"/>
    <w:rsid w:val="00A00E1F"/>
    <w:rsid w:val="00A012FA"/>
    <w:rsid w:val="00A01E6D"/>
    <w:rsid w:val="00A03170"/>
    <w:rsid w:val="00A0605A"/>
    <w:rsid w:val="00A07B5F"/>
    <w:rsid w:val="00A142B0"/>
    <w:rsid w:val="00A14FA9"/>
    <w:rsid w:val="00A15CB9"/>
    <w:rsid w:val="00A16757"/>
    <w:rsid w:val="00A172DA"/>
    <w:rsid w:val="00A20A36"/>
    <w:rsid w:val="00A24873"/>
    <w:rsid w:val="00A25114"/>
    <w:rsid w:val="00A25C50"/>
    <w:rsid w:val="00A25E27"/>
    <w:rsid w:val="00A26D4D"/>
    <w:rsid w:val="00A32E13"/>
    <w:rsid w:val="00A33853"/>
    <w:rsid w:val="00A34E9C"/>
    <w:rsid w:val="00A35688"/>
    <w:rsid w:val="00A35ECE"/>
    <w:rsid w:val="00A3741F"/>
    <w:rsid w:val="00A41593"/>
    <w:rsid w:val="00A466A1"/>
    <w:rsid w:val="00A47110"/>
    <w:rsid w:val="00A47640"/>
    <w:rsid w:val="00A47F11"/>
    <w:rsid w:val="00A5143C"/>
    <w:rsid w:val="00A51EF9"/>
    <w:rsid w:val="00A547A9"/>
    <w:rsid w:val="00A60569"/>
    <w:rsid w:val="00A61C5C"/>
    <w:rsid w:val="00A62DE3"/>
    <w:rsid w:val="00A6576D"/>
    <w:rsid w:val="00A657CB"/>
    <w:rsid w:val="00A66697"/>
    <w:rsid w:val="00A66E07"/>
    <w:rsid w:val="00A67228"/>
    <w:rsid w:val="00A67624"/>
    <w:rsid w:val="00A71335"/>
    <w:rsid w:val="00A73E9E"/>
    <w:rsid w:val="00A74F75"/>
    <w:rsid w:val="00A808A9"/>
    <w:rsid w:val="00A87199"/>
    <w:rsid w:val="00A87427"/>
    <w:rsid w:val="00A87770"/>
    <w:rsid w:val="00A922AE"/>
    <w:rsid w:val="00A96B86"/>
    <w:rsid w:val="00A96F9C"/>
    <w:rsid w:val="00A96FB2"/>
    <w:rsid w:val="00A97063"/>
    <w:rsid w:val="00A9755F"/>
    <w:rsid w:val="00A97BB3"/>
    <w:rsid w:val="00AA3219"/>
    <w:rsid w:val="00AA704B"/>
    <w:rsid w:val="00AA7485"/>
    <w:rsid w:val="00AA7750"/>
    <w:rsid w:val="00AB16EE"/>
    <w:rsid w:val="00AB254C"/>
    <w:rsid w:val="00AB26E9"/>
    <w:rsid w:val="00AB5A95"/>
    <w:rsid w:val="00AC2FF6"/>
    <w:rsid w:val="00AC4985"/>
    <w:rsid w:val="00AC65F1"/>
    <w:rsid w:val="00AD0B0D"/>
    <w:rsid w:val="00AD4669"/>
    <w:rsid w:val="00AD6A9D"/>
    <w:rsid w:val="00AE059A"/>
    <w:rsid w:val="00AE0ED7"/>
    <w:rsid w:val="00AE3C21"/>
    <w:rsid w:val="00AE3DBA"/>
    <w:rsid w:val="00AE4697"/>
    <w:rsid w:val="00AE4CC5"/>
    <w:rsid w:val="00AE6A47"/>
    <w:rsid w:val="00AF3C7D"/>
    <w:rsid w:val="00B0205B"/>
    <w:rsid w:val="00B061AD"/>
    <w:rsid w:val="00B073C8"/>
    <w:rsid w:val="00B1061F"/>
    <w:rsid w:val="00B10EFC"/>
    <w:rsid w:val="00B146C6"/>
    <w:rsid w:val="00B16415"/>
    <w:rsid w:val="00B22A71"/>
    <w:rsid w:val="00B23BD5"/>
    <w:rsid w:val="00B337B1"/>
    <w:rsid w:val="00B338BD"/>
    <w:rsid w:val="00B36692"/>
    <w:rsid w:val="00B37687"/>
    <w:rsid w:val="00B40726"/>
    <w:rsid w:val="00B41FC1"/>
    <w:rsid w:val="00B426CD"/>
    <w:rsid w:val="00B43FE1"/>
    <w:rsid w:val="00B4562F"/>
    <w:rsid w:val="00B45B12"/>
    <w:rsid w:val="00B46DDB"/>
    <w:rsid w:val="00B472E7"/>
    <w:rsid w:val="00B47436"/>
    <w:rsid w:val="00B5130F"/>
    <w:rsid w:val="00B524A9"/>
    <w:rsid w:val="00B534C8"/>
    <w:rsid w:val="00B5581F"/>
    <w:rsid w:val="00B56079"/>
    <w:rsid w:val="00B57442"/>
    <w:rsid w:val="00B57C3E"/>
    <w:rsid w:val="00B60BBD"/>
    <w:rsid w:val="00B6180F"/>
    <w:rsid w:val="00B65BF3"/>
    <w:rsid w:val="00B65F6D"/>
    <w:rsid w:val="00B70F4B"/>
    <w:rsid w:val="00B71547"/>
    <w:rsid w:val="00B73CBF"/>
    <w:rsid w:val="00B74E1B"/>
    <w:rsid w:val="00B8247D"/>
    <w:rsid w:val="00B83696"/>
    <w:rsid w:val="00B8383F"/>
    <w:rsid w:val="00B8444D"/>
    <w:rsid w:val="00B848BD"/>
    <w:rsid w:val="00B8733A"/>
    <w:rsid w:val="00B906BA"/>
    <w:rsid w:val="00B92DF8"/>
    <w:rsid w:val="00B9656D"/>
    <w:rsid w:val="00BA1BB3"/>
    <w:rsid w:val="00BA2ADF"/>
    <w:rsid w:val="00BA2D7F"/>
    <w:rsid w:val="00BB4960"/>
    <w:rsid w:val="00BB4EC0"/>
    <w:rsid w:val="00BB5645"/>
    <w:rsid w:val="00BC19F1"/>
    <w:rsid w:val="00BC4AF1"/>
    <w:rsid w:val="00BC7948"/>
    <w:rsid w:val="00BC7AC0"/>
    <w:rsid w:val="00BD2F15"/>
    <w:rsid w:val="00BD3231"/>
    <w:rsid w:val="00BD36A8"/>
    <w:rsid w:val="00BD5485"/>
    <w:rsid w:val="00BD6339"/>
    <w:rsid w:val="00BD6912"/>
    <w:rsid w:val="00BE0ADD"/>
    <w:rsid w:val="00BE56F3"/>
    <w:rsid w:val="00BE6A02"/>
    <w:rsid w:val="00BE7108"/>
    <w:rsid w:val="00BE7AED"/>
    <w:rsid w:val="00BE7FAD"/>
    <w:rsid w:val="00BF223A"/>
    <w:rsid w:val="00BF2C08"/>
    <w:rsid w:val="00BF6649"/>
    <w:rsid w:val="00BF790B"/>
    <w:rsid w:val="00C02C70"/>
    <w:rsid w:val="00C0346A"/>
    <w:rsid w:val="00C0738D"/>
    <w:rsid w:val="00C10445"/>
    <w:rsid w:val="00C14DC4"/>
    <w:rsid w:val="00C1614A"/>
    <w:rsid w:val="00C210F5"/>
    <w:rsid w:val="00C2233A"/>
    <w:rsid w:val="00C22D7E"/>
    <w:rsid w:val="00C23F87"/>
    <w:rsid w:val="00C30131"/>
    <w:rsid w:val="00C3095A"/>
    <w:rsid w:val="00C30FED"/>
    <w:rsid w:val="00C314EB"/>
    <w:rsid w:val="00C316FD"/>
    <w:rsid w:val="00C3188F"/>
    <w:rsid w:val="00C321D6"/>
    <w:rsid w:val="00C327DC"/>
    <w:rsid w:val="00C342BF"/>
    <w:rsid w:val="00C36764"/>
    <w:rsid w:val="00C401FF"/>
    <w:rsid w:val="00C4020D"/>
    <w:rsid w:val="00C413B7"/>
    <w:rsid w:val="00C41E68"/>
    <w:rsid w:val="00C43181"/>
    <w:rsid w:val="00C45BD4"/>
    <w:rsid w:val="00C46895"/>
    <w:rsid w:val="00C51BDF"/>
    <w:rsid w:val="00C528F2"/>
    <w:rsid w:val="00C5499E"/>
    <w:rsid w:val="00C54B68"/>
    <w:rsid w:val="00C54BB4"/>
    <w:rsid w:val="00C57D90"/>
    <w:rsid w:val="00C619A7"/>
    <w:rsid w:val="00C62251"/>
    <w:rsid w:val="00C6264F"/>
    <w:rsid w:val="00C634BB"/>
    <w:rsid w:val="00C638B5"/>
    <w:rsid w:val="00C638E5"/>
    <w:rsid w:val="00C66C78"/>
    <w:rsid w:val="00C824B8"/>
    <w:rsid w:val="00C830AB"/>
    <w:rsid w:val="00C873D8"/>
    <w:rsid w:val="00C919DB"/>
    <w:rsid w:val="00C928E9"/>
    <w:rsid w:val="00C93077"/>
    <w:rsid w:val="00C95E14"/>
    <w:rsid w:val="00CA1878"/>
    <w:rsid w:val="00CA19C9"/>
    <w:rsid w:val="00CA3FE7"/>
    <w:rsid w:val="00CA78BD"/>
    <w:rsid w:val="00CB02B8"/>
    <w:rsid w:val="00CB069D"/>
    <w:rsid w:val="00CB7284"/>
    <w:rsid w:val="00CC32AD"/>
    <w:rsid w:val="00CC5F3A"/>
    <w:rsid w:val="00CD2CCE"/>
    <w:rsid w:val="00CD2E24"/>
    <w:rsid w:val="00CD3A73"/>
    <w:rsid w:val="00CD3C9F"/>
    <w:rsid w:val="00CD3EAE"/>
    <w:rsid w:val="00CD6415"/>
    <w:rsid w:val="00CE062E"/>
    <w:rsid w:val="00CE1AF5"/>
    <w:rsid w:val="00CE4952"/>
    <w:rsid w:val="00CE6129"/>
    <w:rsid w:val="00CE7EDA"/>
    <w:rsid w:val="00CF1885"/>
    <w:rsid w:val="00CF188C"/>
    <w:rsid w:val="00CF6D1F"/>
    <w:rsid w:val="00D00A8A"/>
    <w:rsid w:val="00D00E85"/>
    <w:rsid w:val="00D012CC"/>
    <w:rsid w:val="00D02128"/>
    <w:rsid w:val="00D025C2"/>
    <w:rsid w:val="00D03684"/>
    <w:rsid w:val="00D04791"/>
    <w:rsid w:val="00D056E3"/>
    <w:rsid w:val="00D071C8"/>
    <w:rsid w:val="00D07D72"/>
    <w:rsid w:val="00D107F2"/>
    <w:rsid w:val="00D11C15"/>
    <w:rsid w:val="00D13AED"/>
    <w:rsid w:val="00D170FD"/>
    <w:rsid w:val="00D23903"/>
    <w:rsid w:val="00D23A63"/>
    <w:rsid w:val="00D34BAD"/>
    <w:rsid w:val="00D357B5"/>
    <w:rsid w:val="00D361C6"/>
    <w:rsid w:val="00D40922"/>
    <w:rsid w:val="00D42DA3"/>
    <w:rsid w:val="00D449CA"/>
    <w:rsid w:val="00D453FF"/>
    <w:rsid w:val="00D5182D"/>
    <w:rsid w:val="00D52B6C"/>
    <w:rsid w:val="00D54CC1"/>
    <w:rsid w:val="00D54CF5"/>
    <w:rsid w:val="00D55001"/>
    <w:rsid w:val="00D56047"/>
    <w:rsid w:val="00D568CB"/>
    <w:rsid w:val="00D61C4E"/>
    <w:rsid w:val="00D723C5"/>
    <w:rsid w:val="00D7288E"/>
    <w:rsid w:val="00D72BBF"/>
    <w:rsid w:val="00D73DDF"/>
    <w:rsid w:val="00D756A4"/>
    <w:rsid w:val="00D775CB"/>
    <w:rsid w:val="00D7774A"/>
    <w:rsid w:val="00D80306"/>
    <w:rsid w:val="00D8067A"/>
    <w:rsid w:val="00D81172"/>
    <w:rsid w:val="00D8229C"/>
    <w:rsid w:val="00D84796"/>
    <w:rsid w:val="00D86DA1"/>
    <w:rsid w:val="00D91D3B"/>
    <w:rsid w:val="00D92417"/>
    <w:rsid w:val="00D941E4"/>
    <w:rsid w:val="00D97711"/>
    <w:rsid w:val="00DA00D1"/>
    <w:rsid w:val="00DA2A20"/>
    <w:rsid w:val="00DA3F5A"/>
    <w:rsid w:val="00DA445B"/>
    <w:rsid w:val="00DA5875"/>
    <w:rsid w:val="00DB05CC"/>
    <w:rsid w:val="00DC12A8"/>
    <w:rsid w:val="00DC13F0"/>
    <w:rsid w:val="00DC2106"/>
    <w:rsid w:val="00DC34A2"/>
    <w:rsid w:val="00DC6ABB"/>
    <w:rsid w:val="00DD3434"/>
    <w:rsid w:val="00DD3AAE"/>
    <w:rsid w:val="00DD4E8D"/>
    <w:rsid w:val="00DD579D"/>
    <w:rsid w:val="00DE040B"/>
    <w:rsid w:val="00DE2D93"/>
    <w:rsid w:val="00DE31F7"/>
    <w:rsid w:val="00DE40EA"/>
    <w:rsid w:val="00DE4929"/>
    <w:rsid w:val="00DE6EEF"/>
    <w:rsid w:val="00DF1CCD"/>
    <w:rsid w:val="00DF4767"/>
    <w:rsid w:val="00DF5B0D"/>
    <w:rsid w:val="00DF60B8"/>
    <w:rsid w:val="00DF685B"/>
    <w:rsid w:val="00DF693D"/>
    <w:rsid w:val="00E015C6"/>
    <w:rsid w:val="00E02A43"/>
    <w:rsid w:val="00E123BA"/>
    <w:rsid w:val="00E1415C"/>
    <w:rsid w:val="00E1550E"/>
    <w:rsid w:val="00E174F6"/>
    <w:rsid w:val="00E17E61"/>
    <w:rsid w:val="00E243B2"/>
    <w:rsid w:val="00E24F51"/>
    <w:rsid w:val="00E252C3"/>
    <w:rsid w:val="00E254D6"/>
    <w:rsid w:val="00E31B1A"/>
    <w:rsid w:val="00E31D0E"/>
    <w:rsid w:val="00E34900"/>
    <w:rsid w:val="00E34B9B"/>
    <w:rsid w:val="00E350B7"/>
    <w:rsid w:val="00E3538B"/>
    <w:rsid w:val="00E400A9"/>
    <w:rsid w:val="00E40CF7"/>
    <w:rsid w:val="00E40E17"/>
    <w:rsid w:val="00E42304"/>
    <w:rsid w:val="00E46D99"/>
    <w:rsid w:val="00E50AFE"/>
    <w:rsid w:val="00E52159"/>
    <w:rsid w:val="00E52F0C"/>
    <w:rsid w:val="00E56F06"/>
    <w:rsid w:val="00E60B6E"/>
    <w:rsid w:val="00E64E4E"/>
    <w:rsid w:val="00E66824"/>
    <w:rsid w:val="00E6726F"/>
    <w:rsid w:val="00E72C79"/>
    <w:rsid w:val="00E7390A"/>
    <w:rsid w:val="00E851FE"/>
    <w:rsid w:val="00E86524"/>
    <w:rsid w:val="00E920A3"/>
    <w:rsid w:val="00E92610"/>
    <w:rsid w:val="00E92A35"/>
    <w:rsid w:val="00E94DB9"/>
    <w:rsid w:val="00E97160"/>
    <w:rsid w:val="00EA173A"/>
    <w:rsid w:val="00EB0024"/>
    <w:rsid w:val="00EB0DF0"/>
    <w:rsid w:val="00EB17FA"/>
    <w:rsid w:val="00EB2F7E"/>
    <w:rsid w:val="00EB6EDC"/>
    <w:rsid w:val="00EC1AAF"/>
    <w:rsid w:val="00EC1C27"/>
    <w:rsid w:val="00EC23D3"/>
    <w:rsid w:val="00EC3403"/>
    <w:rsid w:val="00EC41A8"/>
    <w:rsid w:val="00EC6656"/>
    <w:rsid w:val="00EC7AC6"/>
    <w:rsid w:val="00ED1C70"/>
    <w:rsid w:val="00ED209E"/>
    <w:rsid w:val="00ED722A"/>
    <w:rsid w:val="00ED76A9"/>
    <w:rsid w:val="00ED7A91"/>
    <w:rsid w:val="00EE1DEA"/>
    <w:rsid w:val="00EE30CD"/>
    <w:rsid w:val="00EE5491"/>
    <w:rsid w:val="00EF4181"/>
    <w:rsid w:val="00EF4B92"/>
    <w:rsid w:val="00EF709D"/>
    <w:rsid w:val="00F033E4"/>
    <w:rsid w:val="00F04A57"/>
    <w:rsid w:val="00F05EFE"/>
    <w:rsid w:val="00F07BC1"/>
    <w:rsid w:val="00F1065C"/>
    <w:rsid w:val="00F11CFE"/>
    <w:rsid w:val="00F1331A"/>
    <w:rsid w:val="00F1391A"/>
    <w:rsid w:val="00F170EF"/>
    <w:rsid w:val="00F17897"/>
    <w:rsid w:val="00F20487"/>
    <w:rsid w:val="00F231BC"/>
    <w:rsid w:val="00F255B0"/>
    <w:rsid w:val="00F277C1"/>
    <w:rsid w:val="00F30EAE"/>
    <w:rsid w:val="00F31521"/>
    <w:rsid w:val="00F32730"/>
    <w:rsid w:val="00F3418E"/>
    <w:rsid w:val="00F364DA"/>
    <w:rsid w:val="00F37439"/>
    <w:rsid w:val="00F41CE3"/>
    <w:rsid w:val="00F42366"/>
    <w:rsid w:val="00F4545A"/>
    <w:rsid w:val="00F46A88"/>
    <w:rsid w:val="00F46FCA"/>
    <w:rsid w:val="00F501CB"/>
    <w:rsid w:val="00F529FB"/>
    <w:rsid w:val="00F543C6"/>
    <w:rsid w:val="00F54AE7"/>
    <w:rsid w:val="00F54B41"/>
    <w:rsid w:val="00F62F1A"/>
    <w:rsid w:val="00F642D5"/>
    <w:rsid w:val="00F65AA6"/>
    <w:rsid w:val="00F6696C"/>
    <w:rsid w:val="00F75A87"/>
    <w:rsid w:val="00F77B75"/>
    <w:rsid w:val="00F77FF5"/>
    <w:rsid w:val="00F80D51"/>
    <w:rsid w:val="00F81362"/>
    <w:rsid w:val="00F84C8D"/>
    <w:rsid w:val="00F85926"/>
    <w:rsid w:val="00F85E37"/>
    <w:rsid w:val="00F86991"/>
    <w:rsid w:val="00F871FA"/>
    <w:rsid w:val="00F87C13"/>
    <w:rsid w:val="00F87C24"/>
    <w:rsid w:val="00F93196"/>
    <w:rsid w:val="00F9530D"/>
    <w:rsid w:val="00FA0391"/>
    <w:rsid w:val="00FA04CA"/>
    <w:rsid w:val="00FA1E48"/>
    <w:rsid w:val="00FA2EFD"/>
    <w:rsid w:val="00FA4014"/>
    <w:rsid w:val="00FA42EE"/>
    <w:rsid w:val="00FA5F33"/>
    <w:rsid w:val="00FB306E"/>
    <w:rsid w:val="00FB3F7D"/>
    <w:rsid w:val="00FC175E"/>
    <w:rsid w:val="00FC2D40"/>
    <w:rsid w:val="00FC3A2B"/>
    <w:rsid w:val="00FC4370"/>
    <w:rsid w:val="00FC49FB"/>
    <w:rsid w:val="00FC5FDF"/>
    <w:rsid w:val="00FD0143"/>
    <w:rsid w:val="00FD4052"/>
    <w:rsid w:val="00FD4BF5"/>
    <w:rsid w:val="00FD4D49"/>
    <w:rsid w:val="00FD5309"/>
    <w:rsid w:val="00FD5BB4"/>
    <w:rsid w:val="00FD636B"/>
    <w:rsid w:val="00FD67C8"/>
    <w:rsid w:val="00FE0065"/>
    <w:rsid w:val="00FE165B"/>
    <w:rsid w:val="00FE705C"/>
    <w:rsid w:val="00FF0748"/>
    <w:rsid w:val="00FF0760"/>
    <w:rsid w:val="00FF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40E17"/>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b/>
      <w:color w:val="215868"/>
      <w:sz w:val="32"/>
      <w:lang w:eastAsia="zh-CN"/>
    </w:rPr>
  </w:style>
  <w:style w:type="character" w:customStyle="1" w:styleId="Heading2Char">
    <w:name w:val="Heading 2 Char"/>
    <w:basedOn w:val="DefaultParagraphFont"/>
    <w:link w:val="Heading2"/>
    <w:uiPriority w:val="99"/>
    <w:locked/>
    <w:rsid w:val="00D5182D"/>
    <w:rPr>
      <w:rFonts w:ascii="Tahoma" w:eastAsia="SimSun" w:hAnsi="Tahoma"/>
      <w:b/>
      <w:color w:val="215868"/>
      <w:sz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olor w:val="41A7BF"/>
      <w:sz w:val="20"/>
      <w:lang w:eastAsia="zh-CN"/>
    </w:rPr>
  </w:style>
  <w:style w:type="character" w:customStyle="1" w:styleId="Heading4Char">
    <w:name w:val="Heading 4 Char"/>
    <w:basedOn w:val="DefaultParagraphFont"/>
    <w:link w:val="Heading4"/>
    <w:uiPriority w:val="99"/>
    <w:locked/>
    <w:rsid w:val="00ED7A91"/>
    <w:rPr>
      <w:rFonts w:ascii="Tahoma" w:eastAsia="SimSun" w:hAnsi="Tahoma"/>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b/>
      <w:i/>
      <w:lang w:val="en-AU" w:eastAsia="zh-CN"/>
    </w:rPr>
  </w:style>
  <w:style w:type="character" w:customStyle="1" w:styleId="Heading6Char">
    <w:name w:val="Heading 6 Char"/>
    <w:basedOn w:val="DefaultParagraphFont"/>
    <w:link w:val="Heading6"/>
    <w:uiPriority w:val="99"/>
    <w:locked/>
    <w:rsid w:val="00ED7A91"/>
    <w:rPr>
      <w:rFonts w:ascii="Tahoma" w:eastAsia="SimSun" w:hAnsi="Tahoma"/>
      <w:b/>
      <w:sz w:val="28"/>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i/>
      <w:sz w:val="20"/>
      <w:lang w:eastAsia="zh-CN"/>
    </w:rPr>
  </w:style>
  <w:style w:type="character" w:customStyle="1" w:styleId="Heading8Char">
    <w:name w:val="Heading 8 Char"/>
    <w:basedOn w:val="DefaultParagraphFont"/>
    <w:link w:val="Heading8"/>
    <w:uiPriority w:val="99"/>
    <w:locked/>
    <w:rsid w:val="00ED7A91"/>
    <w:rPr>
      <w:rFonts w:ascii="Tahoma" w:eastAsia="SimSun" w:hAnsi="Tahoma"/>
      <w:sz w:val="48"/>
      <w:lang w:val="en-AU" w:eastAsia="zh-CN"/>
    </w:rPr>
  </w:style>
  <w:style w:type="character" w:customStyle="1" w:styleId="Heading9Char">
    <w:name w:val="Heading 9 Char"/>
    <w:basedOn w:val="DefaultParagraphFont"/>
    <w:link w:val="Heading9"/>
    <w:uiPriority w:val="99"/>
    <w:locked/>
    <w:rsid w:val="00ED7A91"/>
    <w:rPr>
      <w:rFonts w:ascii="Tahoma" w:eastAsia="SimSun" w:hAnsi="Tahoma"/>
      <w:i/>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sz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rPr>
  </w:style>
  <w:style w:type="paragraph" w:styleId="CommentText">
    <w:name w:val="annotation text"/>
    <w:basedOn w:val="Normal"/>
    <w:link w:val="CommentTextChar"/>
    <w:uiPriority w:val="99"/>
    <w:semiHidden/>
    <w:rsid w:val="00ED7A91"/>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sz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b/>
      <w:sz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locked/>
    <w:rsid w:val="00ED7A91"/>
    <w:rPr>
      <w:rFonts w:ascii="Times New Roman" w:eastAsia="SimSun" w:hAnsi="Times New Roman"/>
      <w:sz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eastAsia="en-AU"/>
    </w:rPr>
  </w:style>
  <w:style w:type="character" w:customStyle="1" w:styleId="FootnoteTextChar">
    <w:name w:val="Footnote Text Char"/>
    <w:basedOn w:val="DefaultParagraphFont"/>
    <w:link w:val="FootnoteText"/>
    <w:uiPriority w:val="99"/>
    <w:semiHidden/>
    <w:locked/>
    <w:rsid w:val="00ED7A91"/>
    <w:rPr>
      <w:sz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basedOn w:val="DefaultParagraphFont"/>
    <w:link w:val="Header"/>
    <w:uiPriority w:val="99"/>
    <w:locked/>
    <w:rsid w:val="00ED7A91"/>
    <w:rPr>
      <w:rFonts w:ascii="Times New Roman" w:eastAsia="SimSun" w:hAnsi="Times New Roman"/>
      <w:sz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sz w:val="18"/>
      <w:lang w:val="en-AU" w:eastAsia="en-US"/>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b/>
      <w:kern w:val="28"/>
      <w:sz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link w:val="NoSpacing"/>
    <w:uiPriority w:val="99"/>
    <w:locked/>
    <w:rsid w:val="00A32E13"/>
    <w:rPr>
      <w:rFonts w:eastAsia="Times New Roman"/>
      <w:sz w:val="22"/>
      <w:lang w:val="en-US" w:eastAsia="en-US"/>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table" w:customStyle="1" w:styleId="TableGrid3">
    <w:name w:val="Table Grid3"/>
    <w:uiPriority w:val="99"/>
    <w:rsid w:val="00A676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issue">
    <w:name w:val="citation-issue"/>
    <w:basedOn w:val="DefaultParagraphFont"/>
    <w:uiPriority w:val="99"/>
    <w:rsid w:val="00776AAC"/>
    <w:rPr>
      <w:rFonts w:cs="Times New Roman"/>
    </w:rPr>
  </w:style>
  <w:style w:type="character" w:customStyle="1" w:styleId="authors">
    <w:name w:val="authors"/>
    <w:basedOn w:val="DefaultParagraphFont"/>
    <w:uiPriority w:val="99"/>
    <w:rsid w:val="00A66E07"/>
    <w:rPr>
      <w:rFonts w:cs="Times New Roman"/>
    </w:rPr>
  </w:style>
  <w:style w:type="paragraph" w:styleId="NormalWeb">
    <w:name w:val="Normal (Web)"/>
    <w:basedOn w:val="Normal"/>
    <w:uiPriority w:val="99"/>
    <w:rsid w:val="000C770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Revision">
    <w:name w:val="Revision"/>
    <w:hidden/>
    <w:uiPriority w:val="99"/>
    <w:semiHidden/>
    <w:rsid w:val="00E31D0E"/>
    <w:rPr>
      <w:rFonts w:ascii="Tahoma" w:eastAsia="SimSun" w:hAnsi="Tahoma" w:cs="Tahoma"/>
      <w:sz w:val="20"/>
      <w:szCs w:val="20"/>
      <w:lang w:eastAsia="zh-CN"/>
    </w:rPr>
  </w:style>
  <w:style w:type="table" w:customStyle="1" w:styleId="1">
    <w:name w:val="1"/>
    <w:uiPriority w:val="99"/>
    <w:rsid w:val="00331FD5"/>
    <w:rPr>
      <w:rFonts w:ascii="Times New Roman" w:eastAsia="Times New Roman" w:hAnsi="Times New Roman"/>
      <w:sz w:val="20"/>
      <w:szCs w:val="20"/>
      <w:lang w:val="en-US" w:eastAsia="en-U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table" w:customStyle="1" w:styleId="TableGrid2">
    <w:name w:val="Table Grid2"/>
    <w:uiPriority w:val="99"/>
    <w:rsid w:val="00436ED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B524A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1">
    <w:name w:val="addmd1"/>
    <w:basedOn w:val="DefaultParagraphFont"/>
    <w:uiPriority w:val="99"/>
    <w:rsid w:val="008D7982"/>
    <w:rPr>
      <w:rFonts w:cs="Times New Roman"/>
      <w:sz w:val="20"/>
      <w:szCs w:val="20"/>
    </w:rPr>
  </w:style>
  <w:style w:type="paragraph" w:styleId="BodyText2">
    <w:name w:val="Body Text 2"/>
    <w:basedOn w:val="Normal"/>
    <w:link w:val="BodyText2Char"/>
    <w:uiPriority w:val="99"/>
    <w:rsid w:val="008D7982"/>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8D7982"/>
    <w:rPr>
      <w:rFonts w:ascii="Bookman Old Style" w:hAnsi="Bookman Old Style" w:cs="Times New Roman"/>
      <w:noProof/>
      <w:sz w:val="42"/>
    </w:rPr>
  </w:style>
  <w:style w:type="paragraph" w:customStyle="1" w:styleId="Protocolheading1">
    <w:name w:val="Protocol heading 1"/>
    <w:basedOn w:val="Normal"/>
    <w:uiPriority w:val="99"/>
    <w:rsid w:val="008D7982"/>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8D7982"/>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8D7982"/>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8D7982"/>
    <w:rPr>
      <w:rFonts w:ascii="Arial" w:hAnsi="Arial" w:cs="Times New Roman"/>
      <w:sz w:val="24"/>
      <w:szCs w:val="24"/>
      <w:lang w:val="en-AU"/>
    </w:rPr>
  </w:style>
  <w:style w:type="paragraph" w:styleId="BodyText">
    <w:name w:val="Body Text"/>
    <w:basedOn w:val="Normal"/>
    <w:link w:val="BodyTextChar"/>
    <w:uiPriority w:val="99"/>
    <w:rsid w:val="008D7982"/>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8D7982"/>
    <w:rPr>
      <w:rFonts w:ascii="Bookman Old Style" w:hAnsi="Bookman Old Style" w:cs="Times New Roman"/>
      <w:sz w:val="22"/>
      <w:lang w:val="en-AU"/>
    </w:rPr>
  </w:style>
  <w:style w:type="paragraph" w:styleId="BodyTextIndent">
    <w:name w:val="Body Text Indent"/>
    <w:basedOn w:val="Normal"/>
    <w:link w:val="BodyTextIndentChar"/>
    <w:uiPriority w:val="99"/>
    <w:rsid w:val="008D7982"/>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8D7982"/>
    <w:rPr>
      <w:rFonts w:ascii="Bookman Old Style" w:hAnsi="Bookman Old Style" w:cs="Times New Roman"/>
      <w:sz w:val="22"/>
      <w:lang w:val="en-AU"/>
    </w:rPr>
  </w:style>
  <w:style w:type="paragraph" w:styleId="BodyTextIndent2">
    <w:name w:val="Body Text Indent 2"/>
    <w:basedOn w:val="Normal"/>
    <w:link w:val="BodyTextIndent2Char"/>
    <w:uiPriority w:val="99"/>
    <w:rsid w:val="008D7982"/>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8D7982"/>
    <w:rPr>
      <w:rFonts w:ascii="Bookman Old Style" w:hAnsi="Bookman Old Style" w:cs="Times New Roman"/>
      <w:sz w:val="22"/>
      <w:lang w:val="en-AU"/>
    </w:rPr>
  </w:style>
  <w:style w:type="paragraph" w:customStyle="1" w:styleId="TableNotes">
    <w:name w:val="TableNotes"/>
    <w:basedOn w:val="TableText"/>
    <w:link w:val="TableNotesChar"/>
    <w:uiPriority w:val="99"/>
    <w:rsid w:val="008D7982"/>
    <w:pPr>
      <w:keepNext w:val="0"/>
      <w:keepLines/>
      <w:ind w:left="1440" w:hanging="720"/>
    </w:pPr>
    <w:rPr>
      <w:rFonts w:ascii="Arial Narrow" w:hAnsi="Arial Narrow"/>
      <w:sz w:val="16"/>
    </w:rPr>
  </w:style>
  <w:style w:type="character" w:customStyle="1" w:styleId="TableNotesChar">
    <w:name w:val="TableNotes Char"/>
    <w:basedOn w:val="DefaultParagraphFont"/>
    <w:link w:val="TableNotes"/>
    <w:uiPriority w:val="99"/>
    <w:locked/>
    <w:rsid w:val="008D7982"/>
    <w:rPr>
      <w:rFonts w:ascii="Arial Narrow" w:hAnsi="Arial Narrow" w:cs="Times New Roman"/>
      <w:sz w:val="16"/>
      <w:lang w:val="en-AU"/>
    </w:rPr>
  </w:style>
  <w:style w:type="paragraph" w:customStyle="1" w:styleId="TableText0">
    <w:name w:val="Table Text"/>
    <w:basedOn w:val="BodyText"/>
    <w:uiPriority w:val="99"/>
    <w:rsid w:val="008D7982"/>
    <w:pPr>
      <w:spacing w:after="0"/>
    </w:pPr>
    <w:rPr>
      <w:rFonts w:ascii="Arial Narrow" w:hAnsi="Arial Narrow" w:cs="Arial"/>
      <w:sz w:val="24"/>
      <w:szCs w:val="24"/>
    </w:rPr>
  </w:style>
  <w:style w:type="paragraph" w:customStyle="1" w:styleId="TableHeading">
    <w:name w:val="TableHeading"/>
    <w:basedOn w:val="TableText"/>
    <w:uiPriority w:val="99"/>
    <w:rsid w:val="008D7982"/>
    <w:pPr>
      <w:spacing w:before="40" w:after="40"/>
    </w:pPr>
    <w:rPr>
      <w:rFonts w:ascii="Arial Narrow" w:hAnsi="Arial Narrow"/>
      <w:b/>
    </w:rPr>
  </w:style>
  <w:style w:type="paragraph" w:customStyle="1" w:styleId="TableName">
    <w:name w:val="TableName"/>
    <w:basedOn w:val="TableText"/>
    <w:link w:val="TableNameChar"/>
    <w:uiPriority w:val="99"/>
    <w:rsid w:val="008D7982"/>
    <w:pPr>
      <w:spacing w:before="120" w:after="120"/>
      <w:ind w:left="1800" w:hanging="1080"/>
    </w:pPr>
    <w:rPr>
      <w:rFonts w:ascii="Arial Narrow" w:hAnsi="Arial Narrow"/>
      <w:b/>
      <w:sz w:val="20"/>
    </w:rPr>
  </w:style>
  <w:style w:type="character" w:customStyle="1" w:styleId="TableNameChar">
    <w:name w:val="TableName Char"/>
    <w:basedOn w:val="DefaultParagraphFont"/>
    <w:link w:val="TableName"/>
    <w:uiPriority w:val="99"/>
    <w:locked/>
    <w:rsid w:val="008D7982"/>
    <w:rPr>
      <w:rFonts w:ascii="Arial Narrow" w:hAnsi="Arial Narrow" w:cs="Times New Roman"/>
      <w:b/>
      <w:lang w:val="en-AU"/>
    </w:rPr>
  </w:style>
  <w:style w:type="paragraph" w:customStyle="1" w:styleId="TableHeading0">
    <w:name w:val="Table Heading"/>
    <w:basedOn w:val="TableText0"/>
    <w:next w:val="TableText0"/>
    <w:uiPriority w:val="99"/>
    <w:rsid w:val="008D7982"/>
    <w:pPr>
      <w:keepNext/>
      <w:spacing w:before="40" w:after="40"/>
    </w:pPr>
    <w:rPr>
      <w:rFonts w:ascii="Arial" w:hAnsi="Arial" w:cs="Times New Roman"/>
      <w:b/>
      <w:sz w:val="18"/>
      <w:szCs w:val="20"/>
      <w:lang w:val="en-GB"/>
    </w:rPr>
  </w:style>
  <w:style w:type="paragraph" w:styleId="Date">
    <w:name w:val="Date"/>
    <w:basedOn w:val="Normal"/>
    <w:next w:val="Normal"/>
    <w:link w:val="DateChar"/>
    <w:uiPriority w:val="99"/>
    <w:rsid w:val="008D7982"/>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8D7982"/>
    <w:rPr>
      <w:rFonts w:ascii="Garamond" w:hAnsi="Garamond" w:cs="Times New Roman"/>
      <w:sz w:val="24"/>
      <w:szCs w:val="24"/>
    </w:rPr>
  </w:style>
  <w:style w:type="character" w:customStyle="1" w:styleId="mainsubheader1">
    <w:name w:val="mainsubheader1"/>
    <w:basedOn w:val="DefaultParagraphFont"/>
    <w:uiPriority w:val="99"/>
    <w:rsid w:val="008D7982"/>
    <w:rPr>
      <w:rFonts w:cs="Times New Roman"/>
      <w:b/>
      <w:bCs/>
    </w:rPr>
  </w:style>
  <w:style w:type="paragraph" w:customStyle="1" w:styleId="Bullet12">
    <w:name w:val="Bullet+12"/>
    <w:basedOn w:val="Normal"/>
    <w:uiPriority w:val="99"/>
    <w:rsid w:val="008D7982"/>
    <w:pPr>
      <w:tabs>
        <w:tab w:val="num" w:pos="357"/>
      </w:tabs>
      <w:spacing w:line="240" w:lineRule="auto"/>
      <w:ind w:left="357" w:hanging="357"/>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8D7982"/>
    <w:pPr>
      <w:tabs>
        <w:tab w:val="num" w:pos="578"/>
      </w:tabs>
      <w:spacing w:after="0" w:line="240" w:lineRule="auto"/>
      <w:ind w:left="578" w:hanging="360"/>
      <w:jc w:val="left"/>
    </w:pPr>
    <w:rPr>
      <w:rFonts w:ascii="Times New Roman" w:eastAsia="Times New Roman" w:hAnsi="Times New Roman" w:cs="Times New Roman"/>
      <w:sz w:val="24"/>
      <w:szCs w:val="24"/>
      <w:lang w:eastAsia="en-AU"/>
    </w:rPr>
  </w:style>
  <w:style w:type="paragraph" w:customStyle="1" w:styleId="Default">
    <w:name w:val="Default"/>
    <w:uiPriority w:val="99"/>
    <w:rsid w:val="008D7982"/>
    <w:pPr>
      <w:autoSpaceDE w:val="0"/>
      <w:autoSpaceDN w:val="0"/>
      <w:adjustRightInd w:val="0"/>
    </w:pPr>
    <w:rPr>
      <w:rFonts w:ascii="Arial" w:eastAsia="Times New Roman" w:hAnsi="Arial" w:cs="Arial"/>
      <w:color w:val="000000"/>
      <w:sz w:val="24"/>
      <w:szCs w:val="24"/>
    </w:rPr>
  </w:style>
  <w:style w:type="character" w:customStyle="1" w:styleId="EndnoteTextChar">
    <w:name w:val="Endnote Text Char"/>
    <w:basedOn w:val="DefaultParagraphFont"/>
    <w:link w:val="EndnoteText"/>
    <w:uiPriority w:val="99"/>
    <w:semiHidden/>
    <w:locked/>
    <w:rsid w:val="008D7982"/>
    <w:rPr>
      <w:rFonts w:ascii="Tahoma" w:eastAsia="SimSun" w:hAnsi="Tahoma" w:cs="Tahoma"/>
      <w:lang w:val="en-AU" w:eastAsia="zh-CN"/>
    </w:rPr>
  </w:style>
  <w:style w:type="paragraph" w:styleId="EndnoteText">
    <w:name w:val="endnote text"/>
    <w:basedOn w:val="Normal"/>
    <w:link w:val="EndnoteTextChar"/>
    <w:uiPriority w:val="99"/>
    <w:semiHidden/>
    <w:rsid w:val="008D7982"/>
    <w:pPr>
      <w:spacing w:after="0" w:line="240" w:lineRule="auto"/>
    </w:pPr>
  </w:style>
  <w:style w:type="character" w:customStyle="1" w:styleId="EndnoteTextChar1">
    <w:name w:val="Endnote Text Char1"/>
    <w:basedOn w:val="DefaultParagraphFont"/>
    <w:uiPriority w:val="99"/>
    <w:semiHidden/>
    <w:rsid w:val="0077296D"/>
    <w:rPr>
      <w:rFonts w:ascii="Tahoma" w:eastAsia="SimSun" w:hAnsi="Tahoma" w:cs="Tahoma"/>
      <w:sz w:val="20"/>
      <w:szCs w:val="20"/>
      <w:lang w:eastAsia="zh-CN"/>
    </w:rPr>
  </w:style>
  <w:style w:type="character" w:customStyle="1" w:styleId="highlight">
    <w:name w:val="highlight"/>
    <w:basedOn w:val="DefaultParagraphFont"/>
    <w:uiPriority w:val="99"/>
    <w:rsid w:val="008D798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40E17"/>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b/>
      <w:color w:val="215868"/>
      <w:sz w:val="32"/>
      <w:lang w:eastAsia="zh-CN"/>
    </w:rPr>
  </w:style>
  <w:style w:type="character" w:customStyle="1" w:styleId="Heading2Char">
    <w:name w:val="Heading 2 Char"/>
    <w:basedOn w:val="DefaultParagraphFont"/>
    <w:link w:val="Heading2"/>
    <w:uiPriority w:val="99"/>
    <w:locked/>
    <w:rsid w:val="00D5182D"/>
    <w:rPr>
      <w:rFonts w:ascii="Tahoma" w:eastAsia="SimSun" w:hAnsi="Tahoma"/>
      <w:b/>
      <w:color w:val="215868"/>
      <w:sz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olor w:val="41A7BF"/>
      <w:sz w:val="20"/>
      <w:lang w:eastAsia="zh-CN"/>
    </w:rPr>
  </w:style>
  <w:style w:type="character" w:customStyle="1" w:styleId="Heading4Char">
    <w:name w:val="Heading 4 Char"/>
    <w:basedOn w:val="DefaultParagraphFont"/>
    <w:link w:val="Heading4"/>
    <w:uiPriority w:val="99"/>
    <w:locked/>
    <w:rsid w:val="00ED7A91"/>
    <w:rPr>
      <w:rFonts w:ascii="Tahoma" w:eastAsia="SimSun" w:hAnsi="Tahoma"/>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b/>
      <w:i/>
      <w:lang w:val="en-AU" w:eastAsia="zh-CN"/>
    </w:rPr>
  </w:style>
  <w:style w:type="character" w:customStyle="1" w:styleId="Heading6Char">
    <w:name w:val="Heading 6 Char"/>
    <w:basedOn w:val="DefaultParagraphFont"/>
    <w:link w:val="Heading6"/>
    <w:uiPriority w:val="99"/>
    <w:locked/>
    <w:rsid w:val="00ED7A91"/>
    <w:rPr>
      <w:rFonts w:ascii="Tahoma" w:eastAsia="SimSun" w:hAnsi="Tahoma"/>
      <w:b/>
      <w:sz w:val="28"/>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i/>
      <w:sz w:val="20"/>
      <w:lang w:eastAsia="zh-CN"/>
    </w:rPr>
  </w:style>
  <w:style w:type="character" w:customStyle="1" w:styleId="Heading8Char">
    <w:name w:val="Heading 8 Char"/>
    <w:basedOn w:val="DefaultParagraphFont"/>
    <w:link w:val="Heading8"/>
    <w:uiPriority w:val="99"/>
    <w:locked/>
    <w:rsid w:val="00ED7A91"/>
    <w:rPr>
      <w:rFonts w:ascii="Tahoma" w:eastAsia="SimSun" w:hAnsi="Tahoma"/>
      <w:sz w:val="48"/>
      <w:lang w:val="en-AU" w:eastAsia="zh-CN"/>
    </w:rPr>
  </w:style>
  <w:style w:type="character" w:customStyle="1" w:styleId="Heading9Char">
    <w:name w:val="Heading 9 Char"/>
    <w:basedOn w:val="DefaultParagraphFont"/>
    <w:link w:val="Heading9"/>
    <w:uiPriority w:val="99"/>
    <w:locked/>
    <w:rsid w:val="00ED7A91"/>
    <w:rPr>
      <w:rFonts w:ascii="Tahoma" w:eastAsia="SimSun" w:hAnsi="Tahoma"/>
      <w:i/>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sz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rPr>
  </w:style>
  <w:style w:type="paragraph" w:styleId="CommentText">
    <w:name w:val="annotation text"/>
    <w:basedOn w:val="Normal"/>
    <w:link w:val="CommentTextChar"/>
    <w:uiPriority w:val="99"/>
    <w:semiHidden/>
    <w:rsid w:val="00ED7A91"/>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sz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b/>
      <w:sz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locked/>
    <w:rsid w:val="00ED7A91"/>
    <w:rPr>
      <w:rFonts w:ascii="Times New Roman" w:eastAsia="SimSun" w:hAnsi="Times New Roman"/>
      <w:sz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eastAsia="en-AU"/>
    </w:rPr>
  </w:style>
  <w:style w:type="character" w:customStyle="1" w:styleId="FootnoteTextChar">
    <w:name w:val="Footnote Text Char"/>
    <w:basedOn w:val="DefaultParagraphFont"/>
    <w:link w:val="FootnoteText"/>
    <w:uiPriority w:val="99"/>
    <w:semiHidden/>
    <w:locked/>
    <w:rsid w:val="00ED7A91"/>
    <w:rPr>
      <w:sz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basedOn w:val="DefaultParagraphFont"/>
    <w:link w:val="Header"/>
    <w:uiPriority w:val="99"/>
    <w:locked/>
    <w:rsid w:val="00ED7A91"/>
    <w:rPr>
      <w:rFonts w:ascii="Times New Roman" w:eastAsia="SimSun" w:hAnsi="Times New Roman"/>
      <w:sz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sz w:val="18"/>
      <w:lang w:val="en-AU" w:eastAsia="en-US"/>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b/>
      <w:kern w:val="28"/>
      <w:sz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link w:val="NoSpacing"/>
    <w:uiPriority w:val="99"/>
    <w:locked/>
    <w:rsid w:val="00A32E13"/>
    <w:rPr>
      <w:rFonts w:eastAsia="Times New Roman"/>
      <w:sz w:val="22"/>
      <w:lang w:val="en-US" w:eastAsia="en-US"/>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table" w:customStyle="1" w:styleId="TableGrid3">
    <w:name w:val="Table Grid3"/>
    <w:uiPriority w:val="99"/>
    <w:rsid w:val="00A676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issue">
    <w:name w:val="citation-issue"/>
    <w:basedOn w:val="DefaultParagraphFont"/>
    <w:uiPriority w:val="99"/>
    <w:rsid w:val="00776AAC"/>
    <w:rPr>
      <w:rFonts w:cs="Times New Roman"/>
    </w:rPr>
  </w:style>
  <w:style w:type="character" w:customStyle="1" w:styleId="authors">
    <w:name w:val="authors"/>
    <w:basedOn w:val="DefaultParagraphFont"/>
    <w:uiPriority w:val="99"/>
    <w:rsid w:val="00A66E07"/>
    <w:rPr>
      <w:rFonts w:cs="Times New Roman"/>
    </w:rPr>
  </w:style>
  <w:style w:type="paragraph" w:styleId="NormalWeb">
    <w:name w:val="Normal (Web)"/>
    <w:basedOn w:val="Normal"/>
    <w:uiPriority w:val="99"/>
    <w:rsid w:val="000C770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Revision">
    <w:name w:val="Revision"/>
    <w:hidden/>
    <w:uiPriority w:val="99"/>
    <w:semiHidden/>
    <w:rsid w:val="00E31D0E"/>
    <w:rPr>
      <w:rFonts w:ascii="Tahoma" w:eastAsia="SimSun" w:hAnsi="Tahoma" w:cs="Tahoma"/>
      <w:sz w:val="20"/>
      <w:szCs w:val="20"/>
      <w:lang w:eastAsia="zh-CN"/>
    </w:rPr>
  </w:style>
  <w:style w:type="table" w:customStyle="1" w:styleId="1">
    <w:name w:val="1"/>
    <w:uiPriority w:val="99"/>
    <w:rsid w:val="00331FD5"/>
    <w:rPr>
      <w:rFonts w:ascii="Times New Roman" w:eastAsia="Times New Roman" w:hAnsi="Times New Roman"/>
      <w:sz w:val="20"/>
      <w:szCs w:val="20"/>
      <w:lang w:val="en-US" w:eastAsia="en-U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table" w:customStyle="1" w:styleId="TableGrid2">
    <w:name w:val="Table Grid2"/>
    <w:uiPriority w:val="99"/>
    <w:rsid w:val="00436ED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B524A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1">
    <w:name w:val="addmd1"/>
    <w:basedOn w:val="DefaultParagraphFont"/>
    <w:uiPriority w:val="99"/>
    <w:rsid w:val="008D7982"/>
    <w:rPr>
      <w:rFonts w:cs="Times New Roman"/>
      <w:sz w:val="20"/>
      <w:szCs w:val="20"/>
    </w:rPr>
  </w:style>
  <w:style w:type="paragraph" w:styleId="BodyText2">
    <w:name w:val="Body Text 2"/>
    <w:basedOn w:val="Normal"/>
    <w:link w:val="BodyText2Char"/>
    <w:uiPriority w:val="99"/>
    <w:rsid w:val="008D7982"/>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8D7982"/>
    <w:rPr>
      <w:rFonts w:ascii="Bookman Old Style" w:hAnsi="Bookman Old Style" w:cs="Times New Roman"/>
      <w:noProof/>
      <w:sz w:val="42"/>
    </w:rPr>
  </w:style>
  <w:style w:type="paragraph" w:customStyle="1" w:styleId="Protocolheading1">
    <w:name w:val="Protocol heading 1"/>
    <w:basedOn w:val="Normal"/>
    <w:uiPriority w:val="99"/>
    <w:rsid w:val="008D7982"/>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8D7982"/>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8D7982"/>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8D7982"/>
    <w:rPr>
      <w:rFonts w:ascii="Arial" w:hAnsi="Arial" w:cs="Times New Roman"/>
      <w:sz w:val="24"/>
      <w:szCs w:val="24"/>
      <w:lang w:val="en-AU"/>
    </w:rPr>
  </w:style>
  <w:style w:type="paragraph" w:styleId="BodyText">
    <w:name w:val="Body Text"/>
    <w:basedOn w:val="Normal"/>
    <w:link w:val="BodyTextChar"/>
    <w:uiPriority w:val="99"/>
    <w:rsid w:val="008D7982"/>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8D7982"/>
    <w:rPr>
      <w:rFonts w:ascii="Bookman Old Style" w:hAnsi="Bookman Old Style" w:cs="Times New Roman"/>
      <w:sz w:val="22"/>
      <w:lang w:val="en-AU"/>
    </w:rPr>
  </w:style>
  <w:style w:type="paragraph" w:styleId="BodyTextIndent">
    <w:name w:val="Body Text Indent"/>
    <w:basedOn w:val="Normal"/>
    <w:link w:val="BodyTextIndentChar"/>
    <w:uiPriority w:val="99"/>
    <w:rsid w:val="008D7982"/>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8D7982"/>
    <w:rPr>
      <w:rFonts w:ascii="Bookman Old Style" w:hAnsi="Bookman Old Style" w:cs="Times New Roman"/>
      <w:sz w:val="22"/>
      <w:lang w:val="en-AU"/>
    </w:rPr>
  </w:style>
  <w:style w:type="paragraph" w:styleId="BodyTextIndent2">
    <w:name w:val="Body Text Indent 2"/>
    <w:basedOn w:val="Normal"/>
    <w:link w:val="BodyTextIndent2Char"/>
    <w:uiPriority w:val="99"/>
    <w:rsid w:val="008D7982"/>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8D7982"/>
    <w:rPr>
      <w:rFonts w:ascii="Bookman Old Style" w:hAnsi="Bookman Old Style" w:cs="Times New Roman"/>
      <w:sz w:val="22"/>
      <w:lang w:val="en-AU"/>
    </w:rPr>
  </w:style>
  <w:style w:type="paragraph" w:customStyle="1" w:styleId="TableNotes">
    <w:name w:val="TableNotes"/>
    <w:basedOn w:val="TableText"/>
    <w:link w:val="TableNotesChar"/>
    <w:uiPriority w:val="99"/>
    <w:rsid w:val="008D7982"/>
    <w:pPr>
      <w:keepNext w:val="0"/>
      <w:keepLines/>
      <w:ind w:left="1440" w:hanging="720"/>
    </w:pPr>
    <w:rPr>
      <w:rFonts w:ascii="Arial Narrow" w:hAnsi="Arial Narrow"/>
      <w:sz w:val="16"/>
    </w:rPr>
  </w:style>
  <w:style w:type="character" w:customStyle="1" w:styleId="TableNotesChar">
    <w:name w:val="TableNotes Char"/>
    <w:basedOn w:val="DefaultParagraphFont"/>
    <w:link w:val="TableNotes"/>
    <w:uiPriority w:val="99"/>
    <w:locked/>
    <w:rsid w:val="008D7982"/>
    <w:rPr>
      <w:rFonts w:ascii="Arial Narrow" w:hAnsi="Arial Narrow" w:cs="Times New Roman"/>
      <w:sz w:val="16"/>
      <w:lang w:val="en-AU"/>
    </w:rPr>
  </w:style>
  <w:style w:type="paragraph" w:customStyle="1" w:styleId="TableText0">
    <w:name w:val="Table Text"/>
    <w:basedOn w:val="BodyText"/>
    <w:uiPriority w:val="99"/>
    <w:rsid w:val="008D7982"/>
    <w:pPr>
      <w:spacing w:after="0"/>
    </w:pPr>
    <w:rPr>
      <w:rFonts w:ascii="Arial Narrow" w:hAnsi="Arial Narrow" w:cs="Arial"/>
      <w:sz w:val="24"/>
      <w:szCs w:val="24"/>
    </w:rPr>
  </w:style>
  <w:style w:type="paragraph" w:customStyle="1" w:styleId="TableHeading">
    <w:name w:val="TableHeading"/>
    <w:basedOn w:val="TableText"/>
    <w:uiPriority w:val="99"/>
    <w:rsid w:val="008D7982"/>
    <w:pPr>
      <w:spacing w:before="40" w:after="40"/>
    </w:pPr>
    <w:rPr>
      <w:rFonts w:ascii="Arial Narrow" w:hAnsi="Arial Narrow"/>
      <w:b/>
    </w:rPr>
  </w:style>
  <w:style w:type="paragraph" w:customStyle="1" w:styleId="TableName">
    <w:name w:val="TableName"/>
    <w:basedOn w:val="TableText"/>
    <w:link w:val="TableNameChar"/>
    <w:uiPriority w:val="99"/>
    <w:rsid w:val="008D7982"/>
    <w:pPr>
      <w:spacing w:before="120" w:after="120"/>
      <w:ind w:left="1800" w:hanging="1080"/>
    </w:pPr>
    <w:rPr>
      <w:rFonts w:ascii="Arial Narrow" w:hAnsi="Arial Narrow"/>
      <w:b/>
      <w:sz w:val="20"/>
    </w:rPr>
  </w:style>
  <w:style w:type="character" w:customStyle="1" w:styleId="TableNameChar">
    <w:name w:val="TableName Char"/>
    <w:basedOn w:val="DefaultParagraphFont"/>
    <w:link w:val="TableName"/>
    <w:uiPriority w:val="99"/>
    <w:locked/>
    <w:rsid w:val="008D7982"/>
    <w:rPr>
      <w:rFonts w:ascii="Arial Narrow" w:hAnsi="Arial Narrow" w:cs="Times New Roman"/>
      <w:b/>
      <w:lang w:val="en-AU"/>
    </w:rPr>
  </w:style>
  <w:style w:type="paragraph" w:customStyle="1" w:styleId="TableHeading0">
    <w:name w:val="Table Heading"/>
    <w:basedOn w:val="TableText0"/>
    <w:next w:val="TableText0"/>
    <w:uiPriority w:val="99"/>
    <w:rsid w:val="008D7982"/>
    <w:pPr>
      <w:keepNext/>
      <w:spacing w:before="40" w:after="40"/>
    </w:pPr>
    <w:rPr>
      <w:rFonts w:ascii="Arial" w:hAnsi="Arial" w:cs="Times New Roman"/>
      <w:b/>
      <w:sz w:val="18"/>
      <w:szCs w:val="20"/>
      <w:lang w:val="en-GB"/>
    </w:rPr>
  </w:style>
  <w:style w:type="paragraph" w:styleId="Date">
    <w:name w:val="Date"/>
    <w:basedOn w:val="Normal"/>
    <w:next w:val="Normal"/>
    <w:link w:val="DateChar"/>
    <w:uiPriority w:val="99"/>
    <w:rsid w:val="008D7982"/>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8D7982"/>
    <w:rPr>
      <w:rFonts w:ascii="Garamond" w:hAnsi="Garamond" w:cs="Times New Roman"/>
      <w:sz w:val="24"/>
      <w:szCs w:val="24"/>
    </w:rPr>
  </w:style>
  <w:style w:type="character" w:customStyle="1" w:styleId="mainsubheader1">
    <w:name w:val="mainsubheader1"/>
    <w:basedOn w:val="DefaultParagraphFont"/>
    <w:uiPriority w:val="99"/>
    <w:rsid w:val="008D7982"/>
    <w:rPr>
      <w:rFonts w:cs="Times New Roman"/>
      <w:b/>
      <w:bCs/>
    </w:rPr>
  </w:style>
  <w:style w:type="paragraph" w:customStyle="1" w:styleId="Bullet12">
    <w:name w:val="Bullet+12"/>
    <w:basedOn w:val="Normal"/>
    <w:uiPriority w:val="99"/>
    <w:rsid w:val="008D7982"/>
    <w:pPr>
      <w:tabs>
        <w:tab w:val="num" w:pos="357"/>
      </w:tabs>
      <w:spacing w:line="240" w:lineRule="auto"/>
      <w:ind w:left="357" w:hanging="357"/>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8D7982"/>
    <w:pPr>
      <w:tabs>
        <w:tab w:val="num" w:pos="578"/>
      </w:tabs>
      <w:spacing w:after="0" w:line="240" w:lineRule="auto"/>
      <w:ind w:left="578" w:hanging="360"/>
      <w:jc w:val="left"/>
    </w:pPr>
    <w:rPr>
      <w:rFonts w:ascii="Times New Roman" w:eastAsia="Times New Roman" w:hAnsi="Times New Roman" w:cs="Times New Roman"/>
      <w:sz w:val="24"/>
      <w:szCs w:val="24"/>
      <w:lang w:eastAsia="en-AU"/>
    </w:rPr>
  </w:style>
  <w:style w:type="paragraph" w:customStyle="1" w:styleId="Default">
    <w:name w:val="Default"/>
    <w:uiPriority w:val="99"/>
    <w:rsid w:val="008D7982"/>
    <w:pPr>
      <w:autoSpaceDE w:val="0"/>
      <w:autoSpaceDN w:val="0"/>
      <w:adjustRightInd w:val="0"/>
    </w:pPr>
    <w:rPr>
      <w:rFonts w:ascii="Arial" w:eastAsia="Times New Roman" w:hAnsi="Arial" w:cs="Arial"/>
      <w:color w:val="000000"/>
      <w:sz w:val="24"/>
      <w:szCs w:val="24"/>
    </w:rPr>
  </w:style>
  <w:style w:type="character" w:customStyle="1" w:styleId="EndnoteTextChar">
    <w:name w:val="Endnote Text Char"/>
    <w:basedOn w:val="DefaultParagraphFont"/>
    <w:link w:val="EndnoteText"/>
    <w:uiPriority w:val="99"/>
    <w:semiHidden/>
    <w:locked/>
    <w:rsid w:val="008D7982"/>
    <w:rPr>
      <w:rFonts w:ascii="Tahoma" w:eastAsia="SimSun" w:hAnsi="Tahoma" w:cs="Tahoma"/>
      <w:lang w:val="en-AU" w:eastAsia="zh-CN"/>
    </w:rPr>
  </w:style>
  <w:style w:type="paragraph" w:styleId="EndnoteText">
    <w:name w:val="endnote text"/>
    <w:basedOn w:val="Normal"/>
    <w:link w:val="EndnoteTextChar"/>
    <w:uiPriority w:val="99"/>
    <w:semiHidden/>
    <w:rsid w:val="008D7982"/>
    <w:pPr>
      <w:spacing w:after="0" w:line="240" w:lineRule="auto"/>
    </w:pPr>
  </w:style>
  <w:style w:type="character" w:customStyle="1" w:styleId="EndnoteTextChar1">
    <w:name w:val="Endnote Text Char1"/>
    <w:basedOn w:val="DefaultParagraphFont"/>
    <w:uiPriority w:val="99"/>
    <w:semiHidden/>
    <w:rsid w:val="0077296D"/>
    <w:rPr>
      <w:rFonts w:ascii="Tahoma" w:eastAsia="SimSun" w:hAnsi="Tahoma" w:cs="Tahoma"/>
      <w:sz w:val="20"/>
      <w:szCs w:val="20"/>
      <w:lang w:eastAsia="zh-CN"/>
    </w:rPr>
  </w:style>
  <w:style w:type="character" w:customStyle="1" w:styleId="highlight">
    <w:name w:val="highlight"/>
    <w:basedOn w:val="DefaultParagraphFont"/>
    <w:uiPriority w:val="99"/>
    <w:rsid w:val="008D79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32">
      <w:marLeft w:val="0"/>
      <w:marRight w:val="0"/>
      <w:marTop w:val="0"/>
      <w:marBottom w:val="0"/>
      <w:divBdr>
        <w:top w:val="none" w:sz="0" w:space="0" w:color="auto"/>
        <w:left w:val="none" w:sz="0" w:space="0" w:color="auto"/>
        <w:bottom w:val="none" w:sz="0" w:space="0" w:color="auto"/>
        <w:right w:val="none" w:sz="0" w:space="0" w:color="auto"/>
      </w:divBdr>
      <w:divsChild>
        <w:div w:id="12080252">
          <w:marLeft w:val="240"/>
          <w:marRight w:val="240"/>
          <w:marTop w:val="360"/>
          <w:marBottom w:val="0"/>
          <w:divBdr>
            <w:top w:val="none" w:sz="0" w:space="0" w:color="auto"/>
            <w:left w:val="none" w:sz="0" w:space="0" w:color="auto"/>
            <w:bottom w:val="none" w:sz="0" w:space="0" w:color="auto"/>
            <w:right w:val="none" w:sz="0" w:space="0" w:color="auto"/>
          </w:divBdr>
          <w:divsChild>
            <w:div w:id="12080239">
              <w:marLeft w:val="480"/>
              <w:marRight w:val="480"/>
              <w:marTop w:val="240"/>
              <w:marBottom w:val="0"/>
              <w:divBdr>
                <w:top w:val="none" w:sz="0" w:space="0" w:color="auto"/>
                <w:left w:val="none" w:sz="0" w:space="0" w:color="auto"/>
                <w:bottom w:val="none" w:sz="0" w:space="0" w:color="auto"/>
                <w:right w:val="none" w:sz="0" w:space="0" w:color="auto"/>
              </w:divBdr>
              <w:divsChild>
                <w:div w:id="12080241">
                  <w:marLeft w:val="720"/>
                  <w:marRight w:val="720"/>
                  <w:marTop w:val="0"/>
                  <w:marBottom w:val="0"/>
                  <w:divBdr>
                    <w:top w:val="none" w:sz="0" w:space="0" w:color="auto"/>
                    <w:left w:val="none" w:sz="0" w:space="0" w:color="auto"/>
                    <w:bottom w:val="none" w:sz="0" w:space="0" w:color="auto"/>
                    <w:right w:val="none" w:sz="0" w:space="0" w:color="auto"/>
                  </w:divBdr>
                  <w:divsChild>
                    <w:div w:id="12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234">
      <w:marLeft w:val="0"/>
      <w:marRight w:val="0"/>
      <w:marTop w:val="0"/>
      <w:marBottom w:val="0"/>
      <w:divBdr>
        <w:top w:val="none" w:sz="0" w:space="0" w:color="auto"/>
        <w:left w:val="none" w:sz="0" w:space="0" w:color="auto"/>
        <w:bottom w:val="none" w:sz="0" w:space="0" w:color="auto"/>
        <w:right w:val="none" w:sz="0" w:space="0" w:color="auto"/>
      </w:divBdr>
      <w:divsChild>
        <w:div w:id="12080247">
          <w:marLeft w:val="0"/>
          <w:marRight w:val="0"/>
          <w:marTop w:val="0"/>
          <w:marBottom w:val="0"/>
          <w:divBdr>
            <w:top w:val="none" w:sz="0" w:space="0" w:color="auto"/>
            <w:left w:val="none" w:sz="0" w:space="0" w:color="auto"/>
            <w:bottom w:val="none" w:sz="0" w:space="0" w:color="auto"/>
            <w:right w:val="none" w:sz="0" w:space="0" w:color="auto"/>
          </w:divBdr>
          <w:divsChild>
            <w:div w:id="120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38">
      <w:marLeft w:val="0"/>
      <w:marRight w:val="0"/>
      <w:marTop w:val="0"/>
      <w:marBottom w:val="0"/>
      <w:divBdr>
        <w:top w:val="none" w:sz="0" w:space="0" w:color="auto"/>
        <w:left w:val="none" w:sz="0" w:space="0" w:color="auto"/>
        <w:bottom w:val="none" w:sz="0" w:space="0" w:color="auto"/>
        <w:right w:val="none" w:sz="0" w:space="0" w:color="auto"/>
      </w:divBdr>
      <w:divsChild>
        <w:div w:id="12080236">
          <w:marLeft w:val="240"/>
          <w:marRight w:val="240"/>
          <w:marTop w:val="360"/>
          <w:marBottom w:val="0"/>
          <w:divBdr>
            <w:top w:val="none" w:sz="0" w:space="0" w:color="auto"/>
            <w:left w:val="none" w:sz="0" w:space="0" w:color="auto"/>
            <w:bottom w:val="none" w:sz="0" w:space="0" w:color="auto"/>
            <w:right w:val="none" w:sz="0" w:space="0" w:color="auto"/>
          </w:divBdr>
          <w:divsChild>
            <w:div w:id="12080233">
              <w:marLeft w:val="480"/>
              <w:marRight w:val="480"/>
              <w:marTop w:val="240"/>
              <w:marBottom w:val="0"/>
              <w:divBdr>
                <w:top w:val="none" w:sz="0" w:space="0" w:color="auto"/>
                <w:left w:val="none" w:sz="0" w:space="0" w:color="auto"/>
                <w:bottom w:val="none" w:sz="0" w:space="0" w:color="auto"/>
                <w:right w:val="none" w:sz="0" w:space="0" w:color="auto"/>
              </w:divBdr>
              <w:divsChild>
                <w:div w:id="12080246">
                  <w:marLeft w:val="720"/>
                  <w:marRight w:val="720"/>
                  <w:marTop w:val="0"/>
                  <w:marBottom w:val="0"/>
                  <w:divBdr>
                    <w:top w:val="none" w:sz="0" w:space="0" w:color="auto"/>
                    <w:left w:val="none" w:sz="0" w:space="0" w:color="auto"/>
                    <w:bottom w:val="none" w:sz="0" w:space="0" w:color="auto"/>
                    <w:right w:val="none" w:sz="0" w:space="0" w:color="auto"/>
                  </w:divBdr>
                  <w:divsChild>
                    <w:div w:id="12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243">
      <w:marLeft w:val="0"/>
      <w:marRight w:val="0"/>
      <w:marTop w:val="0"/>
      <w:marBottom w:val="0"/>
      <w:divBdr>
        <w:top w:val="none" w:sz="0" w:space="0" w:color="auto"/>
        <w:left w:val="none" w:sz="0" w:space="0" w:color="auto"/>
        <w:bottom w:val="none" w:sz="0" w:space="0" w:color="auto"/>
        <w:right w:val="none" w:sz="0" w:space="0" w:color="auto"/>
      </w:divBdr>
      <w:divsChild>
        <w:div w:id="12080231">
          <w:marLeft w:val="0"/>
          <w:marRight w:val="0"/>
          <w:marTop w:val="0"/>
          <w:marBottom w:val="0"/>
          <w:divBdr>
            <w:top w:val="none" w:sz="0" w:space="0" w:color="auto"/>
            <w:left w:val="none" w:sz="0" w:space="0" w:color="auto"/>
            <w:bottom w:val="none" w:sz="0" w:space="0" w:color="auto"/>
            <w:right w:val="none" w:sz="0" w:space="0" w:color="auto"/>
          </w:divBdr>
          <w:divsChild>
            <w:div w:id="120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45">
      <w:marLeft w:val="0"/>
      <w:marRight w:val="0"/>
      <w:marTop w:val="0"/>
      <w:marBottom w:val="0"/>
      <w:divBdr>
        <w:top w:val="none" w:sz="0" w:space="0" w:color="auto"/>
        <w:left w:val="none" w:sz="0" w:space="0" w:color="auto"/>
        <w:bottom w:val="none" w:sz="0" w:space="0" w:color="auto"/>
        <w:right w:val="none" w:sz="0" w:space="0" w:color="auto"/>
      </w:divBdr>
      <w:divsChild>
        <w:div w:id="12080235">
          <w:marLeft w:val="0"/>
          <w:marRight w:val="0"/>
          <w:marTop w:val="0"/>
          <w:marBottom w:val="150"/>
          <w:divBdr>
            <w:top w:val="single" w:sz="6" w:space="15" w:color="FFFFFF"/>
            <w:left w:val="none" w:sz="0" w:space="0" w:color="auto"/>
            <w:bottom w:val="none" w:sz="0" w:space="0" w:color="auto"/>
            <w:right w:val="none" w:sz="0" w:space="0" w:color="auto"/>
          </w:divBdr>
          <w:divsChild>
            <w:div w:id="120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150"/>
          <w:divBdr>
            <w:top w:val="single" w:sz="6" w:space="15" w:color="FFFFFF"/>
            <w:left w:val="none" w:sz="0" w:space="0" w:color="auto"/>
            <w:bottom w:val="none" w:sz="0" w:space="0" w:color="auto"/>
            <w:right w:val="none" w:sz="0" w:space="0" w:color="auto"/>
          </w:divBdr>
          <w:divsChild>
            <w:div w:id="12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bs.gov.au/browse/body-system?depth=3&amp;codes=m05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bs.gov.au/browse/body-system?depth=3&amp;codes=m05b" TargetMode="External"/><Relationship Id="rId2" Type="http://schemas.openxmlformats.org/officeDocument/2006/relationships/numbering" Target="numbering.xml"/><Relationship Id="rId16" Type="http://schemas.openxmlformats.org/officeDocument/2006/relationships/hyperlink" Target="http://www.osteoporosis.org.au/about/about-osteoporosis/risk-fac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s.tga.gov.au/" TargetMode="External"/><Relationship Id="rId5" Type="http://schemas.openxmlformats.org/officeDocument/2006/relationships/settings" Target="settings.xml"/><Relationship Id="rId15" Type="http://schemas.openxmlformats.org/officeDocument/2006/relationships/hyperlink" Target="http://www.niams.nih.gov/Health_Info/Bone/Bone_Health/bone_mass_measure.asp" TargetMode="External"/><Relationship Id="rId10" Type="http://schemas.openxmlformats.org/officeDocument/2006/relationships/hyperlink" Target="http://www9.health.gov.au/mbs/search.cf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ef.ac.uk/FRAX/tool.jsp?country=3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AARAAS\MSAC\MSAC%20Reviews\MSAC%201162%20Bone%20Density\Stefanie\Robyn\Sent%20to%20MSAC\RPT%202012-04-05%20Draft%20DAP%20of%20MSAC%201162%20Aromatase%20popul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116E-8EC9-45BF-8838-8E9FB8DE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 2012-04-05 Draft DAP of MSAC 1162 Aromatase population.dot</Template>
  <TotalTime>8</TotalTime>
  <Pages>77</Pages>
  <Words>19280</Words>
  <Characters>115359</Characters>
  <Application>Microsoft Office Word</Application>
  <DocSecurity>0</DocSecurity>
  <Lines>961</Lines>
  <Paragraphs>268</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Royal Australasian College Of Surgeons</Company>
  <LinksUpToDate>false</LinksUpToDate>
  <CharactersWithSpaces>134371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Yasoba Atukorale</dc:creator>
  <cp:lastModifiedBy>Orr Audrey</cp:lastModifiedBy>
  <cp:revision>3</cp:revision>
  <cp:lastPrinted>2013-07-11T00:58:00Z</cp:lastPrinted>
  <dcterms:created xsi:type="dcterms:W3CDTF">2013-07-30T07:18:00Z</dcterms:created>
  <dcterms:modified xsi:type="dcterms:W3CDTF">2013-07-30T07:26:00Z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