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D4D" w14:textId="77777777" w:rsidR="002176CC" w:rsidRDefault="002176CC" w:rsidP="002176CC">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24079877" w:rsidR="00772829" w:rsidRPr="00CE28E3" w:rsidRDefault="00772829" w:rsidP="00772829">
      <w:pPr>
        <w:pStyle w:val="Subtitle"/>
      </w:pPr>
      <w:r w:rsidRPr="00CE28E3">
        <w:t xml:space="preserve">Application </w:t>
      </w:r>
      <w:r w:rsidRPr="00C32FFA">
        <w:t xml:space="preserve">No. </w:t>
      </w:r>
      <w:r w:rsidR="00640716" w:rsidRPr="00C32FFA">
        <w:t>1771</w:t>
      </w:r>
      <w:r w:rsidRPr="00C32FFA">
        <w:t xml:space="preserve"> – </w:t>
      </w:r>
      <w:r w:rsidR="00917F65" w:rsidRPr="00C32FFA">
        <w:t xml:space="preserve">Axicabtagene ciloleucel </w:t>
      </w:r>
      <w:r w:rsidR="00850A36" w:rsidRPr="00E52067">
        <w:t>(</w:t>
      </w:r>
      <w:proofErr w:type="spellStart"/>
      <w:r w:rsidR="00850A36" w:rsidRPr="00E52067">
        <w:t>Yescarta</w:t>
      </w:r>
      <w:proofErr w:type="spellEnd"/>
      <w:r w:rsidR="00850A36" w:rsidRPr="00E52067">
        <w:t>®)</w:t>
      </w:r>
      <w:r w:rsidR="00917F65" w:rsidRPr="00C32FFA">
        <w:t xml:space="preserve"> for patients with relapsed or refractory</w:t>
      </w:r>
      <w:r w:rsidR="00917F65" w:rsidRPr="00917F65">
        <w:t xml:space="preserve"> follicular lymphoma</w:t>
      </w:r>
    </w:p>
    <w:p w14:paraId="3E440620" w14:textId="2D313A24" w:rsidR="000371FD" w:rsidRPr="00345624" w:rsidRDefault="000371FD" w:rsidP="002E3FAD">
      <w:pPr>
        <w:tabs>
          <w:tab w:val="left" w:pos="3686"/>
        </w:tabs>
        <w:rPr>
          <w:rFonts w:ascii="Arial" w:hAnsi="Arial" w:cs="Arial"/>
          <w:b/>
          <w:bCs/>
        </w:rPr>
      </w:pPr>
      <w:r w:rsidRPr="00345624">
        <w:rPr>
          <w:rFonts w:ascii="Arial" w:hAnsi="Arial" w:cs="Arial"/>
          <w:b/>
          <w:bCs/>
        </w:rPr>
        <w:t>Applicant:</w:t>
      </w:r>
      <w:r w:rsidR="002E3FAD">
        <w:rPr>
          <w:rFonts w:ascii="Arial" w:hAnsi="Arial" w:cs="Arial"/>
          <w:b/>
          <w:bCs/>
        </w:rPr>
        <w:tab/>
      </w:r>
      <w:r w:rsidRPr="00345624">
        <w:rPr>
          <w:rFonts w:ascii="Arial" w:hAnsi="Arial" w:cs="Arial"/>
          <w:b/>
          <w:bCs/>
        </w:rPr>
        <w:t>Gilead Sciences Pty Ltd</w:t>
      </w:r>
    </w:p>
    <w:p w14:paraId="52ABDCA4" w14:textId="585D3752" w:rsidR="000371FD" w:rsidRDefault="000371FD" w:rsidP="000371FD">
      <w:pPr>
        <w:spacing w:before="320"/>
        <w:rPr>
          <w:rFonts w:ascii="Arial" w:hAnsi="Arial" w:cs="Arial"/>
          <w:b/>
          <w:bCs/>
        </w:rPr>
      </w:pPr>
      <w:r w:rsidRPr="132E0B0E">
        <w:rPr>
          <w:rFonts w:ascii="Arial" w:hAnsi="Arial" w:cs="Arial"/>
          <w:b/>
          <w:bCs/>
        </w:rPr>
        <w:t xml:space="preserve">Date of </w:t>
      </w:r>
      <w:r w:rsidR="002176CC" w:rsidRPr="132E0B0E">
        <w:rPr>
          <w:rFonts w:ascii="Arial" w:hAnsi="Arial" w:cs="Arial"/>
          <w:b/>
          <w:bCs/>
        </w:rPr>
        <w:t>MSAC</w:t>
      </w:r>
      <w:r w:rsidRPr="132E0B0E">
        <w:rPr>
          <w:rFonts w:ascii="Arial" w:hAnsi="Arial" w:cs="Arial"/>
          <w:b/>
          <w:bCs/>
        </w:rPr>
        <w:t xml:space="preserve"> consideration:</w:t>
      </w:r>
      <w:r>
        <w:tab/>
      </w:r>
      <w:r w:rsidR="002176CC" w:rsidRPr="132E0B0E">
        <w:rPr>
          <w:rFonts w:ascii="Arial" w:hAnsi="Arial" w:cs="Arial"/>
          <w:b/>
          <w:bCs/>
        </w:rPr>
        <w:t>1-2 August</w:t>
      </w:r>
      <w:r w:rsidRPr="132E0B0E">
        <w:rPr>
          <w:rFonts w:ascii="Arial" w:hAnsi="Arial" w:cs="Arial"/>
          <w:b/>
          <w:bCs/>
        </w:rPr>
        <w:t xml:space="preserve"> 2024</w:t>
      </w:r>
    </w:p>
    <w:p w14:paraId="310DDFA7" w14:textId="77777777" w:rsidR="002176CC" w:rsidRPr="00415A9B" w:rsidRDefault="002176CC" w:rsidP="132E0B0E">
      <w:pPr>
        <w:rPr>
          <w:color w:val="0000FF"/>
          <w:u w:val="single"/>
        </w:rPr>
      </w:pPr>
      <w:bookmarkStart w:id="0" w:name="_Toc69491415"/>
      <w:r>
        <w:t xml:space="preserve">Context for decision: MSAC makes its advice in accordance with its Terms of Reference, </w:t>
      </w:r>
      <w:hyperlink r:id="rId8">
        <w:r w:rsidRPr="132E0B0E">
          <w:rPr>
            <w:rStyle w:val="Hyperlink"/>
          </w:rPr>
          <w:t>visit the MSAC website</w:t>
        </w:r>
      </w:hyperlink>
    </w:p>
    <w:p w14:paraId="7EAA7262" w14:textId="77335A16" w:rsidR="00772829" w:rsidRPr="00CE28E3" w:rsidRDefault="00C36633" w:rsidP="00C36633">
      <w:pPr>
        <w:pStyle w:val="Heading2"/>
        <w:numPr>
          <w:ilvl w:val="0"/>
          <w:numId w:val="0"/>
        </w:numPr>
      </w:pPr>
      <w:r>
        <w:t>1.</w:t>
      </w:r>
      <w:r>
        <w:tab/>
      </w:r>
      <w:r w:rsidR="00772829">
        <w:t>Purpose of application</w:t>
      </w:r>
      <w:bookmarkEnd w:id="0"/>
    </w:p>
    <w:p w14:paraId="6BF31FF2" w14:textId="33528AE1" w:rsidR="00772829" w:rsidRDefault="00772829" w:rsidP="00772829">
      <w:pPr>
        <w:spacing w:after="240"/>
        <w:rPr>
          <w:iCs/>
        </w:rPr>
      </w:pPr>
      <w:bookmarkStart w:id="1" w:name="_Hlk69734469"/>
      <w:r w:rsidRPr="009A3778">
        <w:rPr>
          <w:iCs/>
        </w:rPr>
        <w:t xml:space="preserve">An application requesting </w:t>
      </w:r>
      <w:r w:rsidR="0011754A">
        <w:rPr>
          <w:iCs/>
        </w:rPr>
        <w:t xml:space="preserve">public funding </w:t>
      </w:r>
      <w:r w:rsidR="00006CCE">
        <w:rPr>
          <w:iCs/>
        </w:rPr>
        <w:t xml:space="preserve">through the </w:t>
      </w:r>
      <w:r w:rsidR="00BF1A44">
        <w:rPr>
          <w:iCs/>
        </w:rPr>
        <w:t xml:space="preserve">National Health </w:t>
      </w:r>
      <w:r w:rsidR="00525806">
        <w:rPr>
          <w:iCs/>
        </w:rPr>
        <w:t>Reform</w:t>
      </w:r>
      <w:r w:rsidR="00BF1A44">
        <w:rPr>
          <w:iCs/>
        </w:rPr>
        <w:t xml:space="preserve"> Agreement </w:t>
      </w:r>
      <w:r w:rsidR="00006CCE">
        <w:rPr>
          <w:iCs/>
        </w:rPr>
        <w:t xml:space="preserve">(NHRA) </w:t>
      </w:r>
      <w:r w:rsidRPr="009A3778">
        <w:rPr>
          <w:iCs/>
        </w:rPr>
        <w:t xml:space="preserve">of </w:t>
      </w:r>
      <w:r w:rsidR="00A25FF2" w:rsidRPr="00A25FF2">
        <w:rPr>
          <w:iCs/>
        </w:rPr>
        <w:t>axicabtagene ciloleucel</w:t>
      </w:r>
      <w:r w:rsidR="00A25FF2">
        <w:rPr>
          <w:iCs/>
        </w:rPr>
        <w:t xml:space="preserve"> (</w:t>
      </w:r>
      <w:proofErr w:type="spellStart"/>
      <w:r w:rsidR="002162E8" w:rsidRPr="00ED6B28">
        <w:t>Yescarta</w:t>
      </w:r>
      <w:proofErr w:type="spellEnd"/>
      <w:r w:rsidR="002162E8" w:rsidRPr="00ED6B28">
        <w:t>®</w:t>
      </w:r>
      <w:r w:rsidR="005E7697">
        <w:t>)</w:t>
      </w:r>
      <w:r w:rsidR="002162E8">
        <w:t xml:space="preserve">, </w:t>
      </w:r>
      <w:r w:rsidR="00A25FF2">
        <w:rPr>
          <w:iCs/>
        </w:rPr>
        <w:t xml:space="preserve">henceforth referred to as </w:t>
      </w:r>
      <w:r w:rsidR="00A25FF2" w:rsidRPr="007809A3">
        <w:rPr>
          <w:iCs/>
        </w:rPr>
        <w:t>AXI</w:t>
      </w:r>
      <w:r w:rsidR="005E7697">
        <w:t>,</w:t>
      </w:r>
      <w:r w:rsidR="004D3FBF">
        <w:rPr>
          <w:iCs/>
        </w:rPr>
        <w:t xml:space="preserve"> for the treatment of</w:t>
      </w:r>
      <w:r w:rsidR="0032421D">
        <w:rPr>
          <w:iCs/>
        </w:rPr>
        <w:t xml:space="preserve"> p</w:t>
      </w:r>
      <w:r w:rsidR="0032421D" w:rsidRPr="0032421D">
        <w:rPr>
          <w:iCs/>
        </w:rPr>
        <w:t>atients with relapsed or refractory</w:t>
      </w:r>
      <w:r w:rsidR="00D53C0B">
        <w:rPr>
          <w:iCs/>
        </w:rPr>
        <w:t xml:space="preserve"> (</w:t>
      </w:r>
      <w:r w:rsidR="00850A36">
        <w:rPr>
          <w:iCs/>
        </w:rPr>
        <w:t>r/r</w:t>
      </w:r>
      <w:r w:rsidR="00D53C0B">
        <w:rPr>
          <w:iCs/>
        </w:rPr>
        <w:t>)</w:t>
      </w:r>
      <w:r w:rsidR="0032421D" w:rsidRPr="0032421D">
        <w:rPr>
          <w:iCs/>
        </w:rPr>
        <w:t xml:space="preserve"> follicular lymphoma (FL) after two or more lines of systemic therapy</w:t>
      </w:r>
      <w:r w:rsidR="00792354">
        <w:rPr>
          <w:iCs/>
        </w:rPr>
        <w:t xml:space="preserve"> </w:t>
      </w:r>
      <w:r w:rsidRPr="009A3778">
        <w:rPr>
          <w:iCs/>
        </w:rPr>
        <w:t xml:space="preserve">was received from </w:t>
      </w:r>
      <w:r w:rsidR="001F0408" w:rsidRPr="001F0408">
        <w:rPr>
          <w:iCs/>
        </w:rPr>
        <w:t>Gilead Sciences Pty Limited</w:t>
      </w:r>
      <w:r w:rsidRPr="009A3778">
        <w:rPr>
          <w:iCs/>
        </w:rPr>
        <w:t xml:space="preserve"> by the Department of Health</w:t>
      </w:r>
      <w:r w:rsidR="009E663C">
        <w:rPr>
          <w:iCs/>
        </w:rPr>
        <w:t xml:space="preserve"> and Aged Care</w:t>
      </w:r>
      <w:r w:rsidRPr="009A3778">
        <w:rPr>
          <w:iCs/>
        </w:rPr>
        <w:t>.</w:t>
      </w:r>
      <w:r w:rsidR="005C5307">
        <w:rPr>
          <w:iCs/>
        </w:rPr>
        <w:t xml:space="preserve"> </w:t>
      </w:r>
    </w:p>
    <w:p w14:paraId="2AE1F269" w14:textId="77777777" w:rsidR="002176CC" w:rsidRDefault="002176CC" w:rsidP="002176CC">
      <w:pPr>
        <w:pStyle w:val="Heading2"/>
        <w:numPr>
          <w:ilvl w:val="0"/>
          <w:numId w:val="0"/>
        </w:numPr>
      </w:pPr>
      <w:r>
        <w:t>2.</w:t>
      </w:r>
      <w:r>
        <w:tab/>
        <w:t>MSAC’s advice to the Minister</w:t>
      </w:r>
    </w:p>
    <w:p w14:paraId="6A04EFCA" w14:textId="7035E121" w:rsidR="002176CC" w:rsidRDefault="002176CC">
      <w:r>
        <w:t xml:space="preserve">After considering the strength of the available evidence in relation to comparative safety, clinical effectiveness, </w:t>
      </w:r>
      <w:proofErr w:type="gramStart"/>
      <w:r>
        <w:t>cost-effectiveness</w:t>
      </w:r>
      <w:proofErr w:type="gramEnd"/>
      <w:r>
        <w:t xml:space="preserve"> and total cost, MSAC</w:t>
      </w:r>
      <w:r w:rsidR="42AB27E1">
        <w:t xml:space="preserve"> did not support public funding of axicabtagene ciloleucel (AXI) through the National Health Reform Agreement (NHRA) for the treatment of relapsed or refractory (r/r) follicular lymphoma (FL) after two or more lines of systemic therapy.</w:t>
      </w:r>
      <w:r w:rsidR="3499D798">
        <w:t xml:space="preserve"> </w:t>
      </w:r>
      <w:r w:rsidR="42AB27E1">
        <w:t>MSAC acknowledged the clinical need for new therapies for this patient population, and considered that AXI appeared to offer clinical benefit, particularly in progression free survival. However, MSAC noted that due to the low certainty of evidence, the magnitude of benefit was highly uncertain. MSAC considered that AXI had an inferior safety profile compared to the current standard of care.</w:t>
      </w:r>
    </w:p>
    <w:p w14:paraId="266C1871" w14:textId="362AD322" w:rsidR="002176CC" w:rsidRDefault="42AB27E1">
      <w:r>
        <w:t xml:space="preserve">MSAC considered the cost-effectiveness of AXI was highly uncertain, due to low certainty in comparative evidence, uncertain real-world costs and the unsubstantiated cure assumption used in the economic model. Given the slowly progressing, indolent nature of the disease, MSAC considered the duration of follow-up in the clinical study was insufficient to justify the modelled cure assumption. MSAC considered longer term data were required, or in the absence of </w:t>
      </w:r>
      <w:proofErr w:type="gramStart"/>
      <w:r>
        <w:t>longer term</w:t>
      </w:r>
      <w:proofErr w:type="gramEnd"/>
      <w:r>
        <w:t xml:space="preserve"> data the economic evaluation should be revised to remove the cure assumption.</w:t>
      </w:r>
    </w:p>
    <w:p w14:paraId="391D7E30" w14:textId="0622E040" w:rsidR="002176CC" w:rsidRDefault="42AB27E1" w:rsidP="4301A71C">
      <w:pPr>
        <w:spacing w:after="240" w:line="240" w:lineRule="auto"/>
        <w:rPr>
          <w:rFonts w:eastAsia="Calibri" w:cs="Times New Roman"/>
        </w:rPr>
      </w:pPr>
      <w:r>
        <w:t xml:space="preserve">MSAC considered the financial impact was highly uncertain due to uncertainty in the estimated utilisation, adjunctive hospital costs being </w:t>
      </w:r>
      <w:proofErr w:type="gramStart"/>
      <w:r>
        <w:t>underestimated</w:t>
      </w:r>
      <w:proofErr w:type="gramEnd"/>
      <w:r>
        <w:t xml:space="preserve"> and potential cost-savings being overestimated. MSAC noted the proposed price of AXI had not been adequately justified and considered a price reduction along with a risk sharing arrangement would be required for any future re-application. MSAC noted the states and territories (joint funders of this highly specialised therapy via the </w:t>
      </w:r>
      <w:r w:rsidR="00CA0201">
        <w:t>National Health Reform Agreement (</w:t>
      </w:r>
      <w:r>
        <w:t>NHRA</w:t>
      </w:r>
      <w:r w:rsidR="00CA0201">
        <w:t>)</w:t>
      </w:r>
      <w:r>
        <w:t>) considered that more real-world data was needed to inform the costs associated with the use of AXI and the price of AXI</w:t>
      </w:r>
      <w:r w:rsidRPr="132E0B0E">
        <w:rPr>
          <w:rFonts w:asciiTheme="minorHAnsi" w:eastAsiaTheme="minorEastAsia" w:hAnsiTheme="minorHAnsi"/>
        </w:rPr>
        <w:t>.</w:t>
      </w:r>
      <w:r w:rsidRPr="132E0B0E">
        <w:rPr>
          <w:rFonts w:eastAsia="Franklin Gothic Book" w:cs="Franklin Gothic Book"/>
        </w:rPr>
        <w:t xml:space="preserve"> </w:t>
      </w:r>
    </w:p>
    <w:tbl>
      <w:tblPr>
        <w:tblStyle w:val="TableGrid"/>
        <w:tblW w:w="0" w:type="auto"/>
        <w:tblLook w:val="04A0" w:firstRow="1" w:lastRow="0" w:firstColumn="1" w:lastColumn="0" w:noHBand="0" w:noVBand="1"/>
        <w:tblDescription w:val="Consumer summary of MSAC consideration"/>
      </w:tblPr>
      <w:tblGrid>
        <w:gridCol w:w="9016"/>
      </w:tblGrid>
      <w:tr w:rsidR="002176CC" w:rsidRPr="00C86E49" w14:paraId="07E5285C" w14:textId="77777777" w:rsidTr="132E0B0E">
        <w:trPr>
          <w:tblHeader/>
        </w:trPr>
        <w:tc>
          <w:tcPr>
            <w:tcW w:w="9016" w:type="dxa"/>
          </w:tcPr>
          <w:p w14:paraId="3B7EBB53" w14:textId="77777777" w:rsidR="002176CC" w:rsidRPr="00C86E49" w:rsidRDefault="002176CC" w:rsidP="007D7F18">
            <w:pPr>
              <w:keepNext/>
              <w:keepLines/>
              <w:spacing w:after="12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lastRenderedPageBreak/>
              <w:t>Consumer summary</w:t>
            </w:r>
          </w:p>
        </w:tc>
      </w:tr>
      <w:tr w:rsidR="002176CC" w:rsidRPr="00C86E49" w14:paraId="7BAE2404" w14:textId="77777777" w:rsidTr="132E0B0E">
        <w:tc>
          <w:tcPr>
            <w:tcW w:w="9016" w:type="dxa"/>
          </w:tcPr>
          <w:p w14:paraId="5817C67D" w14:textId="6D09BF97" w:rsidR="007D7F18" w:rsidRDefault="7C8E71D1" w:rsidP="007D7F18">
            <w:r>
              <w:t>This application from Gilead Sciences</w:t>
            </w:r>
            <w:r w:rsidR="0031095B">
              <w:t xml:space="preserve"> Pty Ltd</w:t>
            </w:r>
            <w:r>
              <w:t xml:space="preserve"> </w:t>
            </w:r>
            <w:r w:rsidR="009E437A">
              <w:t xml:space="preserve">requested </w:t>
            </w:r>
            <w:r>
              <w:t xml:space="preserve">public funding </w:t>
            </w:r>
            <w:r w:rsidR="52D31A5F">
              <w:t xml:space="preserve">under the National Health Reform Agreement (NHRA) </w:t>
            </w:r>
            <w:r>
              <w:t>of the cell-therapy axicabtagene ciloleucel (</w:t>
            </w:r>
            <w:proofErr w:type="spellStart"/>
            <w:r>
              <w:t>Yescarta</w:t>
            </w:r>
            <w:proofErr w:type="spellEnd"/>
            <w:r>
              <w:t xml:space="preserve">®) for patients with relapsed or refractory follicular lymphoma as third-line therapy (that is, if two or more previous </w:t>
            </w:r>
            <w:r w:rsidR="00AF0BB1">
              <w:t>courses</w:t>
            </w:r>
            <w:r w:rsidR="007D7F18">
              <w:t xml:space="preserve"> of </w:t>
            </w:r>
            <w:r w:rsidR="00AF0BB1">
              <w:t>treatment</w:t>
            </w:r>
            <w:r>
              <w:t xml:space="preserve"> have not been effective).</w:t>
            </w:r>
          </w:p>
          <w:p w14:paraId="23268B0B" w14:textId="4CA0FB8D" w:rsidR="007D7F18" w:rsidRDefault="007D7F18" w:rsidP="007D7F18">
            <w:r>
              <w:t>Follicular lymphoma is a type of blood cancer that arises from a type of white blood cell</w:t>
            </w:r>
            <w:r w:rsidR="00853A47">
              <w:t xml:space="preserve"> (</w:t>
            </w:r>
            <w:r w:rsidR="00370589">
              <w:t xml:space="preserve">specifically </w:t>
            </w:r>
            <w:r w:rsidR="00853A47">
              <w:t>B cell</w:t>
            </w:r>
            <w:r w:rsidR="009A1AC9">
              <w:t>s</w:t>
            </w:r>
            <w:r>
              <w:t xml:space="preserve">), which </w:t>
            </w:r>
            <w:r w:rsidR="001D5889">
              <w:t xml:space="preserve">form </w:t>
            </w:r>
            <w:r>
              <w:t>part of the body’s immune system</w:t>
            </w:r>
            <w:r w:rsidR="00FF5B79">
              <w:t xml:space="preserve"> to fight infections</w:t>
            </w:r>
            <w:r>
              <w:t xml:space="preserve">. Follicular lymphoma is a slow-growing </w:t>
            </w:r>
            <w:proofErr w:type="gramStart"/>
            <w:r w:rsidR="00D30944">
              <w:t>cancer</w:t>
            </w:r>
            <w:proofErr w:type="gramEnd"/>
            <w:r w:rsidR="00DC478A">
              <w:t xml:space="preserve"> </w:t>
            </w:r>
            <w:r>
              <w:t>and patients may go through stages where they don’t have any symptoms and don’t need treatment (called an indolent stage).</w:t>
            </w:r>
            <w:r w:rsidR="00E3679E">
              <w:t xml:space="preserve"> When symptoms appear, patients </w:t>
            </w:r>
            <w:r w:rsidR="005A57C4">
              <w:t>may present with painless swelling of lymph nodes,</w:t>
            </w:r>
            <w:r w:rsidR="002B704F">
              <w:t xml:space="preserve"> </w:t>
            </w:r>
            <w:r w:rsidR="00EA76B2">
              <w:t>fatigue</w:t>
            </w:r>
            <w:r w:rsidR="005A57C4">
              <w:t>,</w:t>
            </w:r>
            <w:r w:rsidR="00EA76B2">
              <w:t xml:space="preserve"> shortness of breath, night sweats, </w:t>
            </w:r>
            <w:proofErr w:type="gramStart"/>
            <w:r w:rsidR="00EA76B2">
              <w:t>fever</w:t>
            </w:r>
            <w:proofErr w:type="gramEnd"/>
            <w:r w:rsidR="00EA76B2">
              <w:t xml:space="preserve"> and weight loss.</w:t>
            </w:r>
          </w:p>
          <w:p w14:paraId="18B0F27A" w14:textId="15F26EA9" w:rsidR="007D7F18" w:rsidRDefault="007D7F18" w:rsidP="007D7F18">
            <w:pPr>
              <w:spacing w:before="240"/>
            </w:pPr>
            <w:r w:rsidRPr="00ED6B28">
              <w:t xml:space="preserve">Axicabtagene ciloleucel is a </w:t>
            </w:r>
            <w:r>
              <w:t>chimeric antigen receptor T-cell (</w:t>
            </w:r>
            <w:r w:rsidRPr="00ED6B28">
              <w:t>CAR</w:t>
            </w:r>
            <w:r>
              <w:t>-</w:t>
            </w:r>
            <w:r w:rsidRPr="00ED6B28">
              <w:t>T</w:t>
            </w:r>
            <w:r>
              <w:t>)</w:t>
            </w:r>
            <w:r w:rsidRPr="00ED6B28">
              <w:t xml:space="preserve"> </w:t>
            </w:r>
            <w:r>
              <w:t>therapy</w:t>
            </w:r>
            <w:r w:rsidR="000C46EA">
              <w:t xml:space="preserve"> that is produced </w:t>
            </w:r>
            <w:r w:rsidRPr="00ED6B28">
              <w:t>using a patient’s own T-cells</w:t>
            </w:r>
            <w:r>
              <w:t xml:space="preserve"> (another form of immune cell)</w:t>
            </w:r>
            <w:r w:rsidRPr="00ED6B28">
              <w:t>, making the product unique to each patient. For CAR-T therapy, a patient’s T-cells are collected and genetically modified in a lab</w:t>
            </w:r>
            <w:r w:rsidR="0049548A">
              <w:t>oratory</w:t>
            </w:r>
            <w:r w:rsidRPr="00ED6B28">
              <w:t xml:space="preserve"> to </w:t>
            </w:r>
            <w:r w:rsidR="00BF793A">
              <w:t>attack</w:t>
            </w:r>
            <w:r w:rsidR="00BF793A" w:rsidRPr="00ED6B28">
              <w:t xml:space="preserve"> </w:t>
            </w:r>
            <w:r w:rsidRPr="00ED6B28">
              <w:t xml:space="preserve">the </w:t>
            </w:r>
            <w:r w:rsidR="00562DB1">
              <w:t>cancer-causing</w:t>
            </w:r>
            <w:r w:rsidR="008F3EC7">
              <w:t xml:space="preserve"> </w:t>
            </w:r>
            <w:r w:rsidRPr="00ED6B28">
              <w:t xml:space="preserve">lymphoma B-cells. The modified T-cells are </w:t>
            </w:r>
            <w:r>
              <w:t xml:space="preserve">multiplied and </w:t>
            </w:r>
            <w:r w:rsidRPr="00ED6B28">
              <w:t>then infused back into the patient</w:t>
            </w:r>
            <w:r>
              <w:t>,</w:t>
            </w:r>
            <w:r w:rsidRPr="00ED6B28">
              <w:t xml:space="preserve"> where they target and kill the cancerous lymphoma B-cells</w:t>
            </w:r>
            <w:r>
              <w:t>, thereby treating the lymphoma</w:t>
            </w:r>
            <w:r w:rsidRPr="00ED6B28">
              <w:t>.</w:t>
            </w:r>
          </w:p>
          <w:p w14:paraId="5752DEC0" w14:textId="170BA49A" w:rsidR="007D7F18" w:rsidRDefault="007D7F18" w:rsidP="007D7F18">
            <w:pPr>
              <w:spacing w:before="240"/>
            </w:pPr>
            <w:r>
              <w:t xml:space="preserve">CAR-T cell therapies are a relatively new type of treatment that are used when patients with some types of cancers (currently blood cancers such as lymphoma) don’t respond to treatment (refractory), or their cancer comes back (relapses) after treatment. Other types of treatment include chemotherapy or </w:t>
            </w:r>
            <w:proofErr w:type="gramStart"/>
            <w:r w:rsidR="443C19CE">
              <w:t>other</w:t>
            </w:r>
            <w:proofErr w:type="gramEnd"/>
            <w:r w:rsidR="443C19CE">
              <w:t xml:space="preserve"> </w:t>
            </w:r>
            <w:r>
              <w:t xml:space="preserve">immunotherapy. </w:t>
            </w:r>
          </w:p>
          <w:p w14:paraId="5E395554" w14:textId="4170846B" w:rsidR="00172CFB" w:rsidRPr="007D7F18" w:rsidRDefault="007D7F18" w:rsidP="007D7F18">
            <w:pPr>
              <w:spacing w:before="240"/>
            </w:pPr>
            <w:r>
              <w:t xml:space="preserve">MSAC </w:t>
            </w:r>
            <w:r w:rsidR="00811C19">
              <w:t xml:space="preserve">recognised </w:t>
            </w:r>
            <w:r w:rsidR="002B6A0D">
              <w:t xml:space="preserve">the clinical need for new treatments for follicular </w:t>
            </w:r>
            <w:r w:rsidR="00B933E5">
              <w:t xml:space="preserve">lymphoma </w:t>
            </w:r>
            <w:r w:rsidR="002B6A0D">
              <w:t xml:space="preserve">patients </w:t>
            </w:r>
            <w:r w:rsidR="00575AD9">
              <w:t>and</w:t>
            </w:r>
            <w:r w:rsidR="002B6A0D">
              <w:t xml:space="preserve"> </w:t>
            </w:r>
            <w:r>
              <w:t xml:space="preserve">considered that the clinical data for </w:t>
            </w:r>
            <w:r w:rsidR="009C6717">
              <w:t>axicabtagene ciloleucel</w:t>
            </w:r>
            <w:r>
              <w:t xml:space="preserve"> appeared to show that it was more effective than </w:t>
            </w:r>
            <w:r w:rsidR="00630B99">
              <w:t xml:space="preserve">the current </w:t>
            </w:r>
            <w:r>
              <w:t>standard of care</w:t>
            </w:r>
            <w:r w:rsidR="00630B99">
              <w:t xml:space="preserve"> treatment</w:t>
            </w:r>
            <w:r>
              <w:t xml:space="preserve">, </w:t>
            </w:r>
            <w:r w:rsidR="002F2045">
              <w:t xml:space="preserve">but limitations with the clinical study made it uncertain as to the size of the benefit </w:t>
            </w:r>
            <w:r w:rsidR="00AF0885">
              <w:t xml:space="preserve">(e.g. </w:t>
            </w:r>
            <w:r w:rsidR="001527F9">
              <w:t xml:space="preserve">the </w:t>
            </w:r>
            <w:r w:rsidR="009C6717">
              <w:t>axicabtagene ciloleucel</w:t>
            </w:r>
            <w:r w:rsidR="001527F9">
              <w:t xml:space="preserve"> study did not include a control arm)</w:t>
            </w:r>
            <w:r>
              <w:t xml:space="preserve">. </w:t>
            </w:r>
            <w:r w:rsidR="00AB62F6">
              <w:t>MSAC also noted there appeared to be a high rate of adverse events associated with the treatment</w:t>
            </w:r>
            <w:r w:rsidR="00BA6BC4">
              <w:t xml:space="preserve">. MSAC noted that while feedback suggested patients </w:t>
            </w:r>
            <w:r w:rsidR="006834E3">
              <w:t xml:space="preserve">may be willing </w:t>
            </w:r>
            <w:r w:rsidR="00BA6BC4">
              <w:t xml:space="preserve">to take </w:t>
            </w:r>
            <w:r w:rsidR="00211B63">
              <w:t>these</w:t>
            </w:r>
            <w:r w:rsidR="00BA6BC4">
              <w:t xml:space="preserve"> risk</w:t>
            </w:r>
            <w:r w:rsidR="00211B63">
              <w:t>s</w:t>
            </w:r>
            <w:r w:rsidR="00BA6BC4">
              <w:t xml:space="preserve"> due to the perceived benefit of treatment, the cost associated with these adverse events for state and federal government</w:t>
            </w:r>
            <w:r w:rsidR="0006363D">
              <w:t>s</w:t>
            </w:r>
            <w:r w:rsidR="00BA6BC4">
              <w:t xml:space="preserve">, as well as for patients, are uncertain because of the lack of </w:t>
            </w:r>
            <w:r w:rsidR="005B1DB0">
              <w:t>Australian data</w:t>
            </w:r>
            <w:r w:rsidR="00BA6BC4">
              <w:t xml:space="preserve">. </w:t>
            </w:r>
            <w:r>
              <w:t xml:space="preserve">Because follicular lymphoma is a disease that progresses slowly, MSAC considered it </w:t>
            </w:r>
            <w:r w:rsidR="0045787A">
              <w:t xml:space="preserve">was </w:t>
            </w:r>
            <w:r>
              <w:t xml:space="preserve">important to have data that followed patients </w:t>
            </w:r>
            <w:r w:rsidR="00874B82">
              <w:t xml:space="preserve">for </w:t>
            </w:r>
            <w:r>
              <w:t>a longer time than was presented in the application</w:t>
            </w:r>
            <w:r w:rsidR="006D7F77">
              <w:t xml:space="preserve">. </w:t>
            </w:r>
            <w:r w:rsidR="00CB10C4">
              <w:t>MSAC considered longer-term evidence</w:t>
            </w:r>
            <w:r w:rsidR="00CC21E9">
              <w:t xml:space="preserve"> </w:t>
            </w:r>
            <w:r w:rsidR="005621C0">
              <w:t>may</w:t>
            </w:r>
            <w:r w:rsidR="006D7F77">
              <w:t xml:space="preserve"> </w:t>
            </w:r>
            <w:r w:rsidR="00CC21E9">
              <w:t xml:space="preserve">reduce </w:t>
            </w:r>
            <w:r w:rsidR="0047180A">
              <w:t xml:space="preserve">uncertainty about adverse </w:t>
            </w:r>
            <w:r w:rsidR="00AB62F6">
              <w:t>events</w:t>
            </w:r>
            <w:r w:rsidR="006D7F77">
              <w:t xml:space="preserve"> and </w:t>
            </w:r>
            <w:r w:rsidR="006D5233">
              <w:t>improve</w:t>
            </w:r>
            <w:r w:rsidR="006D7F77">
              <w:t xml:space="preserve"> understand</w:t>
            </w:r>
            <w:r w:rsidR="006D5233">
              <w:t>ing of</w:t>
            </w:r>
            <w:r w:rsidR="006D7F77">
              <w:t xml:space="preserve"> the </w:t>
            </w:r>
            <w:r w:rsidR="006D7F77" w:rsidRPr="132E0B0E">
              <w:rPr>
                <w:rFonts w:eastAsia="Times New Roman"/>
              </w:rPr>
              <w:t>longer-term success of the treatment</w:t>
            </w:r>
            <w:r>
              <w:t xml:space="preserve">. Clinical data over a longer time would also help to reduce the uncertainty in the economic and financial estimates for </w:t>
            </w:r>
            <w:r w:rsidR="00035ABB">
              <w:t>axicabtagene ciloleucel</w:t>
            </w:r>
            <w:r>
              <w:t>.</w:t>
            </w:r>
            <w:r w:rsidR="002C4A74">
              <w:t xml:space="preserve"> </w:t>
            </w:r>
            <w:r w:rsidR="00AD2F3C">
              <w:t xml:space="preserve">MSAC also noted the </w:t>
            </w:r>
            <w:r w:rsidR="7A0ECD1F">
              <w:t>three</w:t>
            </w:r>
            <w:r w:rsidR="00AD2F3C">
              <w:t xml:space="preserve"> submissions from </w:t>
            </w:r>
            <w:r w:rsidR="00F853A1">
              <w:t>s</w:t>
            </w:r>
            <w:r w:rsidR="00AD2F3C">
              <w:t xml:space="preserve">tates and </w:t>
            </w:r>
            <w:r w:rsidR="00F853A1">
              <w:t>t</w:t>
            </w:r>
            <w:r w:rsidR="00AD2F3C">
              <w:t>erritories</w:t>
            </w:r>
            <w:r w:rsidR="00BE0A21">
              <w:t xml:space="preserve"> </w:t>
            </w:r>
            <w:r w:rsidR="00453A3D">
              <w:t>(</w:t>
            </w:r>
            <w:r w:rsidR="00402B69" w:rsidRPr="132E0B0E">
              <w:rPr>
                <w:rFonts w:cs="Calibri"/>
              </w:rPr>
              <w:t>joint funders of this highly specialised therapy via the NHRA)</w:t>
            </w:r>
            <w:r w:rsidR="00402B69">
              <w:t xml:space="preserve"> </w:t>
            </w:r>
            <w:r w:rsidR="00096AFD">
              <w:t xml:space="preserve">considered more data from real-world experience </w:t>
            </w:r>
            <w:r w:rsidR="00BE0A21">
              <w:t>was required</w:t>
            </w:r>
            <w:r w:rsidR="00BE28EF">
              <w:t xml:space="preserve"> to </w:t>
            </w:r>
            <w:r w:rsidR="00CC737B">
              <w:t xml:space="preserve">better </w:t>
            </w:r>
            <w:r w:rsidR="00BE28EF">
              <w:t xml:space="preserve">inform </w:t>
            </w:r>
            <w:r w:rsidR="00CC737B">
              <w:t>the consideration</w:t>
            </w:r>
            <w:r w:rsidR="0011723E">
              <w:t>.</w:t>
            </w:r>
            <w:r w:rsidR="00BE0A21">
              <w:t xml:space="preserve"> </w:t>
            </w:r>
          </w:p>
          <w:p w14:paraId="1E53FE94" w14:textId="77777777" w:rsidR="002176CC" w:rsidRPr="00C86E49" w:rsidRDefault="002176CC">
            <w:pPr>
              <w:keepNext/>
              <w:keepLines/>
              <w:outlineLvl w:val="2"/>
              <w:rPr>
                <w:rFonts w:ascii="Franklin Gothic Medium" w:eastAsia="Times New Roman" w:hAnsi="Franklin Gothic Medium" w:cs="Times New Roman"/>
                <w:sz w:val="24"/>
                <w:szCs w:val="24"/>
              </w:rPr>
            </w:pPr>
            <w:r w:rsidRPr="132E0B0E">
              <w:rPr>
                <w:rFonts w:ascii="Franklin Gothic Medium" w:eastAsia="Times New Roman" w:hAnsi="Franklin Gothic Medium" w:cs="Times New Roman"/>
                <w:sz w:val="24"/>
                <w:szCs w:val="24"/>
              </w:rPr>
              <w:t xml:space="preserve">MSAC’s advice to the </w:t>
            </w:r>
            <w:proofErr w:type="gramStart"/>
            <w:r w:rsidRPr="132E0B0E">
              <w:rPr>
                <w:rFonts w:ascii="Franklin Gothic Medium" w:eastAsia="Times New Roman" w:hAnsi="Franklin Gothic Medium" w:cs="Times New Roman"/>
                <w:sz w:val="24"/>
                <w:szCs w:val="24"/>
              </w:rPr>
              <w:t>Commonwealth Minister</w:t>
            </w:r>
            <w:proofErr w:type="gramEnd"/>
            <w:r w:rsidRPr="132E0B0E">
              <w:rPr>
                <w:rFonts w:ascii="Franklin Gothic Medium" w:eastAsia="Times New Roman" w:hAnsi="Franklin Gothic Medium" w:cs="Times New Roman"/>
                <w:sz w:val="24"/>
                <w:szCs w:val="24"/>
              </w:rPr>
              <w:t xml:space="preserve"> for Health and Aged Care</w:t>
            </w:r>
          </w:p>
          <w:p w14:paraId="175A3BA0" w14:textId="77C341E6" w:rsidR="002176CC" w:rsidRPr="00C86E49" w:rsidRDefault="00656BF6" w:rsidP="00656BF6">
            <w:pPr>
              <w:spacing w:after="120"/>
              <w:rPr>
                <w:rFonts w:eastAsia="Calibri" w:cs="Times New Roman"/>
              </w:rPr>
            </w:pPr>
            <w:r>
              <w:t xml:space="preserve">MSAC did not support public funding of </w:t>
            </w:r>
            <w:r w:rsidR="006D4ED0">
              <w:t>axicabtagene ciloleucel</w:t>
            </w:r>
            <w:r>
              <w:t xml:space="preserve"> for </w:t>
            </w:r>
            <w:r w:rsidR="00F350D8">
              <w:t xml:space="preserve">the treatment </w:t>
            </w:r>
            <w:r w:rsidR="005A3E52">
              <w:t xml:space="preserve">of </w:t>
            </w:r>
            <w:r>
              <w:t>patients with relapsed or refractory follicular lymphoma</w:t>
            </w:r>
            <w:r w:rsidR="005A3E52">
              <w:t xml:space="preserve"> as third-line therapy</w:t>
            </w:r>
            <w:r>
              <w:t xml:space="preserve">. MSAC </w:t>
            </w:r>
            <w:r w:rsidR="004446E8">
              <w:t xml:space="preserve">acknowledged the </w:t>
            </w:r>
            <w:r w:rsidR="00F148E9">
              <w:t xml:space="preserve">clinical </w:t>
            </w:r>
            <w:r w:rsidR="004446E8">
              <w:t xml:space="preserve">need for </w:t>
            </w:r>
            <w:r w:rsidR="00F148E9">
              <w:t xml:space="preserve">new treatments for these patients. </w:t>
            </w:r>
            <w:r w:rsidR="00F77582">
              <w:t>Due to</w:t>
            </w:r>
            <w:r w:rsidR="000D38B0">
              <w:t xml:space="preserve"> the slow-growing nature of the disease</w:t>
            </w:r>
            <w:r w:rsidR="00563EE6">
              <w:t xml:space="preserve"> and the limita</w:t>
            </w:r>
            <w:r w:rsidR="008D4F0B">
              <w:t>t</w:t>
            </w:r>
            <w:r w:rsidR="00563EE6">
              <w:t>ions with</w:t>
            </w:r>
            <w:r>
              <w:t xml:space="preserve"> the evidence presented,</w:t>
            </w:r>
            <w:r w:rsidR="00563EE6">
              <w:t xml:space="preserve"> MSAC considered that</w:t>
            </w:r>
            <w:r>
              <w:t xml:space="preserve"> the </w:t>
            </w:r>
            <w:r w:rsidR="00563EE6">
              <w:t xml:space="preserve">magnitude and duration of </w:t>
            </w:r>
            <w:r>
              <w:t xml:space="preserve">clinical benefits </w:t>
            </w:r>
            <w:r w:rsidR="007F3A68">
              <w:t xml:space="preserve">following </w:t>
            </w:r>
            <w:r w:rsidR="00D12500">
              <w:t>axicabtagene ciloleucel</w:t>
            </w:r>
            <w:r>
              <w:t xml:space="preserve"> </w:t>
            </w:r>
            <w:r w:rsidR="007F3A68">
              <w:t xml:space="preserve">treatment of follicular lymphoma </w:t>
            </w:r>
            <w:r>
              <w:t>were uncertain</w:t>
            </w:r>
            <w:r w:rsidR="00724CB3">
              <w:t>. In addition,</w:t>
            </w:r>
            <w:r>
              <w:t xml:space="preserve"> </w:t>
            </w:r>
            <w:r w:rsidR="00E31E39">
              <w:t xml:space="preserve">MSAC considered </w:t>
            </w:r>
            <w:r>
              <w:t>the high and uncertain cost</w:t>
            </w:r>
            <w:r w:rsidR="00AD384A">
              <w:t>s</w:t>
            </w:r>
            <w:r>
              <w:t xml:space="preserve"> of the treatment meant that it was not good value for money.</w:t>
            </w:r>
          </w:p>
        </w:tc>
      </w:tr>
    </w:tbl>
    <w:p w14:paraId="62A8A4D0" w14:textId="77777777" w:rsidR="002176CC" w:rsidRPr="00C86E49" w:rsidRDefault="002176CC" w:rsidP="002176CC">
      <w:pPr>
        <w:pStyle w:val="Heading2"/>
        <w:numPr>
          <w:ilvl w:val="1"/>
          <w:numId w:val="0"/>
        </w:numPr>
      </w:pPr>
      <w:r w:rsidRPr="00C86E49">
        <w:lastRenderedPageBreak/>
        <w:t>3.</w:t>
      </w:r>
      <w:r w:rsidRPr="00C86E49">
        <w:tab/>
        <w:t>Summary of consideration and rationale for MSAC’s advice</w:t>
      </w:r>
    </w:p>
    <w:p w14:paraId="787A8802" w14:textId="03226204" w:rsidR="00934655" w:rsidRDefault="00934655" w:rsidP="00934655">
      <w:r w:rsidRPr="00516D4E">
        <w:t>MSAC</w:t>
      </w:r>
      <w:r>
        <w:t xml:space="preserve"> </w:t>
      </w:r>
      <w:r w:rsidRPr="00D21120">
        <w:t xml:space="preserve">noted that this application from Gilead Sciences sought public funding under the NHRA for axicabtagene ciloleucel (AXI, also known as YESCARTA®, a chimeric antigen receptor T-cell [CAR-T] therapy) in the </w:t>
      </w:r>
      <w:proofErr w:type="gramStart"/>
      <w:r w:rsidRPr="00D21120">
        <w:t>third-line</w:t>
      </w:r>
      <w:proofErr w:type="gramEnd"/>
      <w:r w:rsidRPr="00D21120">
        <w:t xml:space="preserve"> (3L) </w:t>
      </w:r>
      <w:r w:rsidR="00FD0F44">
        <w:t xml:space="preserve">or later </w:t>
      </w:r>
      <w:r w:rsidRPr="00D21120">
        <w:t>setting for patients with r/r</w:t>
      </w:r>
      <w:r w:rsidR="00650042">
        <w:t> </w:t>
      </w:r>
      <w:r w:rsidRPr="00D21120">
        <w:t>FL.</w:t>
      </w:r>
    </w:p>
    <w:p w14:paraId="796A4294" w14:textId="3759AB19" w:rsidR="00F44198" w:rsidRDefault="00092836" w:rsidP="00934655">
      <w:r>
        <w:t xml:space="preserve">MSAC noted </w:t>
      </w:r>
      <w:r w:rsidR="0E061FD4">
        <w:t xml:space="preserve">that this indication had not been previously considered by MSAC, but that AXI is currently funded for </w:t>
      </w:r>
      <w:proofErr w:type="gramStart"/>
      <w:r w:rsidR="0E061FD4">
        <w:t>a number of</w:t>
      </w:r>
      <w:proofErr w:type="gramEnd"/>
      <w:r w:rsidR="0E061FD4">
        <w:t xml:space="preserve"> other lymphomas</w:t>
      </w:r>
      <w:r w:rsidR="3B180E74">
        <w:t xml:space="preserve">, </w:t>
      </w:r>
      <w:r w:rsidR="0E061FD4">
        <w:t xml:space="preserve">namely </w:t>
      </w:r>
      <w:r w:rsidR="42BA3B51">
        <w:t xml:space="preserve">r/r CD19-positive </w:t>
      </w:r>
      <w:r w:rsidR="2EA58CBA">
        <w:t>d</w:t>
      </w:r>
      <w:r w:rsidR="42BA3B51">
        <w:t xml:space="preserve">iffuse </w:t>
      </w:r>
      <w:r w:rsidR="0DCCDF97">
        <w:t>l</w:t>
      </w:r>
      <w:r w:rsidR="42BA3B51">
        <w:t xml:space="preserve">arge B </w:t>
      </w:r>
      <w:r w:rsidR="2292114F">
        <w:t>c</w:t>
      </w:r>
      <w:r w:rsidR="42BA3B51">
        <w:t xml:space="preserve">ell </w:t>
      </w:r>
      <w:r w:rsidR="166863D6">
        <w:t>ly</w:t>
      </w:r>
      <w:r w:rsidR="42BA3B51">
        <w:t>mphoma (</w:t>
      </w:r>
      <w:r w:rsidR="42BA3B51" w:rsidRPr="007D095B">
        <w:t>DLBCL), primary mediastinal B cell lymphoma (PMBCL) and transformed follicular lymphoma (TFL</w:t>
      </w:r>
      <w:r w:rsidR="24374AD7" w:rsidRPr="007D095B">
        <w:t xml:space="preserve">). Funding for AXI for the treatment of r/r large B cell lymphoma (LBCL) </w:t>
      </w:r>
      <w:r w:rsidR="00FB547E" w:rsidRPr="007D095B">
        <w:t xml:space="preserve">in the </w:t>
      </w:r>
      <w:proofErr w:type="gramStart"/>
      <w:r w:rsidR="00FB547E" w:rsidRPr="007D095B">
        <w:t>second-line</w:t>
      </w:r>
      <w:proofErr w:type="gramEnd"/>
      <w:r w:rsidR="00C9376E" w:rsidRPr="007D095B">
        <w:t xml:space="preserve"> (2L) </w:t>
      </w:r>
      <w:r w:rsidR="0033534B" w:rsidRPr="007D095B">
        <w:t xml:space="preserve">setting </w:t>
      </w:r>
      <w:r w:rsidR="24374AD7" w:rsidRPr="007D095B">
        <w:t xml:space="preserve">was also supported by MSAC in April 2024. </w:t>
      </w:r>
      <w:r w:rsidR="0E061FD4" w:rsidRPr="007D095B">
        <w:t>MSAC further noted that AXI has been approved by the Therapeutic Goods Administration</w:t>
      </w:r>
      <w:r w:rsidR="0E061FD4">
        <w:t xml:space="preserve"> (TGA)</w:t>
      </w:r>
      <w:r w:rsidR="68345575">
        <w:t xml:space="preserve"> for use in FL</w:t>
      </w:r>
      <w:r w:rsidR="0057038B">
        <w:t xml:space="preserve"> after two or more lines of systemic therapy</w:t>
      </w:r>
      <w:r w:rsidR="0057038B">
        <w:rPr>
          <w:rStyle w:val="FootnoteReference"/>
        </w:rPr>
        <w:footnoteReference w:id="2"/>
      </w:r>
      <w:r w:rsidR="0E061FD4">
        <w:t>.</w:t>
      </w:r>
    </w:p>
    <w:p w14:paraId="0FC0B109" w14:textId="76B6B2A4" w:rsidR="00934655" w:rsidRDefault="00934655" w:rsidP="00934655">
      <w:r>
        <w:t>MSAC noted the</w:t>
      </w:r>
      <w:r w:rsidDel="00934655">
        <w:t xml:space="preserve"> </w:t>
      </w:r>
      <w:r w:rsidR="001B163B">
        <w:t xml:space="preserve">feedback </w:t>
      </w:r>
      <w:r>
        <w:t xml:space="preserve">from states and territories that outlined concerns regarding the costs associated with providing AXI </w:t>
      </w:r>
      <w:r w:rsidR="00446116">
        <w:t xml:space="preserve">treatment </w:t>
      </w:r>
      <w:r>
        <w:t>(both financial costs</w:t>
      </w:r>
      <w:r w:rsidR="504836DF">
        <w:t>, including those associated with the high rate of adverse events,</w:t>
      </w:r>
      <w:r>
        <w:t xml:space="preserve"> and personal costs to patients who experience</w:t>
      </w:r>
      <w:r w:rsidR="0071C247">
        <w:t xml:space="preserve"> these</w:t>
      </w:r>
      <w:r>
        <w:t xml:space="preserve"> adverse events) and the uncertainty of the clinical evidence</w:t>
      </w:r>
      <w:r w:rsidR="007E048C">
        <w:t xml:space="preserve"> presented</w:t>
      </w:r>
      <w:r w:rsidR="001856CD">
        <w:t xml:space="preserve"> in the applicant </w:t>
      </w:r>
      <w:r w:rsidR="00884972">
        <w:t>developed assessment report (ADAR)</w:t>
      </w:r>
      <w:r>
        <w:t xml:space="preserve">. MSAC also noted that state and territory feedback considered it </w:t>
      </w:r>
      <w:r w:rsidR="00AB3B91">
        <w:t xml:space="preserve">was </w:t>
      </w:r>
      <w:r>
        <w:t xml:space="preserve">important to complete a full review of the clinical benefits and cost-effectiveness of AXI </w:t>
      </w:r>
      <w:r w:rsidR="00A46C81">
        <w:t>for the treatment of</w:t>
      </w:r>
      <w:r>
        <w:t xml:space="preserve"> r/r DLBCL </w:t>
      </w:r>
      <w:r w:rsidR="00913656">
        <w:t xml:space="preserve">in the 3L setting </w:t>
      </w:r>
      <w:r>
        <w:t xml:space="preserve">prior to </w:t>
      </w:r>
      <w:r w:rsidR="2D1DD1E5">
        <w:t>supporting</w:t>
      </w:r>
      <w:r>
        <w:t xml:space="preserve"> further public funding of AXI.</w:t>
      </w:r>
    </w:p>
    <w:p w14:paraId="3F4E2CB0" w14:textId="26BB3395" w:rsidR="1531214D" w:rsidRDefault="1531214D" w:rsidP="132E0B0E">
      <w:pPr>
        <w:tabs>
          <w:tab w:val="left" w:pos="3686"/>
        </w:tabs>
        <w:spacing w:line="256" w:lineRule="auto"/>
        <w:rPr>
          <w:rFonts w:eastAsiaTheme="minorEastAsia"/>
        </w:rPr>
      </w:pPr>
      <w:r>
        <w:t xml:space="preserve">MSAC </w:t>
      </w:r>
      <w:r w:rsidR="2ED8FCDC">
        <w:t xml:space="preserve">also </w:t>
      </w:r>
      <w:r>
        <w:t xml:space="preserve">noted the </w:t>
      </w:r>
      <w:r w:rsidR="01D6820F">
        <w:t xml:space="preserve">consultation </w:t>
      </w:r>
      <w:r>
        <w:t>input received, including from</w:t>
      </w:r>
      <w:r w:rsidR="45BCDED3">
        <w:t xml:space="preserve"> individual experts along with</w:t>
      </w:r>
      <w:r>
        <w:t xml:space="preserve"> </w:t>
      </w:r>
      <w:r w:rsidR="3797633A" w:rsidRPr="132E0B0E">
        <w:rPr>
          <w:rFonts w:eastAsiaTheme="minorEastAsia"/>
        </w:rPr>
        <w:t xml:space="preserve">Australia and New Zealand Transplant &amp; Cellular Therapies Ltd, Australasian Leukaemia &amp; Lymphoma Group, Leukaemia Foundation, Lymphoma </w:t>
      </w:r>
      <w:proofErr w:type="gramStart"/>
      <w:r w:rsidR="3797633A" w:rsidRPr="132E0B0E">
        <w:rPr>
          <w:rFonts w:eastAsiaTheme="minorEastAsia"/>
        </w:rPr>
        <w:t>Australia</w:t>
      </w:r>
      <w:proofErr w:type="gramEnd"/>
      <w:r w:rsidR="3797633A" w:rsidRPr="132E0B0E">
        <w:rPr>
          <w:rFonts w:eastAsiaTheme="minorEastAsia"/>
        </w:rPr>
        <w:t xml:space="preserve"> and Rare Cancers Australia.</w:t>
      </w:r>
      <w:r w:rsidR="631D8A14" w:rsidRPr="132E0B0E">
        <w:rPr>
          <w:rFonts w:eastAsiaTheme="minorEastAsia"/>
        </w:rPr>
        <w:t xml:space="preserve"> MSAC noted that the feedback </w:t>
      </w:r>
      <w:r w:rsidRPr="132E0B0E">
        <w:rPr>
          <w:rFonts w:eastAsiaTheme="minorEastAsia"/>
        </w:rPr>
        <w:t>received was supportive of the application</w:t>
      </w:r>
      <w:r w:rsidR="0AE2A7E0" w:rsidRPr="132E0B0E">
        <w:rPr>
          <w:rFonts w:eastAsiaTheme="minorEastAsia"/>
        </w:rPr>
        <w:t>, with responses highlighting the anticipated improvement in survival and quality of life with AXI, and the need for new therapies to treat FL.</w:t>
      </w:r>
      <w:r w:rsidR="67E33C93" w:rsidRPr="132E0B0E">
        <w:rPr>
          <w:rFonts w:eastAsiaTheme="minorEastAsia"/>
        </w:rPr>
        <w:t xml:space="preserve"> Respondents agreed that extended follow up was required before patients with r/r FL could be considered cured, with suggestions from specialists ranging from at least 5 years to at least 10 years without relapse. Respo</w:t>
      </w:r>
      <w:r w:rsidR="1F230BBD" w:rsidRPr="132E0B0E">
        <w:rPr>
          <w:rFonts w:eastAsiaTheme="minorEastAsia"/>
        </w:rPr>
        <w:t>ndents also noted that there are barriers to access</w:t>
      </w:r>
      <w:r w:rsidR="00D53D15" w:rsidRPr="132E0B0E">
        <w:rPr>
          <w:rFonts w:eastAsiaTheme="minorEastAsia"/>
        </w:rPr>
        <w:t>ing</w:t>
      </w:r>
      <w:r w:rsidR="1F230BBD" w:rsidRPr="132E0B0E">
        <w:rPr>
          <w:rFonts w:eastAsiaTheme="minorEastAsia"/>
        </w:rPr>
        <w:t xml:space="preserve"> AXI for rural and regional patients, and that multidisciplinary post-treatment services would be required for </w:t>
      </w:r>
      <w:r w:rsidR="001136B1" w:rsidRPr="132E0B0E">
        <w:rPr>
          <w:rFonts w:eastAsiaTheme="minorEastAsia"/>
        </w:rPr>
        <w:t xml:space="preserve">all patients for </w:t>
      </w:r>
      <w:r w:rsidR="1F230BBD" w:rsidRPr="132E0B0E">
        <w:rPr>
          <w:rFonts w:eastAsiaTheme="minorEastAsia"/>
        </w:rPr>
        <w:t>immediate complications, as well as lo</w:t>
      </w:r>
      <w:r w:rsidR="1B2A36F3" w:rsidRPr="132E0B0E">
        <w:rPr>
          <w:rFonts w:eastAsiaTheme="minorEastAsia"/>
        </w:rPr>
        <w:t>nger term follow up.</w:t>
      </w:r>
    </w:p>
    <w:p w14:paraId="36FDAF4C" w14:textId="621A51A6" w:rsidR="00934655" w:rsidRDefault="00934655">
      <w:r>
        <w:t xml:space="preserve">MSAC noted the proposed clinical, treatment and public funding criteria for AXI, including the changes </w:t>
      </w:r>
      <w:r w:rsidR="004B0477">
        <w:t xml:space="preserve">recommended </w:t>
      </w:r>
      <w:r>
        <w:t xml:space="preserve">by ESC. For the </w:t>
      </w:r>
      <w:r w:rsidR="001136B1">
        <w:t xml:space="preserve">proposed </w:t>
      </w:r>
      <w:r>
        <w:t xml:space="preserve">indication, ESC had suggested that anti-CD20 monotherapy (such as rituximab) should not be considered a prior line of therapy, to maintain consistency with the eligibility criteria in the ZUMA-5 study (the pivotal </w:t>
      </w:r>
      <w:r w:rsidR="3670D3DE">
        <w:t xml:space="preserve">study </w:t>
      </w:r>
      <w:r>
        <w:t xml:space="preserve">in the application). In the pre-MSAC response, the applicant </w:t>
      </w:r>
      <w:r w:rsidR="00CB4599">
        <w:t xml:space="preserve">stated </w:t>
      </w:r>
      <w:r>
        <w:t>that single-agent anti-CD20 therapy is recommended as a first-line or second-line treatment option for patients with r/r FL in clinical management guidelines</w:t>
      </w:r>
      <w:r w:rsidR="00716859" w:rsidRPr="00803CD7">
        <w:rPr>
          <w:rStyle w:val="FootnoteReference"/>
        </w:rPr>
        <w:footnoteReference w:id="3"/>
      </w:r>
      <w:r w:rsidR="00803CD7" w:rsidRPr="00803CD7">
        <w:rPr>
          <w:vertAlign w:val="superscript"/>
        </w:rPr>
        <w:t>,</w:t>
      </w:r>
      <w:r w:rsidR="00443988">
        <w:rPr>
          <w:rStyle w:val="FootnoteReference"/>
        </w:rPr>
        <w:footnoteReference w:id="4"/>
      </w:r>
      <w:r>
        <w:t xml:space="preserve">, and there may be clinical grounds for not combining </w:t>
      </w:r>
      <w:r w:rsidR="00E45510">
        <w:t xml:space="preserve">anti-CD20 </w:t>
      </w:r>
      <w:r w:rsidR="153F10BE">
        <w:t xml:space="preserve">therapy </w:t>
      </w:r>
      <w:r>
        <w:t>with an alkylating agent</w:t>
      </w:r>
      <w:r w:rsidR="73C3C5C8">
        <w:t>, for example for patients with contraindications</w:t>
      </w:r>
      <w:r>
        <w:t xml:space="preserve">. The applicant argued that it would not be equitable to prevent these patients from being eligible for AXI. </w:t>
      </w:r>
      <w:r w:rsidR="00243F3E">
        <w:t xml:space="preserve">MSAC noted that ZUMA-22 </w:t>
      </w:r>
      <w:r w:rsidR="006B4444">
        <w:t>(</w:t>
      </w:r>
      <w:r w:rsidR="00243F3E">
        <w:t>a phase 3, open-label, multicentre, randomised controlled trial</w:t>
      </w:r>
      <w:r w:rsidR="00750890">
        <w:t>)</w:t>
      </w:r>
      <w:r w:rsidR="006B4444">
        <w:t>,</w:t>
      </w:r>
      <w:r w:rsidR="00243F3E">
        <w:t xml:space="preserve"> </w:t>
      </w:r>
      <w:r w:rsidR="006B4444">
        <w:t>to</w:t>
      </w:r>
      <w:r w:rsidR="00243F3E">
        <w:t xml:space="preserve"> evaluate the efficacy and safety of AXI compared with standard</w:t>
      </w:r>
      <w:r w:rsidR="00AC0DE5">
        <w:t xml:space="preserve"> </w:t>
      </w:r>
      <w:r w:rsidR="00243F3E">
        <w:t>of</w:t>
      </w:r>
      <w:r w:rsidR="00AC0DE5">
        <w:t xml:space="preserve"> </w:t>
      </w:r>
      <w:r w:rsidR="00243F3E">
        <w:t xml:space="preserve">care (SOC) therapy in patients with r/r </w:t>
      </w:r>
      <w:r w:rsidR="00243F3E">
        <w:lastRenderedPageBreak/>
        <w:t>FL (</w:t>
      </w:r>
      <w:r w:rsidR="00D84ACD" w:rsidRPr="00D84ACD">
        <w:t>NCT05371093</w:t>
      </w:r>
      <w:r w:rsidR="008C3A41" w:rsidRPr="00855F63">
        <w:rPr>
          <w:rStyle w:val="FootnoteReference"/>
        </w:rPr>
        <w:footnoteReference w:id="5"/>
      </w:r>
      <w:r w:rsidR="00243F3E">
        <w:t>)</w:t>
      </w:r>
      <w:r w:rsidR="006B4444">
        <w:t xml:space="preserve"> </w:t>
      </w:r>
      <w:r w:rsidR="00B12512">
        <w:t>wa</w:t>
      </w:r>
      <w:r w:rsidR="006B4444">
        <w:t xml:space="preserve">s underway and </w:t>
      </w:r>
      <w:r w:rsidR="00D87175">
        <w:t>primary study</w:t>
      </w:r>
      <w:r w:rsidR="006B4444">
        <w:t xml:space="preserve"> </w:t>
      </w:r>
      <w:r w:rsidR="00243F3E">
        <w:t xml:space="preserve">completion </w:t>
      </w:r>
      <w:r w:rsidR="00B12512">
        <w:t>wa</w:t>
      </w:r>
      <w:r w:rsidR="00243F3E">
        <w:t>s expected in 2030.</w:t>
      </w:r>
      <w:r w:rsidR="00750890">
        <w:t xml:space="preserve"> </w:t>
      </w:r>
      <w:r>
        <w:t xml:space="preserve">MSAC noted that the SOC arm in the ZUMA-22 </w:t>
      </w:r>
      <w:r w:rsidR="22F6D163">
        <w:t xml:space="preserve">trial </w:t>
      </w:r>
      <w:r w:rsidR="00B12512">
        <w:t xml:space="preserve">included </w:t>
      </w:r>
      <w:r>
        <w:t xml:space="preserve">therapies that </w:t>
      </w:r>
      <w:r w:rsidR="00581A9F">
        <w:t xml:space="preserve">did </w:t>
      </w:r>
      <w:r>
        <w:t xml:space="preserve">not involve alkylating agents. MSAC considered that it may </w:t>
      </w:r>
      <w:r w:rsidR="00581A9F">
        <w:t>be reasonable</w:t>
      </w:r>
      <w:r>
        <w:t xml:space="preserve"> to specify </w:t>
      </w:r>
      <w:r w:rsidR="00DE6F87">
        <w:t xml:space="preserve">in the indication that </w:t>
      </w:r>
      <w:r>
        <w:t xml:space="preserve">alkylating agents </w:t>
      </w:r>
      <w:r w:rsidR="73CD6B06">
        <w:t xml:space="preserve">must </w:t>
      </w:r>
      <w:r w:rsidR="00144E0A">
        <w:t xml:space="preserve">be included </w:t>
      </w:r>
      <w:r w:rsidR="00DE6F87">
        <w:t xml:space="preserve">along with </w:t>
      </w:r>
      <w:r w:rsidR="00214354">
        <w:t xml:space="preserve">anti-CD20 </w:t>
      </w:r>
      <w:r w:rsidR="00011D97">
        <w:t>as prior therapy</w:t>
      </w:r>
      <w:r w:rsidR="42C97266">
        <w:t xml:space="preserve">, </w:t>
      </w:r>
      <w:r w:rsidR="00214354">
        <w:t>unless contraindicated</w:t>
      </w:r>
      <w:r>
        <w:t xml:space="preserve">. </w:t>
      </w:r>
      <w:r w:rsidR="00452FA8">
        <w:t>MSAC noted ESC’s concern that the eligible population would increase if anti-CD20 monotherapy was counted as a prior therapy.</w:t>
      </w:r>
      <w:r>
        <w:t xml:space="preserve"> However, </w:t>
      </w:r>
      <w:r w:rsidR="00452FA8">
        <w:t>MSAC considered that t</w:t>
      </w:r>
      <w:r>
        <w:t>he extent to which the number of eligible patients</w:t>
      </w:r>
      <w:r w:rsidR="00DD221D">
        <w:t xml:space="preserve"> would increase</w:t>
      </w:r>
      <w:r>
        <w:t xml:space="preserve"> was </w:t>
      </w:r>
      <w:r w:rsidR="00DD221D">
        <w:t>uncertain</w:t>
      </w:r>
      <w:r w:rsidR="009C17D8">
        <w:t xml:space="preserve"> but likely low</w:t>
      </w:r>
      <w:r>
        <w:t xml:space="preserve">, </w:t>
      </w:r>
      <w:r w:rsidR="009C17D8">
        <w:t xml:space="preserve">and </w:t>
      </w:r>
      <w:r w:rsidR="008F48DE">
        <w:t xml:space="preserve">that it would be inequitable to deny </w:t>
      </w:r>
      <w:r w:rsidR="00A869B7">
        <w:t xml:space="preserve">AXI treatment to patients for whom </w:t>
      </w:r>
      <w:r w:rsidR="005B22CC">
        <w:t>alkylating agents were contraindicated.</w:t>
      </w:r>
    </w:p>
    <w:p w14:paraId="3D3AD3BF" w14:textId="01E32EBA" w:rsidR="00934655" w:rsidRDefault="00934655" w:rsidP="00E97EF6">
      <w:r>
        <w:t xml:space="preserve">MSAC noted the applicant’s proposed changes to the treatment criteria regarding renal, </w:t>
      </w:r>
      <w:proofErr w:type="gramStart"/>
      <w:r>
        <w:t>cardiac</w:t>
      </w:r>
      <w:proofErr w:type="gramEnd"/>
      <w:r>
        <w:t xml:space="preserve"> and respiratory function parameters, and considered that these were reasonable</w:t>
      </w:r>
      <w:r w:rsidR="4C5FB43A">
        <w:t xml:space="preserve"> to ensure consistency with organ function criteria established for AXI for the treatment of patients with </w:t>
      </w:r>
      <w:r w:rsidR="00FC57DB">
        <w:t>LBCL</w:t>
      </w:r>
      <w:r w:rsidR="4C5FB43A">
        <w:t xml:space="preserve"> in Australia</w:t>
      </w:r>
      <w:r>
        <w:t xml:space="preserve">. MSAC noted ESC’s proposed change to the treatment criteria to specify that the patient must not have a history or suspicion of central nervous system (CNS) involvement by lymphoma. In the pre-MSAC response, the applicant </w:t>
      </w:r>
      <w:r w:rsidR="00F30690">
        <w:t xml:space="preserve">stated </w:t>
      </w:r>
      <w:r w:rsidR="1A581E94">
        <w:t xml:space="preserve">that </w:t>
      </w:r>
      <w:r>
        <w:t xml:space="preserve">feedback from clinicians </w:t>
      </w:r>
      <w:r w:rsidR="6A9F8D78">
        <w:t>indicate</w:t>
      </w:r>
      <w:r w:rsidR="00836978">
        <w:t>d</w:t>
      </w:r>
      <w:r w:rsidR="6A9F8D78">
        <w:t xml:space="preserve"> </w:t>
      </w:r>
      <w:r>
        <w:t xml:space="preserve">that CNS involvement in FL </w:t>
      </w:r>
      <w:r w:rsidR="00B541A9">
        <w:t xml:space="preserve">was </w:t>
      </w:r>
      <w:r>
        <w:t xml:space="preserve">a very rare occurrence, and that it would not be clinically justified or fair to exclude those patients. </w:t>
      </w:r>
      <w:r w:rsidR="000B22B0">
        <w:t xml:space="preserve">However, MSAC noted that the study criteria for ZUMA-5 specified “Individual has no known presence or history of central nervous system (CNS) involvement by lymphoma”. </w:t>
      </w:r>
      <w:r w:rsidR="175E98EA">
        <w:t>MSAC further noted that the Australian</w:t>
      </w:r>
      <w:r w:rsidR="2142EB70">
        <w:t xml:space="preserve"> Register of Therapeutic Goods</w:t>
      </w:r>
      <w:r w:rsidR="175E98EA">
        <w:t xml:space="preserve"> </w:t>
      </w:r>
      <w:r w:rsidR="135E11AB">
        <w:t>(</w:t>
      </w:r>
      <w:r w:rsidR="175E98EA">
        <w:t>ARTG</w:t>
      </w:r>
      <w:r w:rsidR="70011FA4">
        <w:t>)</w:t>
      </w:r>
      <w:r w:rsidR="175E98EA">
        <w:t xml:space="preserve"> indication</w:t>
      </w:r>
      <w:r w:rsidR="01A28E93">
        <w:t xml:space="preserve"> for AXI</w:t>
      </w:r>
      <w:r w:rsidR="175E98EA">
        <w:t xml:space="preserve"> </w:t>
      </w:r>
      <w:r w:rsidR="63A3F88C">
        <w:t>for LBCL</w:t>
      </w:r>
      <w:r w:rsidR="175E98EA">
        <w:t xml:space="preserve"> states that </w:t>
      </w:r>
      <w:r w:rsidR="33588EB7">
        <w:t xml:space="preserve">it </w:t>
      </w:r>
      <w:r w:rsidR="175E98EA">
        <w:t>is not indicated for patients with primary central nervous system lymphoma.</w:t>
      </w:r>
      <w:r w:rsidR="000B22B0">
        <w:t xml:space="preserve"> Therefore, MSAC agreed with ESC’s proposed change to ensure alignment between the study and funding eligibility criteria</w:t>
      </w:r>
      <w:r w:rsidR="59394267">
        <w:t xml:space="preserve"> as well as the ARTG indication</w:t>
      </w:r>
      <w:r w:rsidR="000B22B0">
        <w:t xml:space="preserve">. </w:t>
      </w:r>
      <w:r w:rsidR="0019712B">
        <w:t xml:space="preserve">MSAC noted </w:t>
      </w:r>
      <w:r w:rsidR="00A6375F">
        <w:t>as per current practice, the proposed technology would be delivered in selected tertiary hospital treatment centres that specialised in delivery of CAR T-cell therapy</w:t>
      </w:r>
      <w:r w:rsidR="00FC57DB">
        <w:t>,</w:t>
      </w:r>
      <w:r w:rsidR="00A6375F">
        <w:t xml:space="preserve"> and</w:t>
      </w:r>
      <w:r w:rsidR="005F28A3">
        <w:t xml:space="preserve"> therefore</w:t>
      </w:r>
      <w:r w:rsidR="00A6375F">
        <w:t xml:space="preserve"> require</w:t>
      </w:r>
      <w:r w:rsidR="005A282A">
        <w:t>d</w:t>
      </w:r>
      <w:r w:rsidR="00A6375F">
        <w:t xml:space="preserve"> jurisdictional support</w:t>
      </w:r>
      <w:r w:rsidR="005A282A">
        <w:t>.</w:t>
      </w:r>
    </w:p>
    <w:p w14:paraId="14DA17C3" w14:textId="26709EA0" w:rsidR="00934655" w:rsidRDefault="00934655" w:rsidP="00934655">
      <w:r>
        <w:t xml:space="preserve">MSAC </w:t>
      </w:r>
      <w:r w:rsidR="0A5AA8F3">
        <w:t xml:space="preserve">advised </w:t>
      </w:r>
      <w:r>
        <w:t>that payment should be made on successful infusion, in line with other CAR-T therapies. MSAC considered whether AXI should be restricted to once per lifetime per patient, or once per lifetime for treatment of FL</w:t>
      </w:r>
      <w:r w:rsidR="645FED0B">
        <w:t xml:space="preserve">, noting </w:t>
      </w:r>
      <w:r>
        <w:t xml:space="preserve">that FL can transform to other lymphomas and AXI is currently funded for DLBCL. MSAC </w:t>
      </w:r>
      <w:r w:rsidR="00C2659B">
        <w:t>queried</w:t>
      </w:r>
      <w:r w:rsidR="00A30A99">
        <w:t xml:space="preserve"> </w:t>
      </w:r>
      <w:r w:rsidR="00371C26">
        <w:t xml:space="preserve">how </w:t>
      </w:r>
      <w:r w:rsidR="00135706">
        <w:t xml:space="preserve">the states and territories </w:t>
      </w:r>
      <w:r w:rsidR="00371C26">
        <w:t xml:space="preserve">managed </w:t>
      </w:r>
      <w:r w:rsidR="004E0AFC">
        <w:t xml:space="preserve">the restrictions </w:t>
      </w:r>
      <w:r w:rsidR="00371C26">
        <w:t>in current clinical practice</w:t>
      </w:r>
      <w:r w:rsidR="2FB06A38">
        <w:t>,</w:t>
      </w:r>
      <w:r w:rsidR="00371C26">
        <w:t xml:space="preserve"> but </w:t>
      </w:r>
      <w:r>
        <w:t xml:space="preserve">considered this </w:t>
      </w:r>
      <w:r w:rsidR="00697969">
        <w:t>was</w:t>
      </w:r>
      <w:r>
        <w:t xml:space="preserve"> an area of uncertainty that could be in scope for the planned review of AXI</w:t>
      </w:r>
      <w:r w:rsidR="00D47CEC">
        <w:t xml:space="preserve"> for DLBCL</w:t>
      </w:r>
      <w:r>
        <w:t>.</w:t>
      </w:r>
    </w:p>
    <w:p w14:paraId="3CFB73AC" w14:textId="504E2CD2" w:rsidR="00AF79C7" w:rsidRPr="00B33124" w:rsidRDefault="00934655" w:rsidP="4301A71C">
      <w:r>
        <w:t>MSAC noted the clinical management algorithm</w:t>
      </w:r>
      <w:r w:rsidR="00B444B1">
        <w:t>s. In the current management</w:t>
      </w:r>
      <w:r w:rsidR="3E3C6B62">
        <w:t xml:space="preserve"> algorithm</w:t>
      </w:r>
      <w:r w:rsidR="003909F8">
        <w:t>,</w:t>
      </w:r>
      <w:r w:rsidR="0011438C">
        <w:t xml:space="preserve"> </w:t>
      </w:r>
      <w:r w:rsidR="00791104">
        <w:t>patients diagnosed with F</w:t>
      </w:r>
      <w:r w:rsidR="127BF0EF">
        <w:t>L</w:t>
      </w:r>
      <w:r w:rsidR="00731CC2">
        <w:t xml:space="preserve"> who </w:t>
      </w:r>
      <w:r w:rsidR="00D562D0">
        <w:t>wer</w:t>
      </w:r>
      <w:r w:rsidR="00731CC2">
        <w:t xml:space="preserve">e </w:t>
      </w:r>
      <w:r w:rsidR="0069086F">
        <w:t>asymptomatic</w:t>
      </w:r>
      <w:r w:rsidR="00731CC2">
        <w:t xml:space="preserve"> or ha</w:t>
      </w:r>
      <w:r w:rsidR="00D562D0">
        <w:t>d</w:t>
      </w:r>
      <w:r w:rsidR="007D4257">
        <w:t xml:space="preserve"> low tumour burden </w:t>
      </w:r>
      <w:r w:rsidR="00D562D0">
        <w:t>wer</w:t>
      </w:r>
      <w:r w:rsidR="007D4257">
        <w:t xml:space="preserve">e often </w:t>
      </w:r>
      <w:r w:rsidR="63424339">
        <w:t xml:space="preserve">not </w:t>
      </w:r>
      <w:r w:rsidR="008F7093">
        <w:t xml:space="preserve">treated </w:t>
      </w:r>
      <w:r w:rsidR="7FC3E7FF">
        <w:t>and kept under</w:t>
      </w:r>
      <w:r w:rsidR="008F7093">
        <w:t xml:space="preserve"> </w:t>
      </w:r>
      <w:r w:rsidR="007D4257">
        <w:t>observ</w:t>
      </w:r>
      <w:r w:rsidR="14FCCC6A">
        <w:t>ation</w:t>
      </w:r>
      <w:r w:rsidR="005D6D87">
        <w:t>. If</w:t>
      </w:r>
      <w:r w:rsidR="007D4257">
        <w:t xml:space="preserve"> disease progresse</w:t>
      </w:r>
      <w:r w:rsidR="003909F8">
        <w:t>d</w:t>
      </w:r>
      <w:r w:rsidR="005D6D87">
        <w:t xml:space="preserve"> and patients </w:t>
      </w:r>
      <w:r w:rsidR="003909F8">
        <w:t>we</w:t>
      </w:r>
      <w:r w:rsidR="005D6D87">
        <w:t>re a</w:t>
      </w:r>
      <w:r w:rsidR="00281A47">
        <w:t>b</w:t>
      </w:r>
      <w:r w:rsidR="005D6D87">
        <w:t>le to tolerate</w:t>
      </w:r>
      <w:r w:rsidR="00281A47">
        <w:t xml:space="preserve"> active treatment,</w:t>
      </w:r>
      <w:r w:rsidR="00D562D0">
        <w:t xml:space="preserve"> </w:t>
      </w:r>
      <w:r w:rsidR="00CE3721">
        <w:t xml:space="preserve">a range of </w:t>
      </w:r>
      <w:r w:rsidR="293C4E80">
        <w:t xml:space="preserve">SOC </w:t>
      </w:r>
      <w:r w:rsidR="00CE3721">
        <w:t>options were available</w:t>
      </w:r>
      <w:r w:rsidR="008F08BE">
        <w:t>. MSAC</w:t>
      </w:r>
      <w:r>
        <w:t xml:space="preserve"> considered that the </w:t>
      </w:r>
      <w:r w:rsidR="00CD093D">
        <w:t xml:space="preserve">proposed </w:t>
      </w:r>
      <w:r>
        <w:t>comparator (SOC, represented by a basket of PBS-funded therapies) was appropriate.</w:t>
      </w:r>
      <w:r w:rsidR="00E55FF6">
        <w:t xml:space="preserve"> MSAC noted AXI was to be used as </w:t>
      </w:r>
      <w:r w:rsidR="008F2FF4">
        <w:t>a 3L therapy in the proposed clinical algorithm</w:t>
      </w:r>
      <w:r w:rsidR="6BCCBD17">
        <w:t>,</w:t>
      </w:r>
      <w:r w:rsidR="008F2FF4">
        <w:t xml:space="preserve"> and</w:t>
      </w:r>
      <w:r w:rsidR="2AEC99FD">
        <w:t xml:space="preserve"> that</w:t>
      </w:r>
      <w:r w:rsidR="008F2FF4">
        <w:t xml:space="preserve"> it was unlikely that AXI would completely replace SOC due to </w:t>
      </w:r>
      <w:r w:rsidR="23930CE7">
        <w:t>factors</w:t>
      </w:r>
      <w:r w:rsidR="008F2FF4">
        <w:t xml:space="preserve"> including </w:t>
      </w:r>
      <w:r w:rsidR="00B33124">
        <w:t xml:space="preserve">failure of leukapheresis, </w:t>
      </w:r>
      <w:r w:rsidR="007271CC">
        <w:t xml:space="preserve">patient </w:t>
      </w:r>
      <w:r w:rsidR="00B33124">
        <w:t>preference</w:t>
      </w:r>
      <w:r w:rsidR="007271CC">
        <w:t xml:space="preserve"> and</w:t>
      </w:r>
      <w:r w:rsidR="00B33124">
        <w:t xml:space="preserve"> access</w:t>
      </w:r>
      <w:r w:rsidR="006848AE">
        <w:t xml:space="preserve"> to </w:t>
      </w:r>
      <w:r w:rsidR="002064CE">
        <w:t>therapy</w:t>
      </w:r>
      <w:r w:rsidR="00D06F13">
        <w:t xml:space="preserve">. </w:t>
      </w:r>
      <w:r w:rsidR="00D35C57">
        <w:t>Additionally,</w:t>
      </w:r>
      <w:r w:rsidR="00C27749">
        <w:t xml:space="preserve"> MSAC noted ESC’s advice </w:t>
      </w:r>
      <w:r w:rsidR="006329F6">
        <w:t>that bispecific antibody therapy</w:t>
      </w:r>
      <w:r w:rsidR="00D34A74">
        <w:t xml:space="preserve"> </w:t>
      </w:r>
      <w:r w:rsidR="006329F6">
        <w:t>was on the horizon for the treatment of FL</w:t>
      </w:r>
      <w:r w:rsidR="6174006D">
        <w:t xml:space="preserve">, </w:t>
      </w:r>
      <w:r w:rsidR="00282223">
        <w:t>and that the</w:t>
      </w:r>
      <w:r w:rsidR="00233E8D">
        <w:t xml:space="preserve"> choice and position of CAR-T versus bispecific antibodies in the clinical management of patients was unclear.</w:t>
      </w:r>
      <w:r w:rsidR="00D86CA3">
        <w:t xml:space="preserve"> MSAC also noted</w:t>
      </w:r>
      <w:r w:rsidR="74EC0836">
        <w:t xml:space="preserve"> that</w:t>
      </w:r>
      <w:r w:rsidR="00D86CA3">
        <w:t xml:space="preserve"> </w:t>
      </w:r>
      <w:r w:rsidR="00275AE1">
        <w:t xml:space="preserve">the role of </w:t>
      </w:r>
      <w:r w:rsidR="00CA3178">
        <w:t>stem</w:t>
      </w:r>
      <w:r w:rsidR="00275AE1">
        <w:t xml:space="preserve"> cell transplant (SCT) in post CAR-T F</w:t>
      </w:r>
      <w:r w:rsidR="65A6A348">
        <w:t>L</w:t>
      </w:r>
      <w:r w:rsidR="00275AE1">
        <w:t xml:space="preserve"> </w:t>
      </w:r>
      <w:r w:rsidR="00CA3178">
        <w:t xml:space="preserve">treatment </w:t>
      </w:r>
      <w:r w:rsidR="00275AE1">
        <w:t>remain</w:t>
      </w:r>
      <w:r w:rsidR="00CA3178">
        <w:t>ed</w:t>
      </w:r>
      <w:r w:rsidR="00275AE1">
        <w:t xml:space="preserve"> uncertain</w:t>
      </w:r>
      <w:r w:rsidR="003302F3">
        <w:t>.</w:t>
      </w:r>
    </w:p>
    <w:p w14:paraId="3F13EEC5" w14:textId="1950EAD8" w:rsidR="00934655" w:rsidRDefault="00934655" w:rsidP="00934655">
      <w:r>
        <w:t>MSAC</w:t>
      </w:r>
      <w:r w:rsidRPr="003E7377">
        <w:t xml:space="preserve"> noted the pivotal clinical study (ZUMA-5) was a single-arm, multicentre, </w:t>
      </w:r>
      <w:r>
        <w:t>p</w:t>
      </w:r>
      <w:r w:rsidRPr="003E7377">
        <w:t>hase</w:t>
      </w:r>
      <w:r>
        <w:t> 2</w:t>
      </w:r>
      <w:r w:rsidRPr="003E7377">
        <w:t xml:space="preserve"> study involving 127 patients with indolent FL who had </w:t>
      </w:r>
      <w:r>
        <w:t>r/r</w:t>
      </w:r>
      <w:r w:rsidRPr="003E7377">
        <w:t xml:space="preserve"> disease after two or more lines of therapy. Clinical endpoints were measured at 12 months and 48 months, and efficacy was compared to the SCHOLAR-5 study (a retrospective cohort study using SOC) at 18 months and 48 months.</w:t>
      </w:r>
      <w:r>
        <w:t xml:space="preserve"> </w:t>
      </w:r>
      <w:r w:rsidRPr="00653911">
        <w:t xml:space="preserve">For </w:t>
      </w:r>
      <w:r w:rsidRPr="00653911">
        <w:lastRenderedPageBreak/>
        <w:t>the primary analysis (18-month follow-up), the overall response rate was 94% in patients who received AXI, compared with 50% in patients who received SOC. For the updated analysis (48</w:t>
      </w:r>
      <w:r w:rsidR="2168C733" w:rsidRPr="00653911">
        <w:t>-</w:t>
      </w:r>
      <w:r>
        <w:noBreakHyphen/>
      </w:r>
      <w:r w:rsidRPr="00653911">
        <w:t>month follow-up), the overall response rate was 94% (AXI arm) compared with 54% (SOC arm). Kaplan–Meier curves also showed substantial differences in progression-free survival (PFS) and overall survival (OS).</w:t>
      </w:r>
    </w:p>
    <w:p w14:paraId="7ABBC5D1" w14:textId="00D39B6B" w:rsidR="00934655" w:rsidRDefault="00DF29CD" w:rsidP="00934655">
      <w:r>
        <w:t>MSAC acknowledged the improvement in PFS following treatment with AXI compared to SOC, as shown by the early and sustained separation of data points in the Kaplan–Meier curve over 60 months. However, given that FL is a condition that progresses slowly, MSAC concluded that longer-term follow-up data were required to be able to adequately assess any survival benefit. MSAC acknowledged that other CAR-T therapies had been recommended for public funding without longer-term follow-up data, but that these were for indications that progress more rapidly than r/r FL.</w:t>
      </w:r>
      <w:r w:rsidR="00070B48">
        <w:t xml:space="preserve"> </w:t>
      </w:r>
      <w:r w:rsidR="00934655">
        <w:t xml:space="preserve">Overall, MSAC concluded that the clinical claim that AXI had superior effectiveness compared to SOC for the treatment of r/r FL in the 3L setting was reasonable but </w:t>
      </w:r>
      <w:r w:rsidR="001D233D">
        <w:t xml:space="preserve">the magnitude of benefit was </w:t>
      </w:r>
      <w:r w:rsidR="00934655">
        <w:t>highly uncertain due to low-</w:t>
      </w:r>
      <w:r w:rsidR="3DA34113">
        <w:t xml:space="preserve">certainty </w:t>
      </w:r>
      <w:r w:rsidR="00934655">
        <w:t>evidence</w:t>
      </w:r>
      <w:r w:rsidR="00964F11">
        <w:t>,</w:t>
      </w:r>
      <w:r w:rsidR="00934655">
        <w:t xml:space="preserve">  indirect comparisons</w:t>
      </w:r>
      <w:r w:rsidR="00A91814">
        <w:t xml:space="preserve"> </w:t>
      </w:r>
      <w:r w:rsidR="00E94E3E">
        <w:t>with transitivity, methodological and transparency issues</w:t>
      </w:r>
      <w:r w:rsidR="00934655">
        <w:t xml:space="preserve">, </w:t>
      </w:r>
      <w:r w:rsidR="00964F11">
        <w:t xml:space="preserve">high risk of bias in both the ZUMA-5 and SCHOLAR-5 studies, </w:t>
      </w:r>
      <w:r w:rsidR="00934655">
        <w:t xml:space="preserve">and the </w:t>
      </w:r>
      <w:r w:rsidR="007B2E68">
        <w:t xml:space="preserve">use of </w:t>
      </w:r>
      <w:r w:rsidR="00F83720">
        <w:t xml:space="preserve">a </w:t>
      </w:r>
      <w:r w:rsidR="00934655">
        <w:t>historical and retrospective comparator.</w:t>
      </w:r>
    </w:p>
    <w:p w14:paraId="073EDA6D" w14:textId="3409E89E" w:rsidR="00934655" w:rsidRDefault="17C4A2C0" w:rsidP="00934655">
      <w:r>
        <w:t xml:space="preserve">Regarding </w:t>
      </w:r>
      <w:r w:rsidR="50BC98CE">
        <w:t xml:space="preserve">comparative </w:t>
      </w:r>
      <w:r>
        <w:t xml:space="preserve">safety, MSAC noted that the ZUMA-5 study data (48-month follow-up) indicated that adverse events were </w:t>
      </w:r>
      <w:proofErr w:type="gramStart"/>
      <w:r>
        <w:t>similar to</w:t>
      </w:r>
      <w:proofErr w:type="gramEnd"/>
      <w:r>
        <w:t xml:space="preserve"> those seen following AXI treatment for other indications, and similar to other CAR-T therapies. </w:t>
      </w:r>
      <w:r w:rsidR="641D7350">
        <w:t xml:space="preserve">MSAC noted </w:t>
      </w:r>
      <w:r w:rsidR="08FD198B">
        <w:t xml:space="preserve">that </w:t>
      </w:r>
      <w:r w:rsidR="641D7350">
        <w:t xml:space="preserve">in </w:t>
      </w:r>
      <w:r w:rsidR="370F6D45">
        <w:t xml:space="preserve">the </w:t>
      </w:r>
      <w:r w:rsidR="641D7350">
        <w:t>ZUMA-5 study</w:t>
      </w:r>
      <w:r w:rsidR="7E939CD4">
        <w:t>,</w:t>
      </w:r>
      <w:r w:rsidR="641D7350">
        <w:t xml:space="preserve"> </w:t>
      </w:r>
      <w:r w:rsidR="552D2BEB">
        <w:t xml:space="preserve">99% </w:t>
      </w:r>
      <w:r w:rsidR="6C197DA4">
        <w:t xml:space="preserve">of </w:t>
      </w:r>
      <w:r w:rsidR="552D2BEB">
        <w:t xml:space="preserve">patients experienced </w:t>
      </w:r>
      <w:r w:rsidR="7E8EC7B2">
        <w:t>treatment emergent adverse events (</w:t>
      </w:r>
      <w:r w:rsidR="552D2BEB">
        <w:t>TEAE</w:t>
      </w:r>
      <w:r w:rsidR="7E8EC7B2">
        <w:t>)</w:t>
      </w:r>
      <w:r w:rsidR="59A9A525">
        <w:t xml:space="preserve"> and out of th</w:t>
      </w:r>
      <w:r w:rsidR="4A3C54C7">
        <w:t>o</w:t>
      </w:r>
      <w:r w:rsidR="59A9A525">
        <w:t xml:space="preserve">se 86% of patients </w:t>
      </w:r>
      <w:r w:rsidR="746D0C91">
        <w:t xml:space="preserve">experienced a </w:t>
      </w:r>
      <w:r w:rsidR="32FF8F00">
        <w:t xml:space="preserve">Grade 3 or higher </w:t>
      </w:r>
      <w:r w:rsidR="59A9A525">
        <w:t xml:space="preserve">TEAE, and 52% </w:t>
      </w:r>
      <w:r w:rsidR="746D0C91">
        <w:t>of patients</w:t>
      </w:r>
      <w:r w:rsidR="2B64740C">
        <w:t xml:space="preserve"> </w:t>
      </w:r>
      <w:r w:rsidR="074F63CF">
        <w:t>experienced</w:t>
      </w:r>
      <w:r w:rsidR="59A9A525">
        <w:t xml:space="preserve"> at least one serious TEAE. </w:t>
      </w:r>
      <w:r w:rsidR="27745AFF">
        <w:t>Furthermore</w:t>
      </w:r>
      <w:r w:rsidR="4974E192">
        <w:t>,</w:t>
      </w:r>
      <w:r w:rsidR="5B981DB2">
        <w:t xml:space="preserve"> significant </w:t>
      </w:r>
      <w:r w:rsidR="7FA2D3DD">
        <w:t xml:space="preserve">side </w:t>
      </w:r>
      <w:r w:rsidR="62AC19FB">
        <w:t xml:space="preserve">effects such as </w:t>
      </w:r>
      <w:r w:rsidR="69A00DAC" w:rsidRPr="132E0B0E">
        <w:rPr>
          <w:rFonts w:eastAsia="Calibri" w:cs="Calibri"/>
          <w:color w:val="000000" w:themeColor="text1"/>
        </w:rPr>
        <w:t>c</w:t>
      </w:r>
      <w:r w:rsidR="27745AFF">
        <w:t xml:space="preserve">ytokine release syndrome (78%), any neurological event (56%), cytopenia (73%), infection (56%), and </w:t>
      </w:r>
      <w:proofErr w:type="spellStart"/>
      <w:r w:rsidR="27745AFF">
        <w:t>hypogammaglobulinaemia</w:t>
      </w:r>
      <w:proofErr w:type="spellEnd"/>
      <w:r w:rsidR="27745AFF">
        <w:t xml:space="preserve"> (20%)</w:t>
      </w:r>
      <w:r w:rsidR="4D3AC08F">
        <w:t xml:space="preserve"> were </w:t>
      </w:r>
      <w:r w:rsidR="10975AAE">
        <w:t>seen in patients treated with AXI.</w:t>
      </w:r>
      <w:r w:rsidR="59A9A525">
        <w:t xml:space="preserve"> </w:t>
      </w:r>
      <w:r w:rsidR="396A30BD">
        <w:t xml:space="preserve">MSAC concluded that the claim </w:t>
      </w:r>
      <w:r w:rsidR="34A71EE1">
        <w:t>that</w:t>
      </w:r>
      <w:r w:rsidR="58EFE6D2">
        <w:t xml:space="preserve"> </w:t>
      </w:r>
      <w:r w:rsidR="396A30BD">
        <w:t xml:space="preserve">AXI </w:t>
      </w:r>
      <w:r w:rsidR="34A71EE1">
        <w:t xml:space="preserve">had inferior safety </w:t>
      </w:r>
      <w:r w:rsidR="396A30BD">
        <w:t xml:space="preserve">compared with SOC was likely </w:t>
      </w:r>
      <w:proofErr w:type="gramStart"/>
      <w:r w:rsidR="396A30BD">
        <w:t>reasonable, but</w:t>
      </w:r>
      <w:proofErr w:type="gramEnd"/>
      <w:r>
        <w:t xml:space="preserve"> noted that comparative safety of AXI versus SOC was based on naive comparisons of various clinical studies with a high risk of bias, and the limited and low-</w:t>
      </w:r>
      <w:r w:rsidR="269C4767">
        <w:t xml:space="preserve">certainty </w:t>
      </w:r>
      <w:r>
        <w:t xml:space="preserve">data resulted in </w:t>
      </w:r>
      <w:r w:rsidR="68018D10">
        <w:t xml:space="preserve">overall </w:t>
      </w:r>
      <w:r>
        <w:t>uncertainty.</w:t>
      </w:r>
    </w:p>
    <w:p w14:paraId="016837A3" w14:textId="2C19460A" w:rsidR="00934655" w:rsidRPr="007D095B" w:rsidRDefault="00934655" w:rsidP="00934655">
      <w:r>
        <w:t>For the economic evaluation, MSAC noted that the ADAR presented a cost-utility analysis examining the cost-effectiveness of AXI versus SOC for the treatment of patients with r/r FL after two or more lines of systemic therapy. The analysis was based on extrapolation of outcomes from ZUMA-5 and data from the propensity weighted SCHOLAR-5 analysis.</w:t>
      </w:r>
      <w:r w:rsidR="00E56887">
        <w:t xml:space="preserve"> </w:t>
      </w:r>
      <w:r>
        <w:t>The ADAR model</w:t>
      </w:r>
      <w:r w:rsidR="008D15DD">
        <w:t xml:space="preserve"> applied a cure assumption to the AXI arm at 5 years</w:t>
      </w:r>
      <w:r w:rsidR="00FF3FC2">
        <w:t xml:space="preserve">, </w:t>
      </w:r>
      <w:r>
        <w:t xml:space="preserve">at which </w:t>
      </w:r>
      <w:r w:rsidR="00264C9C">
        <w:t>point</w:t>
      </w:r>
      <w:r w:rsidR="00DF3E78">
        <w:t xml:space="preserve"> the survival of ‘cured’ patients was assumed to</w:t>
      </w:r>
      <w:r>
        <w:t xml:space="preserve"> match general population mortality, with a standardised mortality ratio </w:t>
      </w:r>
      <w:r w:rsidR="00264C9C">
        <w:t xml:space="preserve">(1.09) </w:t>
      </w:r>
      <w:r>
        <w:t xml:space="preserve">applied to model excess mortality. </w:t>
      </w:r>
      <w:r w:rsidR="00374D63">
        <w:t>MSAC noted the base case incremental cost-effectiveness ratio (ICER) of AXI compared to S</w:t>
      </w:r>
      <w:r w:rsidR="00B8682E">
        <w:t>O</w:t>
      </w:r>
      <w:r w:rsidR="00374D63">
        <w:t xml:space="preserve">C </w:t>
      </w:r>
      <w:r w:rsidR="00031AFF" w:rsidRPr="132E0B0E">
        <w:rPr>
          <w:b/>
          <w:bCs/>
        </w:rPr>
        <w:t>$Redacted</w:t>
      </w:r>
      <w:r w:rsidR="00374D63">
        <w:t>/quality-adjusted life year (QALY) gained</w:t>
      </w:r>
      <w:r w:rsidR="00EF5D30">
        <w:t>)</w:t>
      </w:r>
      <w:r w:rsidR="00374D63">
        <w:t xml:space="preserve">. </w:t>
      </w:r>
      <w:r>
        <w:t xml:space="preserve">MSAC noted </w:t>
      </w:r>
      <w:r w:rsidR="006704C0">
        <w:t xml:space="preserve">the sensitivity analysis </w:t>
      </w:r>
      <w:r>
        <w:t>that chang</w:t>
      </w:r>
      <w:r w:rsidR="0938993C">
        <w:t>ed</w:t>
      </w:r>
      <w:r>
        <w:t xml:space="preserve"> the cure point from 5 years to 10 years </w:t>
      </w:r>
      <w:r w:rsidR="00A253A4">
        <w:t>increased</w:t>
      </w:r>
      <w:r>
        <w:t xml:space="preserve"> the </w:t>
      </w:r>
      <w:r w:rsidR="00372B3C">
        <w:t xml:space="preserve">base case </w:t>
      </w:r>
      <w:r>
        <w:t xml:space="preserve">ICER to </w:t>
      </w:r>
      <w:r w:rsidR="00031AFF" w:rsidRPr="132E0B0E">
        <w:rPr>
          <w:b/>
          <w:bCs/>
        </w:rPr>
        <w:t>$Redacted</w:t>
      </w:r>
      <w:r>
        <w:t xml:space="preserve"> per QALY gained.</w:t>
      </w:r>
    </w:p>
    <w:p w14:paraId="162B2A28" w14:textId="4D041273" w:rsidR="00934655" w:rsidRDefault="00934655" w:rsidP="00934655">
      <w:r>
        <w:t xml:space="preserve">MSAC agreed with ESC that the 40% cure rate after 5 years of PFS in patients treated with AXI was not well supported by the evidence </w:t>
      </w:r>
      <w:r w:rsidR="006A5821">
        <w:t xml:space="preserve">presented </w:t>
      </w:r>
      <w:r>
        <w:t>in the ADAR. MSAC reiterated</w:t>
      </w:r>
      <w:r w:rsidR="1756C817">
        <w:t xml:space="preserve"> that,</w:t>
      </w:r>
      <w:r>
        <w:t xml:space="preserve"> </w:t>
      </w:r>
      <w:r w:rsidR="0023753D">
        <w:t xml:space="preserve">given </w:t>
      </w:r>
      <w:r>
        <w:t>that r/r FL is an indolent disease</w:t>
      </w:r>
      <w:r w:rsidR="2C4C678A">
        <w:t>,</w:t>
      </w:r>
      <w:r>
        <w:t xml:space="preserve"> </w:t>
      </w:r>
      <w:r w:rsidR="006F3D05" w:rsidRPr="132E0B0E">
        <w:rPr>
          <w:rFonts w:cs="Calibri"/>
        </w:rPr>
        <w:t>the duration of follow-up in the clinical study was insufficient to justify the modelled cure assumption</w:t>
      </w:r>
      <w:r w:rsidR="00A9388A" w:rsidRPr="132E0B0E">
        <w:rPr>
          <w:rFonts w:cs="Calibri"/>
        </w:rPr>
        <w:t xml:space="preserve">. </w:t>
      </w:r>
      <w:r w:rsidR="00A9388A">
        <w:t>MSAC</w:t>
      </w:r>
      <w:r>
        <w:t xml:space="preserve"> agreed with ESC that there </w:t>
      </w:r>
      <w:r w:rsidR="00F07A3F">
        <w:t xml:space="preserve">was a </w:t>
      </w:r>
      <w:r>
        <w:t xml:space="preserve">need </w:t>
      </w:r>
      <w:r w:rsidR="00791EF7">
        <w:t>to consider</w:t>
      </w:r>
      <w:r>
        <w:t xml:space="preserve"> a long</w:t>
      </w:r>
      <w:r w:rsidR="00EF6D40">
        <w:t>er</w:t>
      </w:r>
      <w:r>
        <w:t xml:space="preserve"> period of remission for FL (at least 10 years, given that some patients relapse at 10 years) before </w:t>
      </w:r>
      <w:r w:rsidR="0098023A">
        <w:t xml:space="preserve">assuming </w:t>
      </w:r>
      <w:r>
        <w:t xml:space="preserve">that a patient with r/r FL may be cured. MSAC </w:t>
      </w:r>
      <w:r w:rsidR="003E0DA7">
        <w:t>recalled</w:t>
      </w:r>
      <w:r>
        <w:t xml:space="preserve"> that </w:t>
      </w:r>
      <w:r w:rsidR="003E0DA7">
        <w:t>in</w:t>
      </w:r>
      <w:r>
        <w:t xml:space="preserve"> previous recommendations for other CAR-T therapies</w:t>
      </w:r>
      <w:r w:rsidR="003E0DA7">
        <w:t>, MSAC</w:t>
      </w:r>
      <w:r>
        <w:t xml:space="preserve"> had consistently expressed concern regarding the uncertainty of modelling cure and had not explicitly accepted the ICERs as cost-effective. MSAC agreed with ESC that the cure assumption should be removed from the base case model, and the model should take a new approach</w:t>
      </w:r>
      <w:r w:rsidR="00C32593">
        <w:t>, for example, with a</w:t>
      </w:r>
      <w:r>
        <w:t xml:space="preserve"> focus on PFS gains instead.</w:t>
      </w:r>
    </w:p>
    <w:p w14:paraId="09E645E2" w14:textId="782AA74C" w:rsidR="00740730" w:rsidRDefault="00934655" w:rsidP="00934655">
      <w:r>
        <w:lastRenderedPageBreak/>
        <w:t xml:space="preserve">MSAC </w:t>
      </w:r>
      <w:r w:rsidR="00C600E9">
        <w:t xml:space="preserve">agreed with </w:t>
      </w:r>
      <w:r w:rsidR="00890217">
        <w:t>ESC</w:t>
      </w:r>
      <w:r w:rsidR="00C600E9">
        <w:t xml:space="preserve"> that</w:t>
      </w:r>
      <w:r w:rsidR="00890217">
        <w:t xml:space="preserve"> </w:t>
      </w:r>
      <w:r>
        <w:t xml:space="preserve">the proposed price of </w:t>
      </w:r>
      <w:r w:rsidR="00031AFF" w:rsidRPr="132E0B0E">
        <w:rPr>
          <w:b/>
          <w:bCs/>
        </w:rPr>
        <w:t>$Redacted</w:t>
      </w:r>
      <w:r w:rsidR="00441A54">
        <w:t xml:space="preserve"> </w:t>
      </w:r>
      <w:r w:rsidR="00C600E9">
        <w:t xml:space="preserve">for AXI </w:t>
      </w:r>
      <w:r>
        <w:t>was not justified based on the ICER and the uncertainty in the economic model. In addition, MSAC did not consider that the uncertainties regarding OS and cure assumption could be mitigated by a price reduction alone.</w:t>
      </w:r>
    </w:p>
    <w:p w14:paraId="10FCEE04" w14:textId="77F84119" w:rsidR="00934655" w:rsidRDefault="00365BC9" w:rsidP="00934655">
      <w:r w:rsidRPr="132E0B0E">
        <w:rPr>
          <w:rFonts w:cs="Calibri"/>
        </w:rPr>
        <w:t xml:space="preserve">MSAC considered the financial impact was highly uncertain due to uncertainty in the estimated utilisation, adjunctive hospital costs being </w:t>
      </w:r>
      <w:proofErr w:type="gramStart"/>
      <w:r w:rsidRPr="132E0B0E">
        <w:rPr>
          <w:rFonts w:cs="Calibri"/>
        </w:rPr>
        <w:t>underestimated</w:t>
      </w:r>
      <w:proofErr w:type="gramEnd"/>
      <w:r w:rsidRPr="132E0B0E">
        <w:rPr>
          <w:rFonts w:cs="Calibri"/>
        </w:rPr>
        <w:t xml:space="preserve"> and potential cost-savings being overestimated.</w:t>
      </w:r>
    </w:p>
    <w:p w14:paraId="5243D83F" w14:textId="5A95E608" w:rsidR="00934655" w:rsidRDefault="00934655" w:rsidP="00934655">
      <w:r>
        <w:t xml:space="preserve">Overall, MSAC did not support public funding for AXI for patients with r/r FL due to the high level of clinical, </w:t>
      </w:r>
      <w:proofErr w:type="gramStart"/>
      <w:r>
        <w:t>economic</w:t>
      </w:r>
      <w:proofErr w:type="gramEnd"/>
      <w:r>
        <w:t xml:space="preserve"> and financial uncertainty. </w:t>
      </w:r>
      <w:r w:rsidR="007A4279">
        <w:t>MSAC considered a</w:t>
      </w:r>
      <w:r>
        <w:t xml:space="preserve">ny </w:t>
      </w:r>
      <w:r w:rsidR="007A4279">
        <w:t xml:space="preserve">future </w:t>
      </w:r>
      <w:r w:rsidR="00544EA4">
        <w:t xml:space="preserve">re-application </w:t>
      </w:r>
      <w:r w:rsidR="00527565">
        <w:t xml:space="preserve">would require </w:t>
      </w:r>
      <w:r>
        <w:t>longer-term follow-up data</w:t>
      </w:r>
      <w:r w:rsidR="00E048B1">
        <w:t xml:space="preserve"> o</w:t>
      </w:r>
      <w:r w:rsidR="00E048B1" w:rsidRPr="132E0B0E">
        <w:rPr>
          <w:rFonts w:cs="Calibri"/>
        </w:rPr>
        <w:t>r</w:t>
      </w:r>
      <w:r w:rsidR="75C0BFC2" w:rsidRPr="132E0B0E">
        <w:rPr>
          <w:rFonts w:cs="Calibri"/>
        </w:rPr>
        <w:t>,</w:t>
      </w:r>
      <w:r w:rsidR="00E048B1" w:rsidRPr="132E0B0E">
        <w:rPr>
          <w:rFonts w:cs="Calibri"/>
        </w:rPr>
        <w:t xml:space="preserve"> in the absence of </w:t>
      </w:r>
      <w:r w:rsidR="00527565" w:rsidRPr="132E0B0E">
        <w:rPr>
          <w:rFonts w:cs="Calibri"/>
        </w:rPr>
        <w:t>longer-term</w:t>
      </w:r>
      <w:r w:rsidR="00E048B1" w:rsidRPr="132E0B0E">
        <w:rPr>
          <w:rFonts w:cs="Calibri"/>
        </w:rPr>
        <w:t xml:space="preserve"> data</w:t>
      </w:r>
      <w:r w:rsidRPr="132E0B0E">
        <w:rPr>
          <w:rFonts w:cs="Calibri"/>
        </w:rPr>
        <w:t>,</w:t>
      </w:r>
      <w:r>
        <w:t xml:space="preserve"> an economic model that does not assume cure, and </w:t>
      </w:r>
      <w:r w:rsidR="00951704">
        <w:t xml:space="preserve">includes </w:t>
      </w:r>
      <w:r>
        <w:t>a reduced price for AXI.</w:t>
      </w:r>
      <w:r w:rsidR="06488ACF">
        <w:t xml:space="preserve"> MSAC further advised that any re</w:t>
      </w:r>
      <w:r w:rsidR="48EAF223">
        <w:t>-application</w:t>
      </w:r>
      <w:r w:rsidR="06488ACF">
        <w:t xml:space="preserve"> would require reconsideration by ESC.</w:t>
      </w:r>
    </w:p>
    <w:p w14:paraId="2FECAF08" w14:textId="7D2CA6D8" w:rsidR="002176CC" w:rsidRDefault="00934655" w:rsidP="00934655">
      <w:r>
        <w:t xml:space="preserve">MSAC reiterated the need for improved data from real-world experience with CAR-T therapies in the Australian health system. </w:t>
      </w:r>
      <w:r w:rsidR="00154964">
        <w:t xml:space="preserve">MSAC considered </w:t>
      </w:r>
      <w:r w:rsidR="625EF08C">
        <w:t xml:space="preserve">that </w:t>
      </w:r>
      <w:r>
        <w:t xml:space="preserve">data </w:t>
      </w:r>
      <w:r w:rsidR="18060412">
        <w:t>were</w:t>
      </w:r>
      <w:r>
        <w:t xml:space="preserve"> </w:t>
      </w:r>
      <w:r w:rsidR="00154964">
        <w:t>require</w:t>
      </w:r>
      <w:r w:rsidR="009E1B58">
        <w:t xml:space="preserve">d </w:t>
      </w:r>
      <w:r>
        <w:t xml:space="preserve">to be collected and available to inform </w:t>
      </w:r>
      <w:r w:rsidR="00481420">
        <w:t xml:space="preserve">costs and </w:t>
      </w:r>
      <w:r>
        <w:t xml:space="preserve">longer-term outcomes (including survival, </w:t>
      </w:r>
      <w:proofErr w:type="gramStart"/>
      <w:r>
        <w:t>cure</w:t>
      </w:r>
      <w:proofErr w:type="gramEnd"/>
      <w:r>
        <w:t xml:space="preserve"> and adverse events), as well as program implementation. </w:t>
      </w:r>
      <w:r w:rsidR="00DF1F1D">
        <w:t>MSAC considered t</w:t>
      </w:r>
      <w:r>
        <w:t xml:space="preserve">he planned review of AXI </w:t>
      </w:r>
      <w:r w:rsidR="00944339">
        <w:t xml:space="preserve">could </w:t>
      </w:r>
      <w:r>
        <w:t xml:space="preserve">also explore </w:t>
      </w:r>
      <w:r w:rsidR="008771AD">
        <w:t xml:space="preserve">any challenges associated </w:t>
      </w:r>
      <w:r w:rsidR="009A0129">
        <w:t>with</w:t>
      </w:r>
      <w:r w:rsidR="008771AD">
        <w:t xml:space="preserve"> the</w:t>
      </w:r>
      <w:r>
        <w:t xml:space="preserve"> integration of care </w:t>
      </w:r>
      <w:r w:rsidR="001C2858">
        <w:t xml:space="preserve">across </w:t>
      </w:r>
      <w:r>
        <w:t>clinical services.</w:t>
      </w:r>
      <w:r w:rsidR="00FE71FA">
        <w:t xml:space="preserve"> MSAC noted </w:t>
      </w:r>
      <w:r w:rsidR="00A14092">
        <w:t xml:space="preserve">equity issues due to </w:t>
      </w:r>
      <w:r w:rsidR="00C25786">
        <w:t>access to C</w:t>
      </w:r>
      <w:r w:rsidR="00F66E54">
        <w:t>AR</w:t>
      </w:r>
      <w:r w:rsidR="00C25786">
        <w:t xml:space="preserve">-T therapies </w:t>
      </w:r>
      <w:r w:rsidR="000B3BB7">
        <w:t>being</w:t>
      </w:r>
      <w:r w:rsidR="00C25786">
        <w:t xml:space="preserve"> </w:t>
      </w:r>
      <w:r w:rsidR="31A7B3E6">
        <w:t xml:space="preserve">primarily </w:t>
      </w:r>
      <w:r w:rsidR="00C25786">
        <w:t xml:space="preserve">limited to large hospitals located in the </w:t>
      </w:r>
      <w:r w:rsidR="009355D7">
        <w:t>Modified Monash Model 1 (MMM1) areas</w:t>
      </w:r>
      <w:r w:rsidR="000B3BB7">
        <w:t xml:space="preserve"> </w:t>
      </w:r>
      <w:r w:rsidR="001C6DDF">
        <w:t>for</w:t>
      </w:r>
      <w:r w:rsidR="000B3BB7">
        <w:t xml:space="preserve"> clinical reasons and considered</w:t>
      </w:r>
      <w:r w:rsidR="00E246AD">
        <w:t xml:space="preserve"> whether telehealth could facilitate post-discharge activities </w:t>
      </w:r>
      <w:r w:rsidR="005F4E30">
        <w:t>to</w:t>
      </w:r>
      <w:r w:rsidR="00E246AD">
        <w:t xml:space="preserve"> improve access.</w:t>
      </w:r>
    </w:p>
    <w:p w14:paraId="5B88F7FA" w14:textId="7AE75FBE" w:rsidR="00733E96" w:rsidRPr="00934655" w:rsidRDefault="00733E96" w:rsidP="00934655">
      <w:r>
        <w:t xml:space="preserve">MSAC noted </w:t>
      </w:r>
      <w:r w:rsidR="6AADDACC">
        <w:t>the recommendations for and against AXI reimbursement in international jurisdictions</w:t>
      </w:r>
      <w:r w:rsidR="363C6547">
        <w:t>.</w:t>
      </w:r>
    </w:p>
    <w:p w14:paraId="6710B69D" w14:textId="7B393DDB" w:rsidR="00772829" w:rsidRPr="00CE28E3" w:rsidRDefault="002176CC" w:rsidP="002A18BE">
      <w:pPr>
        <w:pStyle w:val="Heading2"/>
        <w:numPr>
          <w:ilvl w:val="0"/>
          <w:numId w:val="0"/>
        </w:numPr>
      </w:pPr>
      <w:bookmarkStart w:id="2" w:name="_Toc69491416"/>
      <w:bookmarkEnd w:id="1"/>
      <w:r>
        <w:t>4</w:t>
      </w:r>
      <w:r w:rsidR="00C36633">
        <w:t>.</w:t>
      </w:r>
      <w:r>
        <w:tab/>
      </w:r>
      <w:r w:rsidR="00772829">
        <w:t>Background</w:t>
      </w:r>
      <w:bookmarkEnd w:id="2"/>
    </w:p>
    <w:p w14:paraId="589E0A0C" w14:textId="6E7B1FC1" w:rsidR="00A0422A" w:rsidRPr="007A6775" w:rsidRDefault="00A0422A" w:rsidP="00850A36">
      <w:bookmarkStart w:id="3" w:name="_Hlk69734494"/>
      <w:r w:rsidRPr="00A0422A">
        <w:t xml:space="preserve">MSAC has not previously </w:t>
      </w:r>
      <w:r w:rsidRPr="007A6775">
        <w:t xml:space="preserve">considered AXI for the treatment of </w:t>
      </w:r>
      <w:r w:rsidR="004450CD">
        <w:t>r/r FL</w:t>
      </w:r>
      <w:r w:rsidRPr="007A6775">
        <w:t xml:space="preserve"> after two or more lines of systemic therapy</w:t>
      </w:r>
      <w:r w:rsidR="00506501">
        <w:t xml:space="preserve"> (i.e. </w:t>
      </w:r>
      <w:r w:rsidR="00B0C2EB">
        <w:t xml:space="preserve">in the </w:t>
      </w:r>
      <w:proofErr w:type="gramStart"/>
      <w:r w:rsidR="00506501">
        <w:t>third-line</w:t>
      </w:r>
      <w:proofErr w:type="gramEnd"/>
      <w:r w:rsidR="00506501">
        <w:t xml:space="preserve"> </w:t>
      </w:r>
      <w:r w:rsidR="00334D45">
        <w:t xml:space="preserve">(3L) </w:t>
      </w:r>
      <w:r w:rsidR="00506501">
        <w:t>setting</w:t>
      </w:r>
      <w:r w:rsidR="00BB42C0">
        <w:t xml:space="preserve"> or later</w:t>
      </w:r>
      <w:r w:rsidR="00506501">
        <w:t>)</w:t>
      </w:r>
      <w:r w:rsidRPr="007A6775">
        <w:t xml:space="preserve">. </w:t>
      </w:r>
    </w:p>
    <w:p w14:paraId="2810B9FE" w14:textId="23557C73" w:rsidR="00C14593" w:rsidRDefault="002518AD" w:rsidP="00850A36">
      <w:r w:rsidRPr="007A6775">
        <w:t xml:space="preserve">AXI is currently funded for the treatment of patients with r/r </w:t>
      </w:r>
      <w:r w:rsidR="00BE3036" w:rsidRPr="00BE3036">
        <w:t>CD19-positive Diffuse Large B Cell Lymphoma (DLBCL), Primary Mediastinal B Cell Lymphoma (PMBCL) and Transformed Follicular Lymphoma (TFL)</w:t>
      </w:r>
      <w:r w:rsidR="521FBA1B" w:rsidRPr="00BE3036">
        <w:t xml:space="preserve"> </w:t>
      </w:r>
      <w:r w:rsidRPr="007A6775">
        <w:t xml:space="preserve">in the </w:t>
      </w:r>
      <w:r w:rsidR="0BC30DD4">
        <w:t>3L</w:t>
      </w:r>
      <w:r w:rsidRPr="007A6775">
        <w:t xml:space="preserve"> setting under NHRA Commonwealth and State </w:t>
      </w:r>
      <w:r w:rsidR="00556845">
        <w:t xml:space="preserve">and Territory </w:t>
      </w:r>
      <w:r w:rsidRPr="007A6775">
        <w:t>shared funding arrangements</w:t>
      </w:r>
      <w:r w:rsidR="008F34AA">
        <w:t xml:space="preserve"> </w:t>
      </w:r>
      <w:r w:rsidR="00402C93">
        <w:t>(</w:t>
      </w:r>
      <w:r w:rsidR="005213E0" w:rsidRPr="009163A7">
        <w:t>MSAC application</w:t>
      </w:r>
      <w:r w:rsidR="72CBA522" w:rsidRPr="009163A7">
        <w:t xml:space="preserve"> </w:t>
      </w:r>
      <w:r w:rsidR="005213E0" w:rsidRPr="009163A7">
        <w:t>1587</w:t>
      </w:r>
      <w:r w:rsidR="005213E0">
        <w:rPr>
          <w:rStyle w:val="FootnoteReference"/>
        </w:rPr>
        <w:footnoteReference w:id="6"/>
      </w:r>
      <w:r w:rsidR="00402C93">
        <w:t>)</w:t>
      </w:r>
      <w:r w:rsidRPr="007A6775">
        <w:t xml:space="preserve">. </w:t>
      </w:r>
    </w:p>
    <w:p w14:paraId="3C40FA41" w14:textId="40DA2FDF" w:rsidR="002518AD" w:rsidRPr="002518AD" w:rsidRDefault="002518AD" w:rsidP="00850A36">
      <w:r w:rsidRPr="007A6775">
        <w:t xml:space="preserve">A re-application requesting public funding of AXI for the treatment </w:t>
      </w:r>
      <w:r w:rsidRPr="002518AD">
        <w:t xml:space="preserve">of r/r </w:t>
      </w:r>
      <w:r w:rsidR="000A385A" w:rsidRPr="000A385A">
        <w:t>large B-cell lymphoma (</w:t>
      </w:r>
      <w:r w:rsidRPr="002518AD">
        <w:t>LBCL</w:t>
      </w:r>
      <w:r w:rsidR="000A385A">
        <w:t>)</w:t>
      </w:r>
      <w:r w:rsidRPr="002518AD">
        <w:t xml:space="preserve"> in the </w:t>
      </w:r>
      <w:proofErr w:type="gramStart"/>
      <w:r w:rsidRPr="002518AD">
        <w:t>second-line</w:t>
      </w:r>
      <w:proofErr w:type="gramEnd"/>
      <w:r w:rsidRPr="002518AD">
        <w:t xml:space="preserve"> </w:t>
      </w:r>
      <w:r w:rsidR="00223AFA">
        <w:t xml:space="preserve">(2L) </w:t>
      </w:r>
      <w:r w:rsidRPr="002518AD">
        <w:t xml:space="preserve">setting was considered </w:t>
      </w:r>
      <w:r w:rsidR="00265B0E">
        <w:t xml:space="preserve">and supported </w:t>
      </w:r>
      <w:r w:rsidRPr="002518AD">
        <w:t>by MSAC at the April 2024 meeting</w:t>
      </w:r>
      <w:r w:rsidR="00687524">
        <w:t xml:space="preserve"> (</w:t>
      </w:r>
      <w:r w:rsidR="006B7290" w:rsidRPr="009163A7">
        <w:t>MSAC application 1722.1</w:t>
      </w:r>
      <w:r w:rsidR="006B7290">
        <w:rPr>
          <w:rStyle w:val="FootnoteReference"/>
        </w:rPr>
        <w:footnoteReference w:id="7"/>
      </w:r>
      <w:r w:rsidR="009F1220">
        <w:t>)</w:t>
      </w:r>
      <w:r w:rsidRPr="002518AD">
        <w:t>.</w:t>
      </w:r>
    </w:p>
    <w:p w14:paraId="6F52500A" w14:textId="4A8D16A8" w:rsidR="00772829" w:rsidRPr="00CE28E3" w:rsidRDefault="002176CC" w:rsidP="002A18BE">
      <w:pPr>
        <w:pStyle w:val="Heading2"/>
        <w:numPr>
          <w:ilvl w:val="0"/>
          <w:numId w:val="0"/>
        </w:numPr>
      </w:pPr>
      <w:bookmarkStart w:id="4" w:name="_Toc69491417"/>
      <w:bookmarkEnd w:id="3"/>
      <w:r>
        <w:t>5</w:t>
      </w:r>
      <w:r w:rsidR="00C36633">
        <w:t>.</w:t>
      </w:r>
      <w:r>
        <w:tab/>
      </w:r>
      <w:r w:rsidR="00772829">
        <w:t>Prerequisites to implementation of any funding advice</w:t>
      </w:r>
      <w:bookmarkEnd w:id="4"/>
    </w:p>
    <w:p w14:paraId="38E0062C" w14:textId="7F0E5BEC" w:rsidR="00151457" w:rsidRDefault="008C68C5" w:rsidP="00850A36">
      <w:r>
        <w:t>AXI</w:t>
      </w:r>
      <w:r w:rsidR="00151457">
        <w:t xml:space="preserve"> was first included on the</w:t>
      </w:r>
      <w:r w:rsidR="00DD5E23">
        <w:t xml:space="preserve"> Australian Register of Therapeutic Goods</w:t>
      </w:r>
      <w:r w:rsidR="00151457">
        <w:t xml:space="preserve"> </w:t>
      </w:r>
      <w:r w:rsidR="3F710C17">
        <w:t>(ARTG)</w:t>
      </w:r>
      <w:r w:rsidR="5891F6E1">
        <w:t xml:space="preserve"> </w:t>
      </w:r>
      <w:r w:rsidR="00151457">
        <w:t xml:space="preserve">on 11 February 2020 for </w:t>
      </w:r>
      <w:r w:rsidR="00713EEE">
        <w:t>r/r LBCL</w:t>
      </w:r>
      <w:r w:rsidR="00151457">
        <w:t xml:space="preserve"> (ARTG ID 329770). The indication was extended to include patients with </w:t>
      </w:r>
      <w:r w:rsidR="00B75AAC">
        <w:t>r/r FL</w:t>
      </w:r>
      <w:r w:rsidR="00151457">
        <w:t xml:space="preserve"> after two or more lines of systemic therapy on 12 December 2022 (ARTG ID 400895). </w:t>
      </w:r>
    </w:p>
    <w:p w14:paraId="21D6F44F" w14:textId="66437E93" w:rsidR="008B1752" w:rsidRDefault="008B1752" w:rsidP="00850A36">
      <w:r>
        <w:t>The approved ther</w:t>
      </w:r>
      <w:r w:rsidR="004C7E25">
        <w:t xml:space="preserve">apeutic indication for AXI </w:t>
      </w:r>
      <w:r w:rsidR="7A21ABB4">
        <w:t xml:space="preserve">is </w:t>
      </w:r>
      <w:r w:rsidR="00B6401E">
        <w:t xml:space="preserve">as follows: </w:t>
      </w:r>
    </w:p>
    <w:p w14:paraId="3CE92734" w14:textId="0CDA21A7" w:rsidR="00A66EFA" w:rsidRPr="00031AFF" w:rsidRDefault="05752370" w:rsidP="00850A36">
      <w:r>
        <w:t>YESCARTA</w:t>
      </w:r>
      <w:r w:rsidR="0399730C">
        <w:t>®</w:t>
      </w:r>
      <w:r>
        <w:t xml:space="preserve"> is a genetically modified autologous </w:t>
      </w:r>
      <w:proofErr w:type="spellStart"/>
      <w:r>
        <w:t>immunocellular</w:t>
      </w:r>
      <w:proofErr w:type="spellEnd"/>
      <w:r>
        <w:t xml:space="preserve"> therapy for the treatment of:</w:t>
      </w:r>
    </w:p>
    <w:p w14:paraId="6AFE25D1" w14:textId="19FEA18C" w:rsidR="00C82A00" w:rsidRPr="007D095B" w:rsidRDefault="00850A36" w:rsidP="00850A36">
      <w:pPr>
        <w:pStyle w:val="ListParagraph"/>
        <w:numPr>
          <w:ilvl w:val="0"/>
          <w:numId w:val="33"/>
        </w:numPr>
      </w:pPr>
      <w:bookmarkStart w:id="5" w:name="_Toc69491418"/>
      <w:r>
        <w:lastRenderedPageBreak/>
        <w:t>Large B-cell Lymphoma</w:t>
      </w:r>
    </w:p>
    <w:p w14:paraId="4DD5C5BF" w14:textId="6F5D57CC" w:rsidR="00850A36" w:rsidRPr="007D095B" w:rsidRDefault="00850A36" w:rsidP="00DE5372">
      <w:pPr>
        <w:pStyle w:val="ListParagraph"/>
        <w:numPr>
          <w:ilvl w:val="1"/>
          <w:numId w:val="33"/>
        </w:numPr>
      </w:pPr>
      <w:r>
        <w:t>Patients with relapsed or refractory large B-cell lymphoma (LBCL).</w:t>
      </w:r>
    </w:p>
    <w:p w14:paraId="1D100642" w14:textId="77777777" w:rsidR="00850A36" w:rsidRPr="007D095B" w:rsidRDefault="00850A36" w:rsidP="00DE5372">
      <w:pPr>
        <w:pStyle w:val="ListParagraph"/>
        <w:numPr>
          <w:ilvl w:val="1"/>
          <w:numId w:val="33"/>
        </w:numPr>
      </w:pPr>
      <w:r>
        <w:t>YESCARTA® is not indicated for the treatment of patients with primary central nervous system lymphoma.</w:t>
      </w:r>
    </w:p>
    <w:p w14:paraId="034639D4" w14:textId="7CB3BFBC" w:rsidR="00C82A00" w:rsidRPr="007D095B" w:rsidRDefault="00850A36" w:rsidP="00850A36">
      <w:pPr>
        <w:pStyle w:val="ListParagraph"/>
        <w:numPr>
          <w:ilvl w:val="0"/>
          <w:numId w:val="33"/>
        </w:numPr>
      </w:pPr>
      <w:r>
        <w:t xml:space="preserve">Follicular Lymphoma </w:t>
      </w:r>
    </w:p>
    <w:p w14:paraId="0ACCCB9A" w14:textId="4AB0FF7D" w:rsidR="00850A36" w:rsidRPr="00031AFF" w:rsidRDefault="1B8C2EE5" w:rsidP="00DE5372">
      <w:pPr>
        <w:pStyle w:val="ListParagraph"/>
        <w:numPr>
          <w:ilvl w:val="1"/>
          <w:numId w:val="33"/>
        </w:numPr>
      </w:pPr>
      <w:r>
        <w:t>Patients with relapsed or refractory follicular lymphoma (FL) after two or more lines of systemic therapy.</w:t>
      </w:r>
    </w:p>
    <w:p w14:paraId="44C3B242" w14:textId="3893546F" w:rsidR="00772829" w:rsidRPr="00CE28E3" w:rsidRDefault="002176CC" w:rsidP="002A18BE">
      <w:pPr>
        <w:pStyle w:val="Heading2"/>
        <w:numPr>
          <w:ilvl w:val="0"/>
          <w:numId w:val="0"/>
        </w:numPr>
      </w:pPr>
      <w:r>
        <w:t>6</w:t>
      </w:r>
      <w:r w:rsidR="00C36633">
        <w:t>.</w:t>
      </w:r>
      <w:r>
        <w:tab/>
      </w:r>
      <w:r w:rsidR="00772829">
        <w:t>Proposal for public funding</w:t>
      </w:r>
      <w:bookmarkEnd w:id="5"/>
    </w:p>
    <w:p w14:paraId="62136A74" w14:textId="6D1A7CA0" w:rsidR="00850A36" w:rsidRDefault="00850A36" w:rsidP="00850A36">
      <w:r>
        <w:t>Public funding for AXI for the treatment of r/r FL in the 3L setting</w:t>
      </w:r>
      <w:r w:rsidR="00706538">
        <w:t xml:space="preserve"> (or later)</w:t>
      </w:r>
      <w:r>
        <w:t xml:space="preserve"> is sought through the NHRA. </w:t>
      </w:r>
    </w:p>
    <w:p w14:paraId="63F32158" w14:textId="36E2532A" w:rsidR="004904DB" w:rsidRDefault="004904DB" w:rsidP="004904DB">
      <w:r>
        <w:t>Consistent with current practice, th</w:t>
      </w:r>
      <w:r w:rsidRPr="0060527D">
        <w:t xml:space="preserve">e proposed technology would be delivered in select tertiary hospital treatment centres </w:t>
      </w:r>
      <w:r w:rsidR="300A25FB">
        <w:t xml:space="preserve">that </w:t>
      </w:r>
      <w:r w:rsidRPr="0060527D">
        <w:t xml:space="preserve">specialise in delivery of </w:t>
      </w:r>
      <w:r w:rsidR="009163A7" w:rsidRPr="009163A7">
        <w:t xml:space="preserve">Chimeric </w:t>
      </w:r>
      <w:r w:rsidR="009163A7">
        <w:t>A</w:t>
      </w:r>
      <w:r w:rsidR="009163A7" w:rsidRPr="009163A7">
        <w:t xml:space="preserve">ntigen </w:t>
      </w:r>
      <w:r w:rsidR="009163A7">
        <w:t>R</w:t>
      </w:r>
      <w:r w:rsidR="009163A7" w:rsidRPr="009163A7">
        <w:t xml:space="preserve">eceptor </w:t>
      </w:r>
      <w:r w:rsidR="009163A7">
        <w:t>(</w:t>
      </w:r>
      <w:r w:rsidRPr="0060527D">
        <w:t>CAR</w:t>
      </w:r>
      <w:r w:rsidR="009163A7">
        <w:t>)</w:t>
      </w:r>
      <w:r w:rsidRPr="0060527D">
        <w:t xml:space="preserve"> T-cell therapy.</w:t>
      </w:r>
    </w:p>
    <w:p w14:paraId="05A05A92" w14:textId="6E9989C6" w:rsidR="00F41FE4" w:rsidRDefault="00F41FE4" w:rsidP="00F41FE4">
      <w:r>
        <w:t xml:space="preserve">The ADAR proposed an average net effective price for AXI for r/r FL of </w:t>
      </w:r>
      <w:r w:rsidRPr="132E0B0E">
        <w:rPr>
          <w:b/>
          <w:bCs/>
        </w:rPr>
        <w:t>$Redacted</w:t>
      </w:r>
      <w:r>
        <w:t xml:space="preserve"> per patient infused. The ADAR claimed this price was identical to the current price for AXI for r/r DLBCL in the 3L setting. However, per the </w:t>
      </w:r>
      <w:r w:rsidR="00180718">
        <w:t>Public Summary Document (</w:t>
      </w:r>
      <w:r>
        <w:t>PSD</w:t>
      </w:r>
      <w:r w:rsidR="00180718">
        <w:t>)</w:t>
      </w:r>
      <w:r>
        <w:t xml:space="preserve"> for MSAC 1587</w:t>
      </w:r>
      <w:r w:rsidR="00CE0BF5">
        <w:rPr>
          <w:rStyle w:val="FootnoteReference"/>
        </w:rPr>
        <w:footnoteReference w:id="8"/>
      </w:r>
      <w:r>
        <w:t xml:space="preserve">, the average price previously supported by MSAC for AXI for r/r DLBCL in the 3L setting was </w:t>
      </w:r>
      <w:r w:rsidRPr="132E0B0E">
        <w:rPr>
          <w:b/>
          <w:bCs/>
        </w:rPr>
        <w:t>$Redacted</w:t>
      </w:r>
      <w:r>
        <w:t xml:space="preserve">. </w:t>
      </w:r>
      <w:r w:rsidR="00AD6614">
        <w:t xml:space="preserve">Further, details on the proposed risk share arrangement including the proposed </w:t>
      </w:r>
      <w:proofErr w:type="spellStart"/>
      <w:r w:rsidR="00AD6614">
        <w:t>PfP</w:t>
      </w:r>
      <w:proofErr w:type="spellEnd"/>
      <w:r w:rsidR="00AD6614">
        <w:t xml:space="preserve"> arrangement </w:t>
      </w:r>
      <w:r w:rsidR="00863805">
        <w:t xml:space="preserve">(e.g. payment amounts, the estimated response rate, </w:t>
      </w:r>
      <w:r w:rsidR="00B72301">
        <w:t>the definition of response</w:t>
      </w:r>
      <w:r w:rsidR="00D12BD1">
        <w:t xml:space="preserve"> and timepoint, etc.) </w:t>
      </w:r>
      <w:r w:rsidR="00AD6614">
        <w:t xml:space="preserve">were not provided by the ADAR (i.e. ADAR simply states the </w:t>
      </w:r>
      <w:r w:rsidR="00CA34E5">
        <w:t xml:space="preserve">applicant is </w:t>
      </w:r>
      <w:r w:rsidR="00863805">
        <w:t>open to discuss this)</w:t>
      </w:r>
      <w:r w:rsidR="00AD6614">
        <w:t>.</w:t>
      </w:r>
    </w:p>
    <w:p w14:paraId="4C1343A4" w14:textId="7AC85A59" w:rsidR="006B2662" w:rsidRDefault="2CEF4DAA" w:rsidP="00850A36">
      <w:r>
        <w:t xml:space="preserve">The </w:t>
      </w:r>
      <w:r w:rsidR="65BD3A06">
        <w:t>Commentary</w:t>
      </w:r>
      <w:r>
        <w:t xml:space="preserve"> further noted that </w:t>
      </w:r>
      <w:r w:rsidR="224D830A">
        <w:t>in the ZUMA-5 study</w:t>
      </w:r>
      <w:r w:rsidR="4EE90BC4">
        <w:t xml:space="preserve"> (piv</w:t>
      </w:r>
      <w:r w:rsidR="56AB7BBB">
        <w:t>otal evidence in</w:t>
      </w:r>
      <w:r w:rsidR="4F172E12">
        <w:t xml:space="preserve"> the ADAR</w:t>
      </w:r>
      <w:r w:rsidR="56AB7BBB">
        <w:t>)</w:t>
      </w:r>
      <w:r w:rsidR="224D830A">
        <w:t xml:space="preserve">, </w:t>
      </w:r>
      <w:r w:rsidR="5ECB17B5">
        <w:t xml:space="preserve">patients who achieved </w:t>
      </w:r>
      <w:r w:rsidR="39E77992">
        <w:t xml:space="preserve">a partial response (PR) </w:t>
      </w:r>
      <w:r w:rsidR="5852E94A">
        <w:t xml:space="preserve">or better at the 3-month disease assessment and subsequently experienced disease progression had the option to be retreated with AXI, and there may be potential for growth in the market without a restriction in place. </w:t>
      </w:r>
      <w:r w:rsidR="54442DEF">
        <w:t xml:space="preserve"> The Commentary</w:t>
      </w:r>
      <w:r w:rsidR="5852E94A">
        <w:t xml:space="preserve"> consider</w:t>
      </w:r>
      <w:r w:rsidR="027EE216">
        <w:t xml:space="preserve">ed </w:t>
      </w:r>
      <w:r w:rsidR="3293D806">
        <w:t xml:space="preserve">it important to address </w:t>
      </w:r>
      <w:r w:rsidR="0D8A59A8">
        <w:t>whether AXI in this setting</w:t>
      </w:r>
      <w:r w:rsidR="45CA6ECD">
        <w:t xml:space="preserve"> should be limited</w:t>
      </w:r>
      <w:r w:rsidR="5852E94A">
        <w:t xml:space="preserve"> to a single treatment per lifetime</w:t>
      </w:r>
      <w:r w:rsidR="027EE216">
        <w:t>,</w:t>
      </w:r>
      <w:r w:rsidR="703B28E1">
        <w:t xml:space="preserve"> consistent with MSAC advice for other </w:t>
      </w:r>
      <w:r w:rsidR="3439C2E3">
        <w:t xml:space="preserve">supported </w:t>
      </w:r>
      <w:r w:rsidR="703B28E1">
        <w:t>CAR-T</w:t>
      </w:r>
      <w:r w:rsidR="3439C2E3">
        <w:t xml:space="preserve"> therapies</w:t>
      </w:r>
      <w:r w:rsidR="5852E94A">
        <w:t>.</w:t>
      </w:r>
    </w:p>
    <w:p w14:paraId="2210D1E8" w14:textId="2A96A578" w:rsidR="000165C4" w:rsidRDefault="002971BF" w:rsidP="00850A36">
      <w:r>
        <w:t xml:space="preserve">A summary of the proposed request for public funding is provided in </w:t>
      </w:r>
      <w:r>
        <w:fldChar w:fldCharType="begin"/>
      </w:r>
      <w:r>
        <w:instrText xml:space="preserve"> REF _Ref69481033 \h  \* MERGEFORMAT </w:instrText>
      </w:r>
      <w:r>
        <w:fldChar w:fldCharType="separate"/>
      </w:r>
      <w:r w:rsidR="000165C4">
        <w:t>Table </w:t>
      </w:r>
      <w:r w:rsidR="000165C4" w:rsidRPr="132E0B0E">
        <w:rPr>
          <w:noProof/>
        </w:rPr>
        <w:t>1</w:t>
      </w:r>
      <w:r>
        <w:fldChar w:fldCharType="end"/>
      </w:r>
      <w:r>
        <w:t xml:space="preserve"> showing the indication requested, and the proposed treatment </w:t>
      </w:r>
      <w:r w:rsidR="00AA4289">
        <w:t xml:space="preserve">and clinical </w:t>
      </w:r>
      <w:r>
        <w:t>criteria.</w:t>
      </w:r>
      <w:r w:rsidR="004904DB">
        <w:t xml:space="preserve"> </w:t>
      </w:r>
      <w:r w:rsidR="00985CF6">
        <w:t>Potential additions</w:t>
      </w:r>
      <w:r w:rsidR="004904DB">
        <w:t xml:space="preserve"> to align with ZUMA-5 include defining ‘adults’ as those aged 18 years or older and specifying the WHO 2016 classification.</w:t>
      </w:r>
    </w:p>
    <w:p w14:paraId="39392CFD" w14:textId="40305221" w:rsidR="003328A9" w:rsidRDefault="00310C3F" w:rsidP="00A5497A">
      <w:pPr>
        <w:pStyle w:val="Caption"/>
        <w:keepLines/>
        <w:rPr>
          <w:rFonts w:cs="Arial"/>
        </w:rPr>
      </w:pPr>
      <w:bookmarkStart w:id="6" w:name="_Ref69481033"/>
      <w:r>
        <w:lastRenderedPageBreak/>
        <w:t>Table</w:t>
      </w:r>
      <w:r w:rsidR="004A4FDF">
        <w:t> </w:t>
      </w:r>
      <w:r>
        <w:fldChar w:fldCharType="begin"/>
      </w:r>
      <w:r>
        <w:instrText>SEQ Table \* ARABIC</w:instrText>
      </w:r>
      <w:r>
        <w:fldChar w:fldCharType="separate"/>
      </w:r>
      <w:r w:rsidR="0020136D" w:rsidRPr="132E0B0E">
        <w:rPr>
          <w:noProof/>
        </w:rPr>
        <w:t>1</w:t>
      </w:r>
      <w:r>
        <w:fldChar w:fldCharType="end"/>
      </w:r>
      <w:bookmarkEnd w:id="6"/>
      <w:r>
        <w:tab/>
      </w:r>
      <w:r w:rsidR="00C40724" w:rsidRPr="132E0B0E">
        <w:rPr>
          <w:rFonts w:cs="Arial"/>
        </w:rPr>
        <w:t xml:space="preserve">Proposed clinical, treatment and public funding criteria for </w:t>
      </w:r>
      <w:proofErr w:type="gramStart"/>
      <w:r w:rsidR="00C40724" w:rsidRPr="132E0B0E">
        <w:rPr>
          <w:rFonts w:cs="Arial"/>
        </w:rPr>
        <w:t>AXI</w:t>
      </w:r>
      <w:proofErr w:type="gramEnd"/>
    </w:p>
    <w:tbl>
      <w:tblPr>
        <w:tblStyle w:val="TableGrid"/>
        <w:tblW w:w="5000" w:type="pct"/>
        <w:tblLook w:val="04A0" w:firstRow="1" w:lastRow="0" w:firstColumn="1" w:lastColumn="0" w:noHBand="0" w:noVBand="1"/>
      </w:tblPr>
      <w:tblGrid>
        <w:gridCol w:w="1989"/>
        <w:gridCol w:w="7027"/>
      </w:tblGrid>
      <w:tr w:rsidR="00912952" w:rsidRPr="0036142D" w14:paraId="24029ED2" w14:textId="77777777" w:rsidTr="132E0B0E">
        <w:tc>
          <w:tcPr>
            <w:tcW w:w="1103" w:type="pct"/>
            <w:shd w:val="clear" w:color="auto" w:fill="auto"/>
          </w:tcPr>
          <w:p w14:paraId="143ABB19" w14:textId="4968ADF0" w:rsidR="00912952" w:rsidRPr="0036142D" w:rsidRDefault="00B90446" w:rsidP="00A5497A">
            <w:pPr>
              <w:pStyle w:val="TableHeading0"/>
              <w:keepNext/>
              <w:keepLines/>
            </w:pPr>
            <w:r>
              <w:t>Category</w:t>
            </w:r>
          </w:p>
        </w:tc>
        <w:tc>
          <w:tcPr>
            <w:tcW w:w="3897" w:type="pct"/>
            <w:shd w:val="clear" w:color="auto" w:fill="auto"/>
          </w:tcPr>
          <w:p w14:paraId="2C286049" w14:textId="77777777" w:rsidR="00912952" w:rsidRPr="0036142D" w:rsidRDefault="00912952" w:rsidP="00A5497A">
            <w:pPr>
              <w:pStyle w:val="TableHeading0"/>
              <w:keepNext/>
              <w:keepLines/>
            </w:pPr>
            <w:r>
              <w:t>Description</w:t>
            </w:r>
          </w:p>
        </w:tc>
      </w:tr>
      <w:tr w:rsidR="00912952" w14:paraId="5D3E302B" w14:textId="77777777" w:rsidTr="132E0B0E">
        <w:tc>
          <w:tcPr>
            <w:tcW w:w="1103" w:type="pct"/>
          </w:tcPr>
          <w:p w14:paraId="1393B103" w14:textId="77777777" w:rsidR="00912952" w:rsidRDefault="00912952" w:rsidP="00A5497A">
            <w:pPr>
              <w:pStyle w:val="TableText"/>
              <w:keepNext/>
              <w:keepLines/>
            </w:pPr>
            <w:r>
              <w:t>Indication</w:t>
            </w:r>
          </w:p>
        </w:tc>
        <w:tc>
          <w:tcPr>
            <w:tcW w:w="3897" w:type="pct"/>
          </w:tcPr>
          <w:p w14:paraId="23FA87F3" w14:textId="196DE9BB" w:rsidR="00912952" w:rsidRPr="00576523" w:rsidRDefault="00912952" w:rsidP="00A5497A">
            <w:pPr>
              <w:pStyle w:val="TableText"/>
              <w:keepNext/>
              <w:keepLines/>
              <w:rPr>
                <w:i/>
                <w:iCs/>
              </w:rPr>
            </w:pPr>
            <w:r>
              <w:t>Adults</w:t>
            </w:r>
            <w:r w:rsidRPr="00E50769">
              <w:rPr>
                <w:i/>
                <w:iCs/>
                <w:color w:val="0070C0"/>
              </w:rPr>
              <w:t xml:space="preserve"> </w:t>
            </w:r>
            <w:r>
              <w:t xml:space="preserve">with Grade 1, Grade </w:t>
            </w:r>
            <w:proofErr w:type="gramStart"/>
            <w:r>
              <w:t>2</w:t>
            </w:r>
            <w:proofErr w:type="gramEnd"/>
            <w:r>
              <w:t xml:space="preserve"> or Grade 3a follicular lymphoma (based on the WHO classification) who are relapsed or refractory after two or more lines of systemic therapy</w:t>
            </w:r>
            <w:r w:rsidR="00517FB5">
              <w:t xml:space="preserve"> </w:t>
            </w:r>
            <w:r w:rsidR="00074AE3">
              <w:rPr>
                <w:i/>
                <w:iCs/>
              </w:rPr>
              <w:t xml:space="preserve">and have </w:t>
            </w:r>
            <w:r w:rsidR="0036465C" w:rsidRPr="0036465C">
              <w:rPr>
                <w:i/>
                <w:iCs/>
              </w:rPr>
              <w:t>symptomatic disease and/or high tumour burden following relapse</w:t>
            </w:r>
            <w:r w:rsidR="001C469C">
              <w:rPr>
                <w:i/>
                <w:iCs/>
              </w:rPr>
              <w:t xml:space="preserve">. </w:t>
            </w:r>
            <w:r w:rsidR="001C469C" w:rsidRPr="001C469C">
              <w:rPr>
                <w:i/>
                <w:iCs/>
              </w:rPr>
              <w:t xml:space="preserve">Prior therapy must have included an anti-CD20 monoclonal antibody combined with an alkylating </w:t>
            </w:r>
            <w:proofErr w:type="spellStart"/>
            <w:r w:rsidR="001C469C" w:rsidRPr="001C469C">
              <w:rPr>
                <w:i/>
                <w:iCs/>
              </w:rPr>
              <w:t>agent</w:t>
            </w:r>
            <w:r w:rsidR="00C5080B">
              <w:rPr>
                <w:vertAlign w:val="superscript"/>
              </w:rPr>
              <w:t>a</w:t>
            </w:r>
            <w:proofErr w:type="spellEnd"/>
          </w:p>
        </w:tc>
      </w:tr>
      <w:tr w:rsidR="00912952" w14:paraId="3661E04F" w14:textId="77777777" w:rsidTr="132E0B0E">
        <w:tc>
          <w:tcPr>
            <w:tcW w:w="1103" w:type="pct"/>
          </w:tcPr>
          <w:p w14:paraId="35CAD8FC" w14:textId="77777777" w:rsidR="00912952" w:rsidRDefault="00912952" w:rsidP="00A5497A">
            <w:pPr>
              <w:pStyle w:val="TableText"/>
              <w:keepNext/>
              <w:keepLines/>
            </w:pPr>
            <w:r>
              <w:t>Treatment criteria</w:t>
            </w:r>
          </w:p>
        </w:tc>
        <w:tc>
          <w:tcPr>
            <w:tcW w:w="3897" w:type="pct"/>
          </w:tcPr>
          <w:p w14:paraId="41F2FC96" w14:textId="77777777" w:rsidR="00912952" w:rsidRDefault="00912952" w:rsidP="00A5497A">
            <w:pPr>
              <w:pStyle w:val="TableText"/>
              <w:keepNext/>
              <w:keepLines/>
            </w:pPr>
            <w:r>
              <w:t xml:space="preserve">Patient must be treated in a tertiary public hospital with appropriate </w:t>
            </w:r>
            <w:proofErr w:type="gramStart"/>
            <w:r>
              <w:t>credentials</w:t>
            </w:r>
            <w:proofErr w:type="gramEnd"/>
          </w:p>
          <w:p w14:paraId="21D0D372" w14:textId="77777777" w:rsidR="00912952" w:rsidRDefault="00912952" w:rsidP="00A5497A">
            <w:pPr>
              <w:pStyle w:val="TableText"/>
              <w:keepNext/>
              <w:keepLines/>
            </w:pPr>
            <w:r>
              <w:t>AND</w:t>
            </w:r>
          </w:p>
          <w:p w14:paraId="634C84CB" w14:textId="77777777" w:rsidR="00912952" w:rsidRDefault="00912952" w:rsidP="00A5497A">
            <w:pPr>
              <w:pStyle w:val="TableText"/>
              <w:keepNext/>
              <w:keepLines/>
            </w:pPr>
            <w:r>
              <w:t xml:space="preserve">Patient must be treated by a haematologist working in a multidisciplinary team specialising in the provision of CAR T cell </w:t>
            </w:r>
            <w:proofErr w:type="gramStart"/>
            <w:r>
              <w:t>therapy</w:t>
            </w:r>
            <w:proofErr w:type="gramEnd"/>
          </w:p>
          <w:p w14:paraId="098F4B6C" w14:textId="77777777" w:rsidR="00912952" w:rsidRDefault="00912952" w:rsidP="00A5497A">
            <w:pPr>
              <w:pStyle w:val="TableText"/>
              <w:keepNext/>
              <w:keepLines/>
            </w:pPr>
            <w:r>
              <w:t>AND</w:t>
            </w:r>
          </w:p>
          <w:p w14:paraId="594D2262" w14:textId="77777777" w:rsidR="00912952" w:rsidRDefault="00912952" w:rsidP="00A5497A">
            <w:pPr>
              <w:pStyle w:val="TableText"/>
              <w:keepNext/>
              <w:keepLines/>
            </w:pPr>
            <w:r>
              <w:t xml:space="preserve">Patient must not have uncontrolled infection, including uncontrolled HIV or active hepatitis B or C </w:t>
            </w:r>
            <w:proofErr w:type="gramStart"/>
            <w:r>
              <w:t>infection</w:t>
            </w:r>
            <w:proofErr w:type="gramEnd"/>
          </w:p>
          <w:p w14:paraId="7F2CF39F" w14:textId="77777777" w:rsidR="00912952" w:rsidRDefault="00912952" w:rsidP="00A5497A">
            <w:pPr>
              <w:pStyle w:val="TableText"/>
              <w:keepNext/>
              <w:keepLines/>
            </w:pPr>
            <w:r>
              <w:t>AND</w:t>
            </w:r>
          </w:p>
          <w:p w14:paraId="7A8B1BC9" w14:textId="19849FCC" w:rsidR="00912952" w:rsidRPr="00576523" w:rsidDel="009F4E68" w:rsidRDefault="00912952" w:rsidP="00A5497A">
            <w:pPr>
              <w:pStyle w:val="TableText"/>
              <w:keepNext/>
              <w:keepLines/>
              <w:rPr>
                <w:strike/>
              </w:rPr>
            </w:pPr>
            <w:r w:rsidRPr="00576523" w:rsidDel="009F4E68">
              <w:rPr>
                <w:strike/>
              </w:rPr>
              <w:t xml:space="preserve">Patient must not have primary CNS </w:t>
            </w:r>
            <w:proofErr w:type="gramStart"/>
            <w:r w:rsidRPr="00576523" w:rsidDel="009F4E68">
              <w:rPr>
                <w:strike/>
              </w:rPr>
              <w:t>lymphoma</w:t>
            </w:r>
            <w:proofErr w:type="gramEnd"/>
          </w:p>
          <w:p w14:paraId="45B5E621" w14:textId="7DB0A537" w:rsidR="00912952" w:rsidRPr="00576523" w:rsidDel="009F4E68" w:rsidRDefault="00912952" w:rsidP="00A5497A">
            <w:pPr>
              <w:pStyle w:val="TableText"/>
              <w:keepNext/>
              <w:keepLines/>
              <w:rPr>
                <w:strike/>
              </w:rPr>
            </w:pPr>
            <w:r w:rsidRPr="00576523" w:rsidDel="009F4E68">
              <w:rPr>
                <w:strike/>
              </w:rPr>
              <w:t>AND</w:t>
            </w:r>
          </w:p>
          <w:p w14:paraId="3E9D0BE2" w14:textId="6C0CAEFF" w:rsidR="00912952" w:rsidRPr="00576523" w:rsidDel="009F4E68" w:rsidRDefault="00912952" w:rsidP="00A5497A">
            <w:pPr>
              <w:pStyle w:val="TableText"/>
              <w:keepNext/>
              <w:keepLines/>
              <w:rPr>
                <w:strike/>
              </w:rPr>
            </w:pPr>
            <w:r w:rsidRPr="132E0B0E">
              <w:rPr>
                <w:strike/>
              </w:rPr>
              <w:t xml:space="preserve">Patient must not have uncontrolled secondary CNS disease, or secondary CNS disease anticipated to be uncontrolled at the time of lymphocyte </w:t>
            </w:r>
            <w:proofErr w:type="gramStart"/>
            <w:r w:rsidRPr="132E0B0E">
              <w:rPr>
                <w:strike/>
              </w:rPr>
              <w:t>infusion</w:t>
            </w:r>
            <w:proofErr w:type="gramEnd"/>
          </w:p>
          <w:p w14:paraId="5FFDEC1D" w14:textId="57D30606" w:rsidR="00341058" w:rsidRDefault="00341058" w:rsidP="00A5497A">
            <w:pPr>
              <w:pStyle w:val="TableText"/>
              <w:keepNext/>
              <w:keepLines/>
              <w:rPr>
                <w:i/>
                <w:iCs/>
              </w:rPr>
            </w:pPr>
          </w:p>
          <w:p w14:paraId="6E4A606B" w14:textId="69123F19" w:rsidR="00341058" w:rsidRPr="00576523" w:rsidRDefault="00341058" w:rsidP="00A5497A">
            <w:pPr>
              <w:pStyle w:val="TableText"/>
              <w:keepNext/>
              <w:keepLines/>
              <w:rPr>
                <w:i/>
                <w:iCs/>
              </w:rPr>
            </w:pPr>
            <w:r>
              <w:rPr>
                <w:i/>
                <w:iCs/>
              </w:rPr>
              <w:t>Patient must not have a history or suspicion of CNS involvement by lymphoma</w:t>
            </w:r>
          </w:p>
        </w:tc>
      </w:tr>
      <w:tr w:rsidR="00912952" w14:paraId="7090D7DC" w14:textId="77777777" w:rsidTr="132E0B0E">
        <w:tc>
          <w:tcPr>
            <w:tcW w:w="1103" w:type="pct"/>
          </w:tcPr>
          <w:p w14:paraId="63E6FEDA" w14:textId="77777777" w:rsidR="00912952" w:rsidRDefault="00912952" w:rsidP="00A5497A">
            <w:pPr>
              <w:pStyle w:val="TableText"/>
              <w:keepNext/>
              <w:keepLines/>
            </w:pPr>
            <w:r>
              <w:t>Clinical criteria</w:t>
            </w:r>
          </w:p>
        </w:tc>
        <w:tc>
          <w:tcPr>
            <w:tcW w:w="3897" w:type="pct"/>
          </w:tcPr>
          <w:p w14:paraId="2FCBEE54" w14:textId="77777777" w:rsidR="00912952" w:rsidRDefault="00912952" w:rsidP="00A5497A">
            <w:pPr>
              <w:pStyle w:val="TableText"/>
              <w:keepNext/>
              <w:keepLines/>
            </w:pPr>
            <w:r>
              <w:t xml:space="preserve">Patient must have a ECOG performance status of 0 or </w:t>
            </w:r>
            <w:proofErr w:type="gramStart"/>
            <w:r>
              <w:t>1</w:t>
            </w:r>
            <w:proofErr w:type="gramEnd"/>
          </w:p>
          <w:p w14:paraId="3D82CD08" w14:textId="77777777" w:rsidR="00912952" w:rsidRDefault="00912952" w:rsidP="00A5497A">
            <w:pPr>
              <w:pStyle w:val="TableText"/>
              <w:keepNext/>
              <w:keepLines/>
            </w:pPr>
            <w:r>
              <w:t>AND</w:t>
            </w:r>
          </w:p>
          <w:p w14:paraId="5E006E71" w14:textId="77777777" w:rsidR="00912952" w:rsidRDefault="00912952" w:rsidP="00A5497A">
            <w:pPr>
              <w:pStyle w:val="TableText"/>
              <w:keepNext/>
              <w:keepLines/>
            </w:pPr>
            <w:r>
              <w:t>Patient must have sufficient organ function, including:</w:t>
            </w:r>
          </w:p>
          <w:p w14:paraId="5199CA47" w14:textId="77777777" w:rsidR="00912952" w:rsidRDefault="00912952" w:rsidP="00A5497A">
            <w:pPr>
              <w:pStyle w:val="TableText"/>
              <w:keepNext/>
              <w:keepLines/>
              <w:numPr>
                <w:ilvl w:val="0"/>
                <w:numId w:val="14"/>
              </w:numPr>
            </w:pPr>
            <w:r>
              <w:t>Renal function: Creatinine clearance ≥60mL/min, serum ALT/AST ≤2.5 x ULN and total bilirubin ≤1.5mg/dL</w:t>
            </w:r>
          </w:p>
          <w:p w14:paraId="13F1EED8" w14:textId="77777777" w:rsidR="00912952" w:rsidRDefault="00912952" w:rsidP="00A5497A">
            <w:pPr>
              <w:pStyle w:val="TableText"/>
              <w:keepNext/>
              <w:keepLines/>
              <w:numPr>
                <w:ilvl w:val="0"/>
                <w:numId w:val="14"/>
              </w:numPr>
            </w:pPr>
            <w:r>
              <w:t xml:space="preserve">Cardiac function: left ventricular ejection fraction (LVEF) ≥50%, or supplementary functional tests and cardiology assessment demonstrating adequate cardiopulmonary </w:t>
            </w:r>
            <w:proofErr w:type="gramStart"/>
            <w:r>
              <w:t>reserve</w:t>
            </w:r>
            <w:proofErr w:type="gramEnd"/>
          </w:p>
          <w:p w14:paraId="4364A145" w14:textId="77777777" w:rsidR="00912952" w:rsidRDefault="00912952" w:rsidP="00A5497A">
            <w:pPr>
              <w:pStyle w:val="TableText"/>
              <w:keepNext/>
              <w:keepLines/>
              <w:numPr>
                <w:ilvl w:val="0"/>
                <w:numId w:val="14"/>
              </w:numPr>
            </w:pPr>
            <w:r>
              <w:t>Pulmonary function: Baseline peripheral oxygen saturation &gt;92% on room air</w:t>
            </w:r>
          </w:p>
          <w:p w14:paraId="068BB4E1" w14:textId="77777777" w:rsidR="00912952" w:rsidRDefault="00912952" w:rsidP="00A5497A">
            <w:pPr>
              <w:pStyle w:val="TableText"/>
              <w:keepNext/>
              <w:keepLines/>
            </w:pPr>
            <w:r>
              <w:t>AND</w:t>
            </w:r>
          </w:p>
          <w:p w14:paraId="38A6C2ED" w14:textId="77777777" w:rsidR="00912952" w:rsidRDefault="00912952" w:rsidP="00A5497A">
            <w:pPr>
              <w:pStyle w:val="TableText"/>
              <w:keepNext/>
              <w:keepLines/>
            </w:pPr>
            <w:r>
              <w:t>The treatment team must consider the patient’s condition can be effectively managed during lymphocyte collection and manufacturing, to allow for the absence of rapidly progressive disease at the time of lymphocyte infusion</w:t>
            </w:r>
          </w:p>
        </w:tc>
      </w:tr>
      <w:tr w:rsidR="00912952" w14:paraId="693B8307" w14:textId="77777777" w:rsidTr="132E0B0E">
        <w:tc>
          <w:tcPr>
            <w:tcW w:w="1103" w:type="pct"/>
          </w:tcPr>
          <w:p w14:paraId="7FB603FC" w14:textId="77777777" w:rsidR="00912952" w:rsidRDefault="00912952" w:rsidP="001C3142">
            <w:pPr>
              <w:pStyle w:val="TableText"/>
            </w:pPr>
            <w:r>
              <w:t>Pay for performance and risk share arrangement</w:t>
            </w:r>
          </w:p>
        </w:tc>
        <w:tc>
          <w:tcPr>
            <w:tcW w:w="3897" w:type="pct"/>
          </w:tcPr>
          <w:p w14:paraId="04C3DE80" w14:textId="0A2EAB50" w:rsidR="00912952" w:rsidRDefault="00912952" w:rsidP="001C3142">
            <w:pPr>
              <w:pStyle w:val="TableText"/>
            </w:pPr>
            <w:r>
              <w:t xml:space="preserve">Consistent with the current funding for </w:t>
            </w:r>
            <w:r w:rsidR="00DB7258">
              <w:t xml:space="preserve">AXI </w:t>
            </w:r>
            <w:r>
              <w:t xml:space="preserve">in DLBCL, Gilead is open to discuss the specific details of the </w:t>
            </w:r>
            <w:proofErr w:type="spellStart"/>
            <w:r>
              <w:t>PfP</w:t>
            </w:r>
            <w:proofErr w:type="spellEnd"/>
            <w:r>
              <w:t xml:space="preserve"> and RSA for </w:t>
            </w:r>
            <w:r w:rsidR="00DB7258">
              <w:t>AXI</w:t>
            </w:r>
            <w:r>
              <w:t xml:space="preserve"> in the treatment of </w:t>
            </w:r>
            <w:r w:rsidRPr="004F4D31">
              <w:t>relapsed or refractory follicular lymphoma</w:t>
            </w:r>
          </w:p>
        </w:tc>
      </w:tr>
    </w:tbl>
    <w:p w14:paraId="488879A3" w14:textId="2984C351" w:rsidR="002636EC" w:rsidRPr="00A762F5" w:rsidRDefault="002636EC" w:rsidP="002636EC">
      <w:pPr>
        <w:pStyle w:val="TableFigNote"/>
        <w:rPr>
          <w:rFonts w:ascii="Arial Narrow" w:hAnsi="Arial Narrow"/>
        </w:rPr>
      </w:pPr>
      <w:r w:rsidRPr="00A762F5">
        <w:rPr>
          <w:rFonts w:ascii="Arial Narrow" w:hAnsi="Arial Narrow"/>
        </w:rPr>
        <w:t>Abbreviations: AXI=</w:t>
      </w:r>
      <w:r w:rsidR="00C91EBF" w:rsidRPr="00A762F5">
        <w:rPr>
          <w:rFonts w:ascii="Arial Narrow" w:hAnsi="Arial Narrow"/>
        </w:rPr>
        <w:t xml:space="preserve">axicabtagene ciloleucel; </w:t>
      </w:r>
      <w:r w:rsidRPr="00A762F5">
        <w:rPr>
          <w:rFonts w:ascii="Arial Narrow" w:hAnsi="Arial Narrow"/>
        </w:rPr>
        <w:t>CNS=central nervous system; DLBCL= d</w:t>
      </w:r>
      <w:r w:rsidRPr="00A762F5">
        <w:rPr>
          <w:rStyle w:val="expandableitem"/>
          <w:rFonts w:ascii="Arial Narrow" w:hAnsi="Arial Narrow"/>
        </w:rPr>
        <w:t xml:space="preserve">iffuse large B-cell lymphoma; </w:t>
      </w:r>
      <w:r w:rsidRPr="00A762F5">
        <w:rPr>
          <w:rFonts w:ascii="Arial Narrow" w:hAnsi="Arial Narrow"/>
        </w:rPr>
        <w:t xml:space="preserve">ECOG= Eastern Cooperative Oncology Group; </w:t>
      </w:r>
      <w:proofErr w:type="spellStart"/>
      <w:r w:rsidRPr="00A762F5">
        <w:rPr>
          <w:rFonts w:ascii="Arial Narrow" w:hAnsi="Arial Narrow"/>
        </w:rPr>
        <w:t>PfP</w:t>
      </w:r>
      <w:proofErr w:type="spellEnd"/>
      <w:r w:rsidRPr="00A762F5">
        <w:rPr>
          <w:rFonts w:ascii="Arial Narrow" w:hAnsi="Arial Narrow"/>
        </w:rPr>
        <w:t>=pay for performance; RSA=risk sharing arrangement</w:t>
      </w:r>
    </w:p>
    <w:p w14:paraId="2DA79CB0" w14:textId="2C2BF9F7" w:rsidR="00B8662C" w:rsidRDefault="00B8662C" w:rsidP="001C3142">
      <w:pPr>
        <w:pStyle w:val="TableFigNote"/>
        <w:rPr>
          <w:rFonts w:ascii="Arial Narrow" w:hAnsi="Arial Narrow"/>
        </w:rPr>
      </w:pPr>
      <w:r w:rsidRPr="00A762F5">
        <w:rPr>
          <w:rFonts w:ascii="Arial Narrow" w:hAnsi="Arial Narrow"/>
        </w:rPr>
        <w:t xml:space="preserve">Source: </w:t>
      </w:r>
      <w:r w:rsidR="00790AB0" w:rsidRPr="00A762F5">
        <w:rPr>
          <w:rFonts w:ascii="Arial Narrow" w:hAnsi="Arial Narrow"/>
        </w:rPr>
        <w:t>Table 9</w:t>
      </w:r>
      <w:r w:rsidR="00417469" w:rsidRPr="00A762F5">
        <w:rPr>
          <w:rFonts w:ascii="Arial Narrow" w:hAnsi="Arial Narrow"/>
        </w:rPr>
        <w:t xml:space="preserve"> </w:t>
      </w:r>
      <w:r w:rsidR="001726E9">
        <w:rPr>
          <w:rFonts w:ascii="Arial Narrow" w:hAnsi="Arial Narrow"/>
        </w:rPr>
        <w:t xml:space="preserve">of </w:t>
      </w:r>
      <w:r w:rsidR="00417469" w:rsidRPr="00A762F5">
        <w:rPr>
          <w:rFonts w:ascii="Arial Narrow" w:hAnsi="Arial Narrow"/>
        </w:rPr>
        <w:t>MSAC</w:t>
      </w:r>
      <w:r w:rsidR="001726E9">
        <w:rPr>
          <w:rFonts w:ascii="Arial Narrow" w:hAnsi="Arial Narrow"/>
        </w:rPr>
        <w:t xml:space="preserve"> 1771</w:t>
      </w:r>
      <w:r w:rsidR="00417469" w:rsidRPr="00A762F5">
        <w:rPr>
          <w:rFonts w:ascii="Arial Narrow" w:hAnsi="Arial Narrow"/>
        </w:rPr>
        <w:t xml:space="preserve"> </w:t>
      </w:r>
      <w:proofErr w:type="spellStart"/>
      <w:r w:rsidR="00417469" w:rsidRPr="00A762F5">
        <w:rPr>
          <w:rFonts w:ascii="Arial Narrow" w:hAnsi="Arial Narrow"/>
        </w:rPr>
        <w:t>ADAR</w:t>
      </w:r>
      <w:r w:rsidR="001726E9">
        <w:rPr>
          <w:rFonts w:ascii="Arial Narrow" w:hAnsi="Arial Narrow"/>
        </w:rPr>
        <w:t>+in-line</w:t>
      </w:r>
      <w:proofErr w:type="spellEnd"/>
      <w:r w:rsidR="001726E9">
        <w:rPr>
          <w:rFonts w:ascii="Arial Narrow" w:hAnsi="Arial Narrow"/>
        </w:rPr>
        <w:t xml:space="preserve"> commentary</w:t>
      </w:r>
    </w:p>
    <w:p w14:paraId="179EA9A3" w14:textId="3EBC4BC2" w:rsidR="00341058" w:rsidRDefault="00341058" w:rsidP="001C3142">
      <w:pPr>
        <w:pStyle w:val="TableFigNote"/>
        <w:rPr>
          <w:rFonts w:ascii="Arial Narrow" w:hAnsi="Arial Narrow"/>
          <w:i/>
          <w:iCs/>
        </w:rPr>
      </w:pPr>
      <w:r>
        <w:rPr>
          <w:rFonts w:ascii="Arial Narrow" w:hAnsi="Arial Narrow"/>
          <w:i/>
          <w:iCs/>
        </w:rPr>
        <w:t xml:space="preserve">ESC </w:t>
      </w:r>
      <w:r w:rsidRPr="4C618113">
        <w:rPr>
          <w:rFonts w:ascii="Arial Narrow" w:hAnsi="Arial Narrow"/>
          <w:i/>
          <w:iCs/>
        </w:rPr>
        <w:t>recommend</w:t>
      </w:r>
      <w:r w:rsidR="1EF63E83" w:rsidRPr="4C618113">
        <w:rPr>
          <w:rFonts w:ascii="Arial Narrow" w:hAnsi="Arial Narrow"/>
          <w:i/>
          <w:iCs/>
        </w:rPr>
        <w:t xml:space="preserve">ations included </w:t>
      </w:r>
      <w:r w:rsidR="3572EBB7" w:rsidRPr="03A6925A">
        <w:rPr>
          <w:rFonts w:ascii="Arial Narrow" w:hAnsi="Arial Narrow"/>
          <w:i/>
          <w:iCs/>
        </w:rPr>
        <w:t>using</w:t>
      </w:r>
      <w:r>
        <w:rPr>
          <w:rFonts w:ascii="Arial Narrow" w:hAnsi="Arial Narrow"/>
          <w:i/>
          <w:iCs/>
        </w:rPr>
        <w:t xml:space="preserve"> italics</w:t>
      </w:r>
      <w:r w:rsidR="0F62908C" w:rsidRPr="5275F475">
        <w:rPr>
          <w:rFonts w:ascii="Arial Narrow" w:hAnsi="Arial Narrow"/>
          <w:i/>
          <w:iCs/>
        </w:rPr>
        <w:t xml:space="preserve"> and</w:t>
      </w:r>
      <w:r w:rsidR="78D196E2" w:rsidRPr="105B943F">
        <w:rPr>
          <w:rFonts w:ascii="Arial Narrow" w:hAnsi="Arial Narrow"/>
          <w:i/>
          <w:iCs/>
        </w:rPr>
        <w:t xml:space="preserve"> </w:t>
      </w:r>
      <w:proofErr w:type="gramStart"/>
      <w:r w:rsidR="78D196E2" w:rsidRPr="563DD576">
        <w:rPr>
          <w:rFonts w:ascii="Arial Narrow" w:hAnsi="Arial Narrow"/>
          <w:i/>
          <w:iCs/>
        </w:rPr>
        <w:t>strikethrough</w:t>
      </w:r>
      <w:proofErr w:type="gramEnd"/>
    </w:p>
    <w:p w14:paraId="2A38EAF3" w14:textId="3CE09191" w:rsidR="00E47771" w:rsidRPr="00576523" w:rsidRDefault="00E47771" w:rsidP="007A48BB">
      <w:pPr>
        <w:pStyle w:val="TableFigNote"/>
        <w:rPr>
          <w:rFonts w:ascii="Arial Narrow" w:hAnsi="Arial Narrow"/>
          <w:i/>
          <w:iCs/>
        </w:rPr>
      </w:pPr>
      <w:r w:rsidRPr="00576523">
        <w:rPr>
          <w:rFonts w:ascii="Arial Narrow" w:hAnsi="Arial Narrow"/>
          <w:i/>
          <w:iCs/>
        </w:rPr>
        <w:t xml:space="preserve">a </w:t>
      </w:r>
      <w:r w:rsidR="00CD449F" w:rsidRPr="00576523">
        <w:rPr>
          <w:rFonts w:ascii="Arial Narrow" w:hAnsi="Arial Narrow"/>
          <w:i/>
          <w:iCs/>
        </w:rPr>
        <w:t>–</w:t>
      </w:r>
      <w:r w:rsidR="00C5080B">
        <w:rPr>
          <w:rFonts w:ascii="Arial Narrow" w:hAnsi="Arial Narrow"/>
          <w:i/>
          <w:iCs/>
        </w:rPr>
        <w:t>S</w:t>
      </w:r>
      <w:r w:rsidR="00C5080B" w:rsidRPr="00576523">
        <w:rPr>
          <w:rFonts w:ascii="Arial Narrow" w:hAnsi="Arial Narrow"/>
          <w:i/>
          <w:iCs/>
        </w:rPr>
        <w:t>ingle-agent anti-CD20 antibody (e.g. rituximab) would not count as a prior line of therapy for eligibility.</w:t>
      </w:r>
    </w:p>
    <w:p w14:paraId="35232A48" w14:textId="222C8B3E" w:rsidR="00562615" w:rsidRPr="00562615" w:rsidRDefault="3F5F1192" w:rsidP="00652870">
      <w:pPr>
        <w:pStyle w:val="Instructionaltext"/>
        <w:spacing w:before="0"/>
        <w:rPr>
          <w:color w:val="auto"/>
        </w:rPr>
      </w:pPr>
      <w:r w:rsidRPr="00562615">
        <w:rPr>
          <w:color w:val="auto"/>
        </w:rPr>
        <w:t xml:space="preserve">The </w:t>
      </w:r>
      <w:r w:rsidR="516808B8">
        <w:rPr>
          <w:color w:val="auto"/>
        </w:rPr>
        <w:t>Commentary</w:t>
      </w:r>
      <w:r w:rsidR="50BDAD3E">
        <w:rPr>
          <w:color w:val="auto"/>
        </w:rPr>
        <w:t xml:space="preserve"> noted that </w:t>
      </w:r>
      <w:bookmarkStart w:id="7" w:name="_Hlk166078040"/>
      <w:r w:rsidR="50BDAD3E">
        <w:rPr>
          <w:color w:val="auto"/>
        </w:rPr>
        <w:t>the</w:t>
      </w:r>
      <w:r w:rsidR="5CCC63A4">
        <w:rPr>
          <w:color w:val="auto"/>
        </w:rPr>
        <w:t xml:space="preserve"> </w:t>
      </w:r>
      <w:r w:rsidR="5CCC63A4" w:rsidRPr="00562615">
        <w:rPr>
          <w:color w:val="auto"/>
        </w:rPr>
        <w:t>requested restriction</w:t>
      </w:r>
      <w:r w:rsidR="5CCC63A4">
        <w:rPr>
          <w:color w:val="auto"/>
        </w:rPr>
        <w:t xml:space="preserve"> (</w:t>
      </w:r>
      <w:r w:rsidR="00AF2A99" w:rsidRPr="005C5047">
        <w:rPr>
          <w:color w:val="auto"/>
        </w:rPr>
        <w:fldChar w:fldCharType="begin"/>
      </w:r>
      <w:r w:rsidR="00AF2A99" w:rsidRPr="005C5047">
        <w:rPr>
          <w:color w:val="auto"/>
        </w:rPr>
        <w:instrText xml:space="preserve"> REF _Ref69481033 \h </w:instrText>
      </w:r>
      <w:r w:rsidR="00AF2A99" w:rsidRPr="005C5047">
        <w:rPr>
          <w:color w:val="auto"/>
        </w:rPr>
      </w:r>
      <w:r w:rsidR="00AF2A99" w:rsidRPr="005C5047">
        <w:rPr>
          <w:color w:val="auto"/>
        </w:rPr>
        <w:fldChar w:fldCharType="separate"/>
      </w:r>
      <w:r w:rsidR="5CCC63A4" w:rsidRPr="005C5047">
        <w:rPr>
          <w:color w:val="auto"/>
        </w:rPr>
        <w:t>Table </w:t>
      </w:r>
      <w:r w:rsidR="5CCC63A4" w:rsidRPr="005C5047">
        <w:rPr>
          <w:noProof/>
          <w:color w:val="auto"/>
        </w:rPr>
        <w:t>1</w:t>
      </w:r>
      <w:r w:rsidR="00AF2A99" w:rsidRPr="005C5047">
        <w:rPr>
          <w:color w:val="auto"/>
        </w:rPr>
        <w:fldChar w:fldCharType="end"/>
      </w:r>
      <w:r w:rsidR="5CCC63A4" w:rsidRPr="005C5047">
        <w:rPr>
          <w:color w:val="auto"/>
        </w:rPr>
        <w:t xml:space="preserve">) </w:t>
      </w:r>
      <w:r w:rsidR="499D379A">
        <w:rPr>
          <w:color w:val="auto"/>
        </w:rPr>
        <w:t>was not fully consistent</w:t>
      </w:r>
      <w:r w:rsidR="4BE5A82D">
        <w:rPr>
          <w:color w:val="auto"/>
        </w:rPr>
        <w:t>/aligned</w:t>
      </w:r>
      <w:r w:rsidR="499D379A">
        <w:rPr>
          <w:color w:val="auto"/>
        </w:rPr>
        <w:t xml:space="preserve"> with the</w:t>
      </w:r>
      <w:r w:rsidR="50BDAD3E">
        <w:rPr>
          <w:color w:val="auto"/>
        </w:rPr>
        <w:t xml:space="preserve"> </w:t>
      </w:r>
      <w:r w:rsidRPr="00562615">
        <w:rPr>
          <w:color w:val="auto"/>
        </w:rPr>
        <w:t xml:space="preserve">eligibility criteria of the </w:t>
      </w:r>
      <w:r w:rsidR="408C661A">
        <w:rPr>
          <w:color w:val="auto"/>
        </w:rPr>
        <w:t xml:space="preserve">pivotal </w:t>
      </w:r>
      <w:r w:rsidRPr="00562615">
        <w:rPr>
          <w:color w:val="auto"/>
        </w:rPr>
        <w:t>ZUMA-5 study</w:t>
      </w:r>
      <w:r w:rsidR="4BE5A82D">
        <w:rPr>
          <w:color w:val="auto"/>
        </w:rPr>
        <w:t>.</w:t>
      </w:r>
      <w:r w:rsidRPr="00562615">
        <w:rPr>
          <w:color w:val="auto"/>
        </w:rPr>
        <w:t xml:space="preserve"> </w:t>
      </w:r>
      <w:r w:rsidR="118296E2">
        <w:rPr>
          <w:color w:val="auto"/>
        </w:rPr>
        <w:t xml:space="preserve">The following </w:t>
      </w:r>
      <w:r w:rsidR="4A0FC666">
        <w:rPr>
          <w:color w:val="auto"/>
        </w:rPr>
        <w:t>eligibility criteria for</w:t>
      </w:r>
      <w:r w:rsidRPr="00562615">
        <w:rPr>
          <w:color w:val="auto"/>
        </w:rPr>
        <w:t xml:space="preserve"> </w:t>
      </w:r>
      <w:r w:rsidR="4A0FC666">
        <w:rPr>
          <w:color w:val="auto"/>
        </w:rPr>
        <w:t>the</w:t>
      </w:r>
      <w:r w:rsidRPr="00562615">
        <w:rPr>
          <w:color w:val="auto"/>
        </w:rPr>
        <w:t xml:space="preserve"> ZUMA-5 </w:t>
      </w:r>
      <w:r w:rsidR="4A0FC666">
        <w:rPr>
          <w:color w:val="auto"/>
        </w:rPr>
        <w:t xml:space="preserve">study </w:t>
      </w:r>
      <w:r w:rsidR="6E2F4FF1">
        <w:rPr>
          <w:color w:val="auto"/>
        </w:rPr>
        <w:t xml:space="preserve">are </w:t>
      </w:r>
      <w:r w:rsidRPr="00562615">
        <w:rPr>
          <w:color w:val="auto"/>
        </w:rPr>
        <w:t>not stipulated for the requested population</w:t>
      </w:r>
      <w:r w:rsidR="6E2F4FF1">
        <w:rPr>
          <w:color w:val="auto"/>
        </w:rPr>
        <w:t xml:space="preserve"> for public funding</w:t>
      </w:r>
      <w:r w:rsidRPr="00562615">
        <w:rPr>
          <w:color w:val="auto"/>
        </w:rPr>
        <w:t>:</w:t>
      </w:r>
      <w:bookmarkEnd w:id="7"/>
    </w:p>
    <w:p w14:paraId="2119CDB9" w14:textId="51328771" w:rsidR="00562615" w:rsidRPr="00562615" w:rsidRDefault="00562615" w:rsidP="00451925">
      <w:pPr>
        <w:pStyle w:val="Instructionaltext"/>
        <w:numPr>
          <w:ilvl w:val="0"/>
          <w:numId w:val="15"/>
        </w:numPr>
        <w:spacing w:before="0"/>
        <w:rPr>
          <w:color w:val="auto"/>
        </w:rPr>
      </w:pPr>
      <w:r w:rsidRPr="00562615">
        <w:rPr>
          <w:color w:val="auto"/>
        </w:rPr>
        <w:t>Prior therapy with an anti-CD20 monoclonal antibody combined with an alkylating agent</w:t>
      </w:r>
      <w:r w:rsidR="004904DB">
        <w:rPr>
          <w:color w:val="auto"/>
        </w:rPr>
        <w:t xml:space="preserve"> </w:t>
      </w:r>
      <w:r w:rsidR="004904DB" w:rsidRPr="004904DB">
        <w:rPr>
          <w:color w:val="auto"/>
        </w:rPr>
        <w:t>(single-agent anti-CD20 antibody did not count as line of therapy for eligibility</w:t>
      </w:r>
      <w:proofErr w:type="gramStart"/>
      <w:r w:rsidR="004904DB" w:rsidRPr="004904DB">
        <w:rPr>
          <w:color w:val="auto"/>
        </w:rPr>
        <w:t>)</w:t>
      </w:r>
      <w:r w:rsidRPr="00562615">
        <w:rPr>
          <w:color w:val="auto"/>
        </w:rPr>
        <w:t>;</w:t>
      </w:r>
      <w:proofErr w:type="gramEnd"/>
      <w:r w:rsidRPr="00562615">
        <w:rPr>
          <w:color w:val="auto"/>
        </w:rPr>
        <w:t xml:space="preserve"> </w:t>
      </w:r>
    </w:p>
    <w:p w14:paraId="75F5E335" w14:textId="49DB625B" w:rsidR="00562615" w:rsidRDefault="00562615" w:rsidP="00451925">
      <w:pPr>
        <w:pStyle w:val="Instructionaltext"/>
        <w:numPr>
          <w:ilvl w:val="0"/>
          <w:numId w:val="15"/>
        </w:numPr>
        <w:spacing w:before="0"/>
        <w:rPr>
          <w:color w:val="auto"/>
        </w:rPr>
      </w:pPr>
      <w:r w:rsidRPr="00562615">
        <w:rPr>
          <w:color w:val="auto"/>
        </w:rPr>
        <w:t xml:space="preserve">At least one measurable lesion according to the Lugano Response Criteria for Malignant </w:t>
      </w:r>
      <w:proofErr w:type="gramStart"/>
      <w:r w:rsidRPr="00562615">
        <w:rPr>
          <w:color w:val="auto"/>
        </w:rPr>
        <w:t>Lymphoma;</w:t>
      </w:r>
      <w:proofErr w:type="gramEnd"/>
      <w:r w:rsidRPr="00562615">
        <w:rPr>
          <w:color w:val="auto"/>
        </w:rPr>
        <w:t xml:space="preserve"> </w:t>
      </w:r>
    </w:p>
    <w:p w14:paraId="440B245D" w14:textId="31A10F10" w:rsidR="004904DB" w:rsidRPr="00562615" w:rsidRDefault="004904DB" w:rsidP="00451925">
      <w:pPr>
        <w:pStyle w:val="Instructionaltext"/>
        <w:numPr>
          <w:ilvl w:val="0"/>
          <w:numId w:val="15"/>
        </w:numPr>
        <w:spacing w:before="0"/>
        <w:rPr>
          <w:color w:val="auto"/>
        </w:rPr>
      </w:pPr>
      <w:r w:rsidRPr="004904DB">
        <w:rPr>
          <w:color w:val="auto"/>
        </w:rPr>
        <w:lastRenderedPageBreak/>
        <w:t xml:space="preserve">No known history or suspicion of central nervous system (CNS) involvement by </w:t>
      </w:r>
      <w:proofErr w:type="gramStart"/>
      <w:r w:rsidRPr="004904DB">
        <w:rPr>
          <w:color w:val="auto"/>
        </w:rPr>
        <w:t>lymphoma;</w:t>
      </w:r>
      <w:proofErr w:type="gramEnd"/>
    </w:p>
    <w:p w14:paraId="751A6083" w14:textId="76099921" w:rsidR="00562615" w:rsidRPr="00562615" w:rsidRDefault="00562615" w:rsidP="00451925">
      <w:pPr>
        <w:pStyle w:val="Instructionaltext"/>
        <w:numPr>
          <w:ilvl w:val="0"/>
          <w:numId w:val="15"/>
        </w:numPr>
        <w:spacing w:before="0"/>
        <w:rPr>
          <w:color w:val="auto"/>
        </w:rPr>
      </w:pPr>
      <w:r w:rsidRPr="00562615">
        <w:rPr>
          <w:color w:val="auto"/>
        </w:rPr>
        <w:t xml:space="preserve">At least 2 weeks or 5 half-lives, whichever was shorter, must have elapsed since any prior systemic therapy and enrolment, except for systemic inhibitory/stimulatory immune checkpoint therapy. At least 3 half-lives must have elapsed from any prior systemic inhibitory/stimulatory immune checkpoint molecule therapy and </w:t>
      </w:r>
      <w:proofErr w:type="gramStart"/>
      <w:r w:rsidRPr="00562615">
        <w:rPr>
          <w:color w:val="auto"/>
        </w:rPr>
        <w:t>enrolment;</w:t>
      </w:r>
      <w:proofErr w:type="gramEnd"/>
      <w:r w:rsidRPr="00562615">
        <w:rPr>
          <w:color w:val="auto"/>
        </w:rPr>
        <w:t xml:space="preserve"> </w:t>
      </w:r>
    </w:p>
    <w:p w14:paraId="0FF56FF6" w14:textId="00DE9296" w:rsidR="00562615" w:rsidRPr="00562615" w:rsidRDefault="00562615" w:rsidP="00451925">
      <w:pPr>
        <w:pStyle w:val="Instructionaltext"/>
        <w:numPr>
          <w:ilvl w:val="0"/>
          <w:numId w:val="15"/>
        </w:numPr>
        <w:spacing w:before="0"/>
        <w:rPr>
          <w:color w:val="auto"/>
        </w:rPr>
      </w:pPr>
      <w:r w:rsidRPr="00562615">
        <w:rPr>
          <w:color w:val="auto"/>
        </w:rPr>
        <w:t>Absolute neutrophil count ≥ 1000/</w:t>
      </w:r>
      <w:proofErr w:type="spellStart"/>
      <w:r w:rsidRPr="00562615">
        <w:rPr>
          <w:color w:val="auto"/>
        </w:rPr>
        <w:t>μL</w:t>
      </w:r>
      <w:proofErr w:type="spellEnd"/>
      <w:r w:rsidRPr="00562615">
        <w:rPr>
          <w:color w:val="auto"/>
        </w:rPr>
        <w:t>; platelet count ≥ 75,000/</w:t>
      </w:r>
      <w:proofErr w:type="spellStart"/>
      <w:r w:rsidRPr="00562615">
        <w:rPr>
          <w:color w:val="auto"/>
        </w:rPr>
        <w:t>μL</w:t>
      </w:r>
      <w:proofErr w:type="spellEnd"/>
      <w:r w:rsidRPr="00562615">
        <w:rPr>
          <w:color w:val="auto"/>
        </w:rPr>
        <w:t>; absolute lymphocyte count ≥ 100/</w:t>
      </w:r>
      <w:proofErr w:type="spellStart"/>
      <w:r w:rsidRPr="00562615">
        <w:rPr>
          <w:color w:val="auto"/>
        </w:rPr>
        <w:t>μL</w:t>
      </w:r>
      <w:proofErr w:type="spellEnd"/>
      <w:r w:rsidRPr="00562615">
        <w:rPr>
          <w:color w:val="auto"/>
        </w:rPr>
        <w:t>; and</w:t>
      </w:r>
    </w:p>
    <w:p w14:paraId="55D4F945" w14:textId="1B54F7BF" w:rsidR="00562615" w:rsidRPr="00562615" w:rsidRDefault="00562615" w:rsidP="00451925">
      <w:pPr>
        <w:pStyle w:val="Instructionaltext"/>
        <w:numPr>
          <w:ilvl w:val="0"/>
          <w:numId w:val="15"/>
        </w:numPr>
        <w:spacing w:before="0"/>
        <w:rPr>
          <w:color w:val="auto"/>
        </w:rPr>
      </w:pPr>
      <w:r w:rsidRPr="00562615">
        <w:rPr>
          <w:color w:val="auto"/>
        </w:rPr>
        <w:t>No clinically significant pleural effusion.</w:t>
      </w:r>
    </w:p>
    <w:p w14:paraId="567E5034" w14:textId="59D5E7A1" w:rsidR="004736C7" w:rsidRDefault="00562615" w:rsidP="00562615">
      <w:pPr>
        <w:pStyle w:val="Instructionaltext"/>
        <w:rPr>
          <w:color w:val="auto"/>
        </w:rPr>
      </w:pPr>
      <w:r w:rsidRPr="00562615">
        <w:rPr>
          <w:color w:val="auto"/>
        </w:rPr>
        <w:t>Patients with history of allogeneic stem cell transplant</w:t>
      </w:r>
      <w:r w:rsidR="00D86E94">
        <w:rPr>
          <w:color w:val="auto"/>
        </w:rPr>
        <w:t xml:space="preserve"> or </w:t>
      </w:r>
      <w:r w:rsidR="00D86E94" w:rsidRPr="00D86E94">
        <w:rPr>
          <w:color w:val="auto"/>
        </w:rPr>
        <w:t>autologous transplant within 6 weeks of planned leukapheresis</w:t>
      </w:r>
      <w:r w:rsidRPr="00562615">
        <w:rPr>
          <w:color w:val="auto"/>
        </w:rPr>
        <w:t>, prior CD19 targeted therapy, prior CAR therapy or other genetically modified T-cell therapy were also excluded from ZUMA-5 but not the requested population.</w:t>
      </w:r>
    </w:p>
    <w:p w14:paraId="44ED0B28" w14:textId="5E058DF1" w:rsidR="00C60F85" w:rsidRPr="003026A2" w:rsidRDefault="000616F7" w:rsidP="00562615">
      <w:pPr>
        <w:pStyle w:val="Instructionaltext"/>
        <w:rPr>
          <w:color w:val="auto"/>
        </w:rPr>
      </w:pPr>
      <w:r>
        <w:rPr>
          <w:color w:val="auto"/>
        </w:rPr>
        <w:t>T</w:t>
      </w:r>
      <w:r w:rsidR="003F65EB">
        <w:rPr>
          <w:color w:val="auto"/>
        </w:rPr>
        <w:t xml:space="preserve">wo recent publications </w:t>
      </w:r>
      <w:r w:rsidR="0011658A">
        <w:rPr>
          <w:color w:val="auto"/>
        </w:rPr>
        <w:t>(</w:t>
      </w:r>
      <w:proofErr w:type="spellStart"/>
      <w:r w:rsidR="0011658A">
        <w:rPr>
          <w:color w:val="auto"/>
        </w:rPr>
        <w:t>Neelapu</w:t>
      </w:r>
      <w:proofErr w:type="spellEnd"/>
      <w:r w:rsidR="0011658A">
        <w:rPr>
          <w:color w:val="auto"/>
        </w:rPr>
        <w:t xml:space="preserve"> et al. 2024</w:t>
      </w:r>
      <w:r w:rsidR="0011658A">
        <w:rPr>
          <w:rStyle w:val="FootnoteReference"/>
          <w:color w:val="auto"/>
        </w:rPr>
        <w:footnoteReference w:id="9"/>
      </w:r>
      <w:r w:rsidR="0011658A">
        <w:rPr>
          <w:color w:val="auto"/>
        </w:rPr>
        <w:t xml:space="preserve"> and </w:t>
      </w:r>
      <w:proofErr w:type="spellStart"/>
      <w:r w:rsidR="00D173AD" w:rsidDel="00B401BE">
        <w:rPr>
          <w:color w:val="auto"/>
        </w:rPr>
        <w:t>I</w:t>
      </w:r>
      <w:r w:rsidR="00D173AD">
        <w:rPr>
          <w:color w:val="auto"/>
        </w:rPr>
        <w:t>acoboni</w:t>
      </w:r>
      <w:proofErr w:type="spellEnd"/>
      <w:r w:rsidR="00D173AD">
        <w:rPr>
          <w:color w:val="auto"/>
        </w:rPr>
        <w:t xml:space="preserve"> et al. 2024</w:t>
      </w:r>
      <w:r w:rsidR="002E0EB5">
        <w:rPr>
          <w:rStyle w:val="FootnoteReference"/>
          <w:color w:val="auto"/>
        </w:rPr>
        <w:footnoteReference w:id="10"/>
      </w:r>
      <w:r w:rsidR="0011658A">
        <w:rPr>
          <w:color w:val="auto"/>
        </w:rPr>
        <w:t>)</w:t>
      </w:r>
      <w:r w:rsidR="00C8372D">
        <w:rPr>
          <w:color w:val="auto"/>
        </w:rPr>
        <w:t xml:space="preserve"> ha</w:t>
      </w:r>
      <w:r w:rsidR="003A1ADE">
        <w:rPr>
          <w:color w:val="auto"/>
        </w:rPr>
        <w:t>ve</w:t>
      </w:r>
      <w:r w:rsidR="00C8372D">
        <w:rPr>
          <w:color w:val="auto"/>
        </w:rPr>
        <w:t xml:space="preserve"> r</w:t>
      </w:r>
      <w:r w:rsidR="008E29A5">
        <w:rPr>
          <w:color w:val="auto"/>
        </w:rPr>
        <w:t xml:space="preserve">eported </w:t>
      </w:r>
      <w:r w:rsidR="00EB789B">
        <w:rPr>
          <w:color w:val="auto"/>
        </w:rPr>
        <w:t xml:space="preserve">that recent </w:t>
      </w:r>
      <w:r w:rsidR="00B44F1A">
        <w:rPr>
          <w:color w:val="auto"/>
        </w:rPr>
        <w:t xml:space="preserve">prior </w:t>
      </w:r>
      <w:proofErr w:type="spellStart"/>
      <w:r w:rsidR="00A272D9" w:rsidRPr="00A272D9">
        <w:rPr>
          <w:color w:val="auto"/>
        </w:rPr>
        <w:t>bendamustine</w:t>
      </w:r>
      <w:proofErr w:type="spellEnd"/>
      <w:r w:rsidR="00A272D9" w:rsidRPr="00A272D9">
        <w:rPr>
          <w:color w:val="auto"/>
        </w:rPr>
        <w:t xml:space="preserve"> </w:t>
      </w:r>
      <w:r w:rsidR="006B40AC">
        <w:rPr>
          <w:color w:val="auto"/>
        </w:rPr>
        <w:t xml:space="preserve">use before </w:t>
      </w:r>
      <w:r w:rsidR="00FE64C3">
        <w:rPr>
          <w:color w:val="auto"/>
        </w:rPr>
        <w:t>AXI/</w:t>
      </w:r>
      <w:r w:rsidR="00A272D9" w:rsidRPr="00A272D9">
        <w:rPr>
          <w:color w:val="auto"/>
        </w:rPr>
        <w:t xml:space="preserve"> CD19-targeted CAR T-cell therapy</w:t>
      </w:r>
      <w:r w:rsidR="00FE64C3">
        <w:rPr>
          <w:color w:val="auto"/>
        </w:rPr>
        <w:t xml:space="preserve"> may </w:t>
      </w:r>
      <w:r w:rsidR="00217692">
        <w:rPr>
          <w:color w:val="auto"/>
        </w:rPr>
        <w:t>negatively impact treatment response</w:t>
      </w:r>
      <w:r w:rsidR="00A272D9">
        <w:rPr>
          <w:color w:val="auto"/>
        </w:rPr>
        <w:t xml:space="preserve">. </w:t>
      </w:r>
    </w:p>
    <w:p w14:paraId="34E0B08F" w14:textId="327A7614" w:rsidR="00772829" w:rsidRPr="00CE28E3" w:rsidRDefault="002176CC" w:rsidP="002A18BE">
      <w:pPr>
        <w:pStyle w:val="Heading2"/>
        <w:numPr>
          <w:ilvl w:val="0"/>
          <w:numId w:val="0"/>
        </w:numPr>
      </w:pPr>
      <w:bookmarkStart w:id="8" w:name="_Toc69491419"/>
      <w:r>
        <w:t>7</w:t>
      </w:r>
      <w:r w:rsidR="00C36633">
        <w:t>.</w:t>
      </w:r>
      <w:r>
        <w:tab/>
      </w:r>
      <w:r w:rsidR="00772829">
        <w:t>Population</w:t>
      </w:r>
      <w:bookmarkEnd w:id="8"/>
      <w:r w:rsidR="00772829">
        <w:t xml:space="preserve"> </w:t>
      </w:r>
    </w:p>
    <w:p w14:paraId="60B9DEA7" w14:textId="47CC10F9" w:rsidR="00185118" w:rsidRDefault="009D7FBA" w:rsidP="0000109A">
      <w:pPr>
        <w:pStyle w:val="Instructionaltext"/>
        <w:rPr>
          <w:color w:val="auto"/>
        </w:rPr>
      </w:pPr>
      <w:r>
        <w:rPr>
          <w:color w:val="auto"/>
        </w:rPr>
        <w:t>The ADAR</w:t>
      </w:r>
      <w:r w:rsidR="002B755C">
        <w:rPr>
          <w:color w:val="auto"/>
        </w:rPr>
        <w:t xml:space="preserve">’s proposed population was </w:t>
      </w:r>
      <w:r w:rsidR="009669A9">
        <w:rPr>
          <w:color w:val="auto"/>
        </w:rPr>
        <w:t>adult patients with Grade 1</w:t>
      </w:r>
      <w:r w:rsidR="00F030B3">
        <w:rPr>
          <w:color w:val="auto"/>
        </w:rPr>
        <w:t xml:space="preserve">, Grade 2, </w:t>
      </w:r>
      <w:r w:rsidR="00C41579">
        <w:rPr>
          <w:color w:val="auto"/>
        </w:rPr>
        <w:t>or</w:t>
      </w:r>
      <w:r w:rsidR="00A566CF" w:rsidRPr="00A566CF">
        <w:t xml:space="preserve"> </w:t>
      </w:r>
      <w:r w:rsidR="00A566CF" w:rsidRPr="00A566CF">
        <w:rPr>
          <w:color w:val="auto"/>
        </w:rPr>
        <w:t xml:space="preserve">Grade 3a </w:t>
      </w:r>
      <w:r w:rsidR="00F95648">
        <w:rPr>
          <w:color w:val="auto"/>
        </w:rPr>
        <w:t>FL</w:t>
      </w:r>
      <w:r w:rsidR="00A566CF" w:rsidRPr="00A566CF">
        <w:rPr>
          <w:color w:val="auto"/>
        </w:rPr>
        <w:t xml:space="preserve"> and </w:t>
      </w:r>
      <w:r w:rsidR="00F95648">
        <w:rPr>
          <w:color w:val="auto"/>
        </w:rPr>
        <w:t>r/r</w:t>
      </w:r>
      <w:r w:rsidR="00A566CF" w:rsidRPr="00A566CF">
        <w:rPr>
          <w:color w:val="auto"/>
        </w:rPr>
        <w:t xml:space="preserve"> disease after two or more lines of therapy.</w:t>
      </w:r>
      <w:r w:rsidR="00C41579">
        <w:rPr>
          <w:color w:val="auto"/>
        </w:rPr>
        <w:t xml:space="preserve"> </w:t>
      </w:r>
      <w:r w:rsidR="00BC0051" w:rsidRPr="00BC0051">
        <w:rPr>
          <w:color w:val="auto"/>
        </w:rPr>
        <w:t>However, as per the applicant’s clinical algorithm, there is a subset of patients who may be asymptomatic and/or low tumour burden and therefore not require active therapy (</w:t>
      </w:r>
      <w:r w:rsidR="00DE151C">
        <w:rPr>
          <w:color w:val="auto"/>
        </w:rPr>
        <w:t xml:space="preserve">see </w:t>
      </w:r>
      <w:r w:rsidR="007F5BD5">
        <w:rPr>
          <w:color w:val="auto"/>
        </w:rPr>
        <w:t xml:space="preserve">Figure </w:t>
      </w:r>
      <w:r w:rsidR="000F17B6">
        <w:rPr>
          <w:color w:val="auto"/>
        </w:rPr>
        <w:t xml:space="preserve">2 &amp; 3, </w:t>
      </w:r>
      <w:r w:rsidR="00DE151C">
        <w:rPr>
          <w:color w:val="auto"/>
        </w:rPr>
        <w:t>MSAC 1771 PICO Set Document</w:t>
      </w:r>
      <w:r w:rsidR="00BC0051" w:rsidRPr="00BC0051">
        <w:rPr>
          <w:color w:val="auto"/>
        </w:rPr>
        <w:t>).</w:t>
      </w:r>
      <w:r w:rsidR="007F3D37">
        <w:rPr>
          <w:color w:val="auto"/>
        </w:rPr>
        <w:t xml:space="preserve"> </w:t>
      </w:r>
    </w:p>
    <w:p w14:paraId="672AD386" w14:textId="559AFC54" w:rsidR="003A79A6" w:rsidRDefault="264AE87C" w:rsidP="0000109A">
      <w:pPr>
        <w:pStyle w:val="Instructionaltext"/>
        <w:rPr>
          <w:color w:val="auto"/>
        </w:rPr>
      </w:pPr>
      <w:r w:rsidRPr="23728776">
        <w:rPr>
          <w:color w:val="auto"/>
        </w:rPr>
        <w:t>ESC considered that</w:t>
      </w:r>
      <w:r w:rsidR="3D893641" w:rsidRPr="23728776">
        <w:rPr>
          <w:color w:val="auto"/>
        </w:rPr>
        <w:t xml:space="preserve"> additional eligibility criteria</w:t>
      </w:r>
      <w:r w:rsidR="5E80AACE" w:rsidRPr="23728776">
        <w:rPr>
          <w:color w:val="auto"/>
        </w:rPr>
        <w:t xml:space="preserve"> should be included within</w:t>
      </w:r>
      <w:r w:rsidR="4E911350" w:rsidRPr="23728776">
        <w:rPr>
          <w:color w:val="auto"/>
        </w:rPr>
        <w:t xml:space="preserve"> the patient population definition</w:t>
      </w:r>
      <w:r w:rsidR="5E80AACE" w:rsidRPr="23728776">
        <w:rPr>
          <w:color w:val="auto"/>
        </w:rPr>
        <w:t>,</w:t>
      </w:r>
      <w:r w:rsidR="4E911350" w:rsidRPr="23728776">
        <w:rPr>
          <w:color w:val="auto"/>
        </w:rPr>
        <w:t xml:space="preserve"> to</w:t>
      </w:r>
      <w:r w:rsidR="131D7B2A" w:rsidRPr="23728776">
        <w:rPr>
          <w:color w:val="auto"/>
        </w:rPr>
        <w:t xml:space="preserve"> align with the clinical </w:t>
      </w:r>
      <w:r w:rsidR="000145DC">
        <w:rPr>
          <w:color w:val="auto"/>
        </w:rPr>
        <w:t>study</w:t>
      </w:r>
      <w:r w:rsidR="131D7B2A" w:rsidRPr="23728776">
        <w:rPr>
          <w:color w:val="auto"/>
        </w:rPr>
        <w:t xml:space="preserve"> criteria and international guidelines, and to</w:t>
      </w:r>
      <w:r w:rsidR="4E911350" w:rsidRPr="23728776">
        <w:rPr>
          <w:color w:val="auto"/>
        </w:rPr>
        <w:t xml:space="preserve"> reflect the subpopulation intended for active treatment and therefore those most likely to benefit from AXI</w:t>
      </w:r>
      <w:r w:rsidR="79B144D5" w:rsidRPr="23728776">
        <w:rPr>
          <w:color w:val="auto"/>
        </w:rPr>
        <w:t>.</w:t>
      </w:r>
      <w:r w:rsidR="131D7B2A" w:rsidRPr="23728776">
        <w:rPr>
          <w:color w:val="auto"/>
        </w:rPr>
        <w:t xml:space="preserve"> Specifically, ESC considered that </w:t>
      </w:r>
      <w:r w:rsidR="53FB2E0C" w:rsidRPr="00B55833">
        <w:rPr>
          <w:rStyle w:val="Strong"/>
          <w:b w:val="0"/>
          <w:bCs w:val="0"/>
          <w:color w:val="auto"/>
        </w:rPr>
        <w:t>the proposed population should exclude patients who have</w:t>
      </w:r>
      <w:r w:rsidR="4781CF3D" w:rsidRPr="00B55833">
        <w:rPr>
          <w:rStyle w:val="Strong"/>
          <w:b w:val="0"/>
          <w:bCs w:val="0"/>
          <w:color w:val="auto"/>
        </w:rPr>
        <w:t xml:space="preserve"> history or suspicion of central nervous system involvement by lymphoma, </w:t>
      </w:r>
      <w:r w:rsidR="53FB2E0C" w:rsidRPr="00B55833">
        <w:rPr>
          <w:rStyle w:val="Strong"/>
          <w:b w:val="0"/>
          <w:bCs w:val="0"/>
          <w:color w:val="auto"/>
        </w:rPr>
        <w:t>and that anti-CD20 monotherapy should not be counted as a prior line of therapy</w:t>
      </w:r>
      <w:r w:rsidR="007F21DC" w:rsidRPr="00576523">
        <w:rPr>
          <w:rStyle w:val="Strong"/>
          <w:b w:val="0"/>
          <w:bCs w:val="0"/>
          <w:color w:val="auto"/>
        </w:rPr>
        <w:t xml:space="preserve">, which are included in </w:t>
      </w:r>
      <w:r w:rsidR="007F21DC" w:rsidRPr="00576523">
        <w:rPr>
          <w:rStyle w:val="Strong"/>
          <w:b w:val="0"/>
          <w:bCs w:val="0"/>
          <w:color w:val="auto"/>
        </w:rPr>
        <w:fldChar w:fldCharType="begin"/>
      </w:r>
      <w:r w:rsidR="007F21DC" w:rsidRPr="00576523">
        <w:rPr>
          <w:rStyle w:val="Strong"/>
          <w:b w:val="0"/>
          <w:bCs w:val="0"/>
          <w:color w:val="auto"/>
        </w:rPr>
        <w:instrText xml:space="preserve"> REF _Ref69481033 \h </w:instrText>
      </w:r>
      <w:r w:rsidR="007F21DC" w:rsidRPr="00576523">
        <w:rPr>
          <w:rStyle w:val="Strong"/>
          <w:b w:val="0"/>
          <w:bCs w:val="0"/>
          <w:color w:val="auto"/>
        </w:rPr>
      </w:r>
      <w:r w:rsidR="007F21DC" w:rsidRPr="00576523">
        <w:rPr>
          <w:rStyle w:val="Strong"/>
          <w:b w:val="0"/>
          <w:bCs w:val="0"/>
          <w:color w:val="auto"/>
        </w:rPr>
        <w:fldChar w:fldCharType="separate"/>
      </w:r>
      <w:r w:rsidR="007F21DC" w:rsidRPr="00576523">
        <w:rPr>
          <w:color w:val="auto"/>
        </w:rPr>
        <w:t>Table </w:t>
      </w:r>
      <w:r w:rsidR="007F21DC" w:rsidRPr="00576523">
        <w:rPr>
          <w:noProof/>
          <w:color w:val="auto"/>
        </w:rPr>
        <w:t>1</w:t>
      </w:r>
      <w:r w:rsidR="007F21DC" w:rsidRPr="00576523">
        <w:rPr>
          <w:rStyle w:val="Strong"/>
          <w:b w:val="0"/>
          <w:bCs w:val="0"/>
          <w:color w:val="auto"/>
        </w:rPr>
        <w:fldChar w:fldCharType="end"/>
      </w:r>
      <w:r w:rsidR="00EF40B3" w:rsidRPr="00576523">
        <w:rPr>
          <w:rStyle w:val="Strong"/>
          <w:b w:val="0"/>
          <w:bCs w:val="0"/>
          <w:color w:val="auto"/>
        </w:rPr>
        <w:t>, above.</w:t>
      </w:r>
    </w:p>
    <w:p w14:paraId="0B3F52AE" w14:textId="2CDEA4E4" w:rsidR="00807BB7" w:rsidRPr="00925C4F" w:rsidRDefault="486AD4B5" w:rsidP="004F7E6C">
      <w:pPr>
        <w:pStyle w:val="Instructionaltext"/>
        <w:rPr>
          <w:color w:val="auto"/>
        </w:rPr>
      </w:pPr>
      <w:r w:rsidRPr="23728776">
        <w:rPr>
          <w:color w:val="auto"/>
        </w:rPr>
        <w:t xml:space="preserve">The proposed intervention would be </w:t>
      </w:r>
      <w:r w:rsidR="6E40A9AD" w:rsidRPr="23728776">
        <w:rPr>
          <w:color w:val="auto"/>
        </w:rPr>
        <w:t xml:space="preserve">available in the </w:t>
      </w:r>
      <w:r w:rsidR="094675FC" w:rsidRPr="23728776">
        <w:rPr>
          <w:color w:val="auto"/>
        </w:rPr>
        <w:t>3L</w:t>
      </w:r>
      <w:r w:rsidR="6E40A9AD" w:rsidRPr="23728776">
        <w:rPr>
          <w:color w:val="auto"/>
        </w:rPr>
        <w:t xml:space="preserve"> setting </w:t>
      </w:r>
      <w:r w:rsidR="353F3BB8" w:rsidRPr="23728776">
        <w:rPr>
          <w:color w:val="auto"/>
        </w:rPr>
        <w:t>and would be used in place of current technology. Compared to existing practice, this would result in</w:t>
      </w:r>
      <w:r w:rsidR="7B59F883" w:rsidRPr="23728776">
        <w:rPr>
          <w:color w:val="auto"/>
        </w:rPr>
        <w:t xml:space="preserve"> r</w:t>
      </w:r>
      <w:r w:rsidR="73D2D81F" w:rsidRPr="23728776">
        <w:rPr>
          <w:color w:val="auto"/>
        </w:rPr>
        <w:t>educed use of the comparator (</w:t>
      </w:r>
      <w:r w:rsidR="5D43E5C5" w:rsidRPr="23728776">
        <w:rPr>
          <w:color w:val="auto"/>
        </w:rPr>
        <w:t>SOC</w:t>
      </w:r>
      <w:r w:rsidR="73D2D81F" w:rsidRPr="23728776">
        <w:rPr>
          <w:color w:val="auto"/>
        </w:rPr>
        <w:t xml:space="preserve">) in the </w:t>
      </w:r>
      <w:r w:rsidR="094675FC" w:rsidRPr="23728776">
        <w:rPr>
          <w:color w:val="auto"/>
        </w:rPr>
        <w:t>3L</w:t>
      </w:r>
      <w:r w:rsidR="73D2D81F" w:rsidRPr="23728776">
        <w:rPr>
          <w:color w:val="auto"/>
        </w:rPr>
        <w:t xml:space="preserve"> setting. AXI would substitute </w:t>
      </w:r>
      <w:r w:rsidR="6F30A99C" w:rsidRPr="23728776">
        <w:rPr>
          <w:color w:val="auto"/>
        </w:rPr>
        <w:t>SOC</w:t>
      </w:r>
      <w:r w:rsidR="28A97288" w:rsidRPr="23728776">
        <w:rPr>
          <w:color w:val="auto"/>
        </w:rPr>
        <w:t xml:space="preserve"> in Australia, consisting of </w:t>
      </w:r>
      <w:r w:rsidR="4CD72887" w:rsidRPr="23728776">
        <w:rPr>
          <w:color w:val="auto"/>
        </w:rPr>
        <w:t xml:space="preserve">(as nominated by the ADAR) </w:t>
      </w:r>
      <w:r w:rsidR="28A97288" w:rsidRPr="23728776">
        <w:rPr>
          <w:color w:val="auto"/>
        </w:rPr>
        <w:t xml:space="preserve">anti CD20 monotherapy, </w:t>
      </w:r>
      <w:r w:rsidR="4CD72887" w:rsidRPr="23728776">
        <w:rPr>
          <w:color w:val="auto"/>
        </w:rPr>
        <w:t>anti CD20 therapy in combination with chemotherapy, chemotherapy,</w:t>
      </w:r>
      <w:r w:rsidR="2A75180C" w:rsidRPr="23728776">
        <w:rPr>
          <w:color w:val="auto"/>
        </w:rPr>
        <w:t xml:space="preserve"> and</w:t>
      </w:r>
      <w:r w:rsidR="4CD72887" w:rsidRPr="23728776">
        <w:rPr>
          <w:color w:val="auto"/>
        </w:rPr>
        <w:t xml:space="preserve"> </w:t>
      </w:r>
      <w:r w:rsidR="4C1BFFA3" w:rsidRPr="23728776">
        <w:rPr>
          <w:color w:val="auto"/>
        </w:rPr>
        <w:t>phosphoinositide-3-kinase δ (</w:t>
      </w:r>
      <w:r w:rsidR="4CD72887" w:rsidRPr="23728776">
        <w:rPr>
          <w:color w:val="auto"/>
        </w:rPr>
        <w:t>PI3Kδ</w:t>
      </w:r>
      <w:r w:rsidR="4C1BFFA3" w:rsidRPr="23728776">
        <w:rPr>
          <w:color w:val="auto"/>
        </w:rPr>
        <w:t>)</w:t>
      </w:r>
      <w:r w:rsidR="4CD72887" w:rsidRPr="23728776">
        <w:rPr>
          <w:color w:val="auto"/>
        </w:rPr>
        <w:t xml:space="preserve"> inhibitors</w:t>
      </w:r>
      <w:r w:rsidR="2A75180C" w:rsidRPr="23728776">
        <w:rPr>
          <w:color w:val="auto"/>
        </w:rPr>
        <w:t>.</w:t>
      </w:r>
      <w:r w:rsidR="4CD72887" w:rsidRPr="23728776">
        <w:rPr>
          <w:color w:val="auto"/>
        </w:rPr>
        <w:t xml:space="preserve"> </w:t>
      </w:r>
      <w:r w:rsidR="5D0929C8" w:rsidRPr="23728776">
        <w:rPr>
          <w:color w:val="auto"/>
        </w:rPr>
        <w:t xml:space="preserve">However, of note, AXI </w:t>
      </w:r>
      <w:r w:rsidR="392235B0" w:rsidRPr="23728776">
        <w:rPr>
          <w:color w:val="auto"/>
        </w:rPr>
        <w:t>is not expected to</w:t>
      </w:r>
      <w:r w:rsidR="5D0929C8" w:rsidRPr="23728776">
        <w:rPr>
          <w:color w:val="auto"/>
        </w:rPr>
        <w:t xml:space="preserve"> fully replace </w:t>
      </w:r>
      <w:r w:rsidR="3AFC48BD" w:rsidRPr="23728776">
        <w:rPr>
          <w:color w:val="auto"/>
        </w:rPr>
        <w:t>SOC</w:t>
      </w:r>
      <w:r w:rsidR="5D0929C8" w:rsidRPr="23728776">
        <w:rPr>
          <w:color w:val="auto"/>
        </w:rPr>
        <w:t xml:space="preserve"> for several reasons (e.g., failure of leukapheresis, preference, access). </w:t>
      </w:r>
    </w:p>
    <w:p w14:paraId="66BDFCC1" w14:textId="5B3FA72A" w:rsidR="00772829" w:rsidRPr="00CE28E3" w:rsidRDefault="002176CC" w:rsidP="002A18BE">
      <w:pPr>
        <w:pStyle w:val="Heading2"/>
        <w:numPr>
          <w:ilvl w:val="0"/>
          <w:numId w:val="0"/>
        </w:numPr>
      </w:pPr>
      <w:bookmarkStart w:id="9" w:name="_Toc69491420"/>
      <w:r>
        <w:lastRenderedPageBreak/>
        <w:t>8</w:t>
      </w:r>
      <w:r w:rsidR="685E2C40">
        <w:t>.</w:t>
      </w:r>
      <w:r>
        <w:tab/>
      </w:r>
      <w:r w:rsidR="753C6C71">
        <w:t>Comparator</w:t>
      </w:r>
      <w:bookmarkEnd w:id="9"/>
    </w:p>
    <w:p w14:paraId="0828DC44" w14:textId="3E2F547B" w:rsidR="008B7DE1" w:rsidRDefault="008B7DE1" w:rsidP="00E76AE0">
      <w:pPr>
        <w:pStyle w:val="Instructionaltext"/>
        <w:rPr>
          <w:color w:val="auto"/>
        </w:rPr>
      </w:pPr>
      <w:r w:rsidRPr="008B7DE1">
        <w:rPr>
          <w:color w:val="auto"/>
        </w:rPr>
        <w:t xml:space="preserve">The ADAR described that there is no uniformly recommended systemic treatment for patients with </w:t>
      </w:r>
      <w:r w:rsidR="00334BCD">
        <w:rPr>
          <w:color w:val="auto"/>
        </w:rPr>
        <w:t>FL</w:t>
      </w:r>
      <w:r w:rsidRPr="008B7DE1">
        <w:rPr>
          <w:color w:val="auto"/>
        </w:rPr>
        <w:t xml:space="preserve"> who are </w:t>
      </w:r>
      <w:r w:rsidR="00334BCD">
        <w:rPr>
          <w:color w:val="auto"/>
        </w:rPr>
        <w:t xml:space="preserve">r/r </w:t>
      </w:r>
      <w:r w:rsidRPr="008B7DE1">
        <w:rPr>
          <w:color w:val="auto"/>
        </w:rPr>
        <w:t>after two or more lines of systemic therapy. Instead, treatments are chosen based on individual patient circumstances such as the mechanism of action and duration of response to prior treatments.</w:t>
      </w:r>
    </w:p>
    <w:p w14:paraId="4D9248FC" w14:textId="1F1BCB7B" w:rsidR="007E7CCA" w:rsidRDefault="0A6465DF" w:rsidP="007E7CCA">
      <w:pPr>
        <w:pStyle w:val="Instructionaltext"/>
        <w:rPr>
          <w:color w:val="auto"/>
        </w:rPr>
      </w:pPr>
      <w:r w:rsidRPr="23728776">
        <w:rPr>
          <w:color w:val="auto"/>
        </w:rPr>
        <w:t xml:space="preserve">The ADAR’s proposed comparator was </w:t>
      </w:r>
      <w:r w:rsidR="18DD20F4" w:rsidRPr="23728776">
        <w:rPr>
          <w:color w:val="auto"/>
        </w:rPr>
        <w:t>SOC</w:t>
      </w:r>
      <w:r w:rsidRPr="23728776">
        <w:rPr>
          <w:color w:val="auto"/>
        </w:rPr>
        <w:t>, represented by a ‘basket’ of the following regimens, all currently funded on the PBS:</w:t>
      </w:r>
    </w:p>
    <w:p w14:paraId="000136AD" w14:textId="4E02B6E5" w:rsidR="006F04D9" w:rsidRDefault="00E05130" w:rsidP="00451925">
      <w:pPr>
        <w:pStyle w:val="Instructionaltext"/>
        <w:numPr>
          <w:ilvl w:val="0"/>
          <w:numId w:val="16"/>
        </w:numPr>
        <w:rPr>
          <w:color w:val="auto"/>
        </w:rPr>
      </w:pPr>
      <w:r>
        <w:rPr>
          <w:color w:val="auto"/>
        </w:rPr>
        <w:t>a</w:t>
      </w:r>
      <w:r w:rsidR="006F04D9" w:rsidRPr="006F04D9">
        <w:rPr>
          <w:color w:val="auto"/>
        </w:rPr>
        <w:t xml:space="preserve">nti CD20 monotherapy </w:t>
      </w:r>
    </w:p>
    <w:p w14:paraId="6381EA06" w14:textId="05A44E7F" w:rsidR="006F04D9" w:rsidRDefault="00E05130" w:rsidP="00451925">
      <w:pPr>
        <w:pStyle w:val="Instructionaltext"/>
        <w:numPr>
          <w:ilvl w:val="0"/>
          <w:numId w:val="16"/>
        </w:numPr>
        <w:rPr>
          <w:color w:val="auto"/>
        </w:rPr>
      </w:pPr>
      <w:r>
        <w:rPr>
          <w:color w:val="auto"/>
        </w:rPr>
        <w:t>a</w:t>
      </w:r>
      <w:r w:rsidR="006F04D9" w:rsidRPr="006F04D9">
        <w:rPr>
          <w:color w:val="auto"/>
        </w:rPr>
        <w:t>nti CD20 therapy in combination with chemotherapy</w:t>
      </w:r>
    </w:p>
    <w:p w14:paraId="1B51BFDA" w14:textId="5F712E35" w:rsidR="006F04D9" w:rsidRDefault="00E05130" w:rsidP="00451925">
      <w:pPr>
        <w:pStyle w:val="Instructionaltext"/>
        <w:numPr>
          <w:ilvl w:val="0"/>
          <w:numId w:val="16"/>
        </w:numPr>
        <w:rPr>
          <w:color w:val="auto"/>
        </w:rPr>
      </w:pPr>
      <w:r>
        <w:rPr>
          <w:color w:val="auto"/>
        </w:rPr>
        <w:t>c</w:t>
      </w:r>
      <w:r w:rsidR="006F04D9" w:rsidRPr="006F04D9">
        <w:rPr>
          <w:color w:val="auto"/>
        </w:rPr>
        <w:t xml:space="preserve">hemotherapy </w:t>
      </w:r>
    </w:p>
    <w:p w14:paraId="09871519" w14:textId="6F5D3BC1" w:rsidR="00925C4F" w:rsidRDefault="006F04D9" w:rsidP="00451925">
      <w:pPr>
        <w:pStyle w:val="Instructionaltext"/>
        <w:numPr>
          <w:ilvl w:val="0"/>
          <w:numId w:val="16"/>
        </w:numPr>
        <w:rPr>
          <w:color w:val="auto"/>
        </w:rPr>
      </w:pPr>
      <w:r w:rsidRPr="006F04D9">
        <w:rPr>
          <w:color w:val="auto"/>
        </w:rPr>
        <w:t>PI3Kδ inhibitor</w:t>
      </w:r>
      <w:r w:rsidR="002F2AA8">
        <w:rPr>
          <w:color w:val="auto"/>
        </w:rPr>
        <w:t>.</w:t>
      </w:r>
    </w:p>
    <w:p w14:paraId="334280B1" w14:textId="4CC418A0" w:rsidR="009E6A7F" w:rsidRDefault="3E54EA9C" w:rsidP="00E76AE0">
      <w:pPr>
        <w:pStyle w:val="Instructionaltext"/>
        <w:rPr>
          <w:color w:val="auto"/>
        </w:rPr>
      </w:pPr>
      <w:r w:rsidRPr="132E0B0E">
        <w:rPr>
          <w:color w:val="auto"/>
        </w:rPr>
        <w:t xml:space="preserve">The </w:t>
      </w:r>
      <w:r w:rsidR="664BD24D" w:rsidRPr="132E0B0E">
        <w:rPr>
          <w:color w:val="auto"/>
        </w:rPr>
        <w:t xml:space="preserve">ADAR’s proposed comparator was </w:t>
      </w:r>
      <w:r w:rsidR="4FC97031" w:rsidRPr="132E0B0E">
        <w:rPr>
          <w:color w:val="auto"/>
        </w:rPr>
        <w:t>based on a</w:t>
      </w:r>
      <w:r w:rsidR="490FFC07" w:rsidRPr="132E0B0E">
        <w:rPr>
          <w:color w:val="auto"/>
        </w:rPr>
        <w:t>n</w:t>
      </w:r>
      <w:r w:rsidR="4FC97031" w:rsidRPr="132E0B0E">
        <w:rPr>
          <w:color w:val="auto"/>
        </w:rPr>
        <w:t xml:space="preserve"> </w:t>
      </w:r>
      <w:r w:rsidR="1BF33502" w:rsidRPr="132E0B0E">
        <w:rPr>
          <w:color w:val="auto"/>
        </w:rPr>
        <w:t>applicant-</w:t>
      </w:r>
      <w:r w:rsidR="4FC97031" w:rsidRPr="132E0B0E">
        <w:rPr>
          <w:color w:val="auto"/>
        </w:rPr>
        <w:t xml:space="preserve">commissioned analysis of the </w:t>
      </w:r>
      <w:proofErr w:type="spellStart"/>
      <w:r w:rsidR="3C31D882" w:rsidRPr="132E0B0E">
        <w:rPr>
          <w:color w:val="auto"/>
        </w:rPr>
        <w:t>LaRDR</w:t>
      </w:r>
      <w:proofErr w:type="spellEnd"/>
      <w:r w:rsidR="02482FD7" w:rsidRPr="132E0B0E">
        <w:rPr>
          <w:color w:val="auto"/>
        </w:rPr>
        <w:t xml:space="preserve">, an Australian registry </w:t>
      </w:r>
      <w:r w:rsidR="44E7EAB0" w:rsidRPr="132E0B0E">
        <w:rPr>
          <w:color w:val="auto"/>
        </w:rPr>
        <w:t>capturing patient demographics, disease characteristics, treatment details and outcomes</w:t>
      </w:r>
      <w:r w:rsidR="47C2ABBC" w:rsidRPr="132E0B0E">
        <w:rPr>
          <w:color w:val="auto"/>
        </w:rPr>
        <w:t xml:space="preserve">. </w:t>
      </w:r>
      <w:r w:rsidR="720E4963" w:rsidRPr="132E0B0E">
        <w:rPr>
          <w:color w:val="auto"/>
        </w:rPr>
        <w:t>However, t</w:t>
      </w:r>
      <w:r w:rsidR="47C2ABBC" w:rsidRPr="132E0B0E">
        <w:rPr>
          <w:color w:val="auto"/>
        </w:rPr>
        <w:t>he</w:t>
      </w:r>
      <w:r w:rsidR="44E7EAB0" w:rsidRPr="132E0B0E">
        <w:rPr>
          <w:color w:val="auto"/>
        </w:rPr>
        <w:t xml:space="preserve"> </w:t>
      </w:r>
      <w:r w:rsidR="5C99C173" w:rsidRPr="132E0B0E">
        <w:rPr>
          <w:color w:val="auto"/>
        </w:rPr>
        <w:t>Commentary</w:t>
      </w:r>
      <w:r w:rsidRPr="132E0B0E">
        <w:rPr>
          <w:color w:val="auto"/>
        </w:rPr>
        <w:t xml:space="preserve"> </w:t>
      </w:r>
      <w:r w:rsidR="1C68693A" w:rsidRPr="132E0B0E">
        <w:rPr>
          <w:color w:val="auto"/>
        </w:rPr>
        <w:t xml:space="preserve">noted </w:t>
      </w:r>
      <w:r w:rsidR="47C2ABBC" w:rsidRPr="132E0B0E">
        <w:rPr>
          <w:color w:val="auto"/>
        </w:rPr>
        <w:t xml:space="preserve">that </w:t>
      </w:r>
      <w:r w:rsidR="507D6ED1" w:rsidRPr="132E0B0E">
        <w:rPr>
          <w:color w:val="auto"/>
        </w:rPr>
        <w:t xml:space="preserve">within the </w:t>
      </w:r>
      <w:proofErr w:type="spellStart"/>
      <w:r w:rsidR="507D6ED1" w:rsidRPr="132E0B0E">
        <w:rPr>
          <w:color w:val="auto"/>
        </w:rPr>
        <w:t>LaRDR</w:t>
      </w:r>
      <w:proofErr w:type="spellEnd"/>
      <w:r w:rsidR="16352BEB" w:rsidRPr="132E0B0E">
        <w:rPr>
          <w:color w:val="auto"/>
        </w:rPr>
        <w:t xml:space="preserve"> report</w:t>
      </w:r>
      <w:r w:rsidR="507D6ED1" w:rsidRPr="132E0B0E">
        <w:rPr>
          <w:color w:val="auto"/>
        </w:rPr>
        <w:t xml:space="preserve">, only 13 patients (representing </w:t>
      </w:r>
      <w:r w:rsidR="3EE4D546" w:rsidRPr="132E0B0E">
        <w:rPr>
          <w:color w:val="auto"/>
        </w:rPr>
        <w:t>1.</w:t>
      </w:r>
      <w:r w:rsidR="507D6ED1" w:rsidRPr="132E0B0E">
        <w:rPr>
          <w:color w:val="auto"/>
        </w:rPr>
        <w:t xml:space="preserve">3% of the total cohort (N=971)) had commenced </w:t>
      </w:r>
      <w:r w:rsidR="14CFA579" w:rsidRPr="132E0B0E">
        <w:rPr>
          <w:color w:val="auto"/>
        </w:rPr>
        <w:t>3L</w:t>
      </w:r>
      <w:r w:rsidR="507D6ED1" w:rsidRPr="132E0B0E">
        <w:rPr>
          <w:color w:val="auto"/>
        </w:rPr>
        <w:t xml:space="preserve"> therapy, and as such, the results of this analysis may not be a reliable representation of </w:t>
      </w:r>
      <w:r w:rsidR="14CFA579" w:rsidRPr="132E0B0E">
        <w:rPr>
          <w:color w:val="auto"/>
        </w:rPr>
        <w:t>3L</w:t>
      </w:r>
      <w:r w:rsidR="507D6ED1" w:rsidRPr="132E0B0E">
        <w:rPr>
          <w:color w:val="auto"/>
        </w:rPr>
        <w:t xml:space="preserve"> treatment in Australia. </w:t>
      </w:r>
      <w:bookmarkStart w:id="10" w:name="_Hlk166070878"/>
      <w:r w:rsidR="3EE4D546" w:rsidRPr="132E0B0E">
        <w:rPr>
          <w:color w:val="auto"/>
        </w:rPr>
        <w:t xml:space="preserve">Moreover, of these 13 patients, eight had an ECOG of </w:t>
      </w:r>
      <w:r w:rsidR="3493910B" w:rsidRPr="132E0B0E">
        <w:rPr>
          <w:color w:val="auto"/>
        </w:rPr>
        <w:t>0</w:t>
      </w:r>
      <w:r w:rsidR="3EE4D546" w:rsidRPr="132E0B0E">
        <w:rPr>
          <w:color w:val="auto"/>
        </w:rPr>
        <w:t xml:space="preserve"> or 1 and would be eligible for AXI treatment.</w:t>
      </w:r>
      <w:bookmarkEnd w:id="10"/>
    </w:p>
    <w:p w14:paraId="0D8C2FB1" w14:textId="116F395D" w:rsidR="00527584" w:rsidRPr="00EB3F1C" w:rsidRDefault="10692061" w:rsidP="00E76AE0">
      <w:pPr>
        <w:pStyle w:val="Instructionaltext"/>
        <w:rPr>
          <w:color w:val="auto"/>
        </w:rPr>
      </w:pPr>
      <w:r w:rsidRPr="23728776">
        <w:rPr>
          <w:color w:val="auto"/>
        </w:rPr>
        <w:t>As ZUMA-5 was a single</w:t>
      </w:r>
      <w:r w:rsidR="460DE0E1" w:rsidRPr="23728776">
        <w:rPr>
          <w:color w:val="auto"/>
        </w:rPr>
        <w:t>-</w:t>
      </w:r>
      <w:r w:rsidRPr="23728776">
        <w:rPr>
          <w:color w:val="auto"/>
        </w:rPr>
        <w:t xml:space="preserve">arm </w:t>
      </w:r>
      <w:r w:rsidR="1FF98BDC" w:rsidRPr="23728776">
        <w:rPr>
          <w:color w:val="auto"/>
        </w:rPr>
        <w:t xml:space="preserve">study, </w:t>
      </w:r>
      <w:r w:rsidR="2DCEC142" w:rsidRPr="23728776">
        <w:rPr>
          <w:color w:val="auto"/>
        </w:rPr>
        <w:t xml:space="preserve">results from ZUMA-5 were </w:t>
      </w:r>
      <w:r w:rsidR="1BD60E3C" w:rsidRPr="23728776">
        <w:rPr>
          <w:color w:val="auto"/>
        </w:rPr>
        <w:t xml:space="preserve">compared with </w:t>
      </w:r>
      <w:r w:rsidR="5F6CE96F" w:rsidRPr="23728776">
        <w:rPr>
          <w:color w:val="auto"/>
        </w:rPr>
        <w:t>a</w:t>
      </w:r>
      <w:r w:rsidR="58BD5F44" w:rsidRPr="23728776">
        <w:rPr>
          <w:color w:val="auto"/>
        </w:rPr>
        <w:t xml:space="preserve"> retrospective </w:t>
      </w:r>
      <w:r w:rsidR="5F6CE96F" w:rsidRPr="23728776">
        <w:rPr>
          <w:color w:val="auto"/>
        </w:rPr>
        <w:t xml:space="preserve">external </w:t>
      </w:r>
      <w:r w:rsidR="58BD5F44" w:rsidRPr="23728776">
        <w:rPr>
          <w:color w:val="auto"/>
        </w:rPr>
        <w:t xml:space="preserve">cohort </w:t>
      </w:r>
      <w:r w:rsidR="5F6CE96F" w:rsidRPr="23728776">
        <w:rPr>
          <w:color w:val="auto"/>
        </w:rPr>
        <w:t>of patients (SCHOLAR-5</w:t>
      </w:r>
      <w:r w:rsidR="58BD5F44" w:rsidRPr="23728776">
        <w:rPr>
          <w:color w:val="auto"/>
        </w:rPr>
        <w:t xml:space="preserve">; </w:t>
      </w:r>
      <w:r w:rsidR="41142E89" w:rsidRPr="23728776">
        <w:rPr>
          <w:color w:val="auto"/>
        </w:rPr>
        <w:t>Ghione et al. 2022)</w:t>
      </w:r>
      <w:r w:rsidR="09210A00" w:rsidRPr="23728776">
        <w:rPr>
          <w:color w:val="auto"/>
        </w:rPr>
        <w:t>, which</w:t>
      </w:r>
      <w:r w:rsidR="41142E89" w:rsidRPr="23728776">
        <w:rPr>
          <w:color w:val="auto"/>
        </w:rPr>
        <w:t xml:space="preserve"> was used by the </w:t>
      </w:r>
      <w:r w:rsidR="14CFA579" w:rsidRPr="23728776">
        <w:rPr>
          <w:color w:val="auto"/>
        </w:rPr>
        <w:t>ADAR</w:t>
      </w:r>
      <w:r w:rsidR="41142E89" w:rsidRPr="23728776">
        <w:rPr>
          <w:color w:val="auto"/>
        </w:rPr>
        <w:t xml:space="preserve"> to represent real world data for the effectiveness of </w:t>
      </w:r>
      <w:r w:rsidR="62E18EBA" w:rsidRPr="23728776">
        <w:rPr>
          <w:color w:val="auto"/>
        </w:rPr>
        <w:t>SOC</w:t>
      </w:r>
      <w:r w:rsidR="41142E89" w:rsidRPr="23728776">
        <w:rPr>
          <w:color w:val="auto"/>
        </w:rPr>
        <w:t xml:space="preserve"> in patients</w:t>
      </w:r>
      <w:r w:rsidR="4CCE1046" w:rsidRPr="23728776">
        <w:rPr>
          <w:color w:val="auto"/>
        </w:rPr>
        <w:t xml:space="preserve"> with r/r </w:t>
      </w:r>
      <w:r w:rsidR="54062459" w:rsidRPr="23728776">
        <w:rPr>
          <w:color w:val="auto"/>
        </w:rPr>
        <w:t xml:space="preserve">FL </w:t>
      </w:r>
      <w:r w:rsidR="4CCE1046" w:rsidRPr="23728776">
        <w:rPr>
          <w:color w:val="auto"/>
        </w:rPr>
        <w:t>after two or more lines of systemic therapy</w:t>
      </w:r>
      <w:r w:rsidR="6FA0D1A7" w:rsidRPr="23728776">
        <w:rPr>
          <w:color w:val="auto"/>
        </w:rPr>
        <w:t xml:space="preserve">. The </w:t>
      </w:r>
      <w:r w:rsidR="4DEA5D5D" w:rsidRPr="23728776">
        <w:rPr>
          <w:color w:val="auto"/>
        </w:rPr>
        <w:t>Commentary</w:t>
      </w:r>
      <w:r w:rsidR="7AEBFFF2" w:rsidRPr="23728776">
        <w:rPr>
          <w:color w:val="auto"/>
        </w:rPr>
        <w:t xml:space="preserve"> noted that in the SCHOLAR-5 cohort</w:t>
      </w:r>
      <w:r w:rsidR="18193F37" w:rsidRPr="23728776">
        <w:rPr>
          <w:color w:val="auto"/>
        </w:rPr>
        <w:t>:</w:t>
      </w:r>
    </w:p>
    <w:p w14:paraId="5B5620BB" w14:textId="4F8A3073" w:rsidR="000B028A" w:rsidRDefault="5106180D" w:rsidP="00451925">
      <w:pPr>
        <w:pStyle w:val="Instructionaltext"/>
        <w:numPr>
          <w:ilvl w:val="0"/>
          <w:numId w:val="17"/>
        </w:numPr>
        <w:rPr>
          <w:color w:val="auto"/>
        </w:rPr>
      </w:pPr>
      <w:r>
        <w:rPr>
          <w:color w:val="auto"/>
        </w:rPr>
        <w:t xml:space="preserve">Older </w:t>
      </w:r>
      <w:r w:rsidR="590E3F7B" w:rsidRPr="00EB3F1C">
        <w:rPr>
          <w:color w:val="auto"/>
        </w:rPr>
        <w:t>SOC</w:t>
      </w:r>
      <w:r w:rsidR="41142E89" w:rsidRPr="00EB3F1C">
        <w:rPr>
          <w:color w:val="auto"/>
        </w:rPr>
        <w:t xml:space="preserve"> </w:t>
      </w:r>
      <w:r>
        <w:rPr>
          <w:color w:val="auto"/>
        </w:rPr>
        <w:t xml:space="preserve">therapies </w:t>
      </w:r>
      <w:r w:rsidR="14CFA579">
        <w:rPr>
          <w:color w:val="auto"/>
        </w:rPr>
        <w:t xml:space="preserve">may have been </w:t>
      </w:r>
      <w:r>
        <w:rPr>
          <w:color w:val="auto"/>
        </w:rPr>
        <w:t>used</w:t>
      </w:r>
      <w:r w:rsidR="3D720E0E">
        <w:rPr>
          <w:color w:val="auto"/>
        </w:rPr>
        <w:t xml:space="preserve"> </w:t>
      </w:r>
      <w:r w:rsidR="14CFA579">
        <w:rPr>
          <w:color w:val="auto"/>
        </w:rPr>
        <w:t>as</w:t>
      </w:r>
      <w:r w:rsidR="41142E89" w:rsidRPr="00EB3F1C">
        <w:rPr>
          <w:color w:val="auto"/>
        </w:rPr>
        <w:t xml:space="preserve"> patients initiated a third or higher line of therapy </w:t>
      </w:r>
      <w:r w:rsidR="034DFC5A">
        <w:rPr>
          <w:color w:val="auto"/>
        </w:rPr>
        <w:t>between</w:t>
      </w:r>
      <w:r w:rsidR="41142E89" w:rsidRPr="00EB3F1C">
        <w:rPr>
          <w:color w:val="auto"/>
        </w:rPr>
        <w:t xml:space="preserve"> </w:t>
      </w:r>
      <w:r w:rsidR="3252D2AE" w:rsidRPr="00EB3F1C">
        <w:rPr>
          <w:color w:val="auto"/>
        </w:rPr>
        <w:t>July 2014</w:t>
      </w:r>
      <w:r w:rsidR="3252D2AE">
        <w:rPr>
          <w:color w:val="auto"/>
        </w:rPr>
        <w:t xml:space="preserve"> – December 2020 </w:t>
      </w:r>
      <w:r w:rsidR="31E7D7D8">
        <w:rPr>
          <w:color w:val="auto"/>
        </w:rPr>
        <w:t>(</w:t>
      </w:r>
      <w:r w:rsidR="6DB60929">
        <w:rPr>
          <w:color w:val="auto"/>
        </w:rPr>
        <w:t>while</w:t>
      </w:r>
      <w:r w:rsidR="31E7D7D8">
        <w:rPr>
          <w:color w:val="auto"/>
        </w:rPr>
        <w:t xml:space="preserve"> </w:t>
      </w:r>
      <w:r w:rsidR="6DB60929" w:rsidRPr="009E20FB">
        <w:rPr>
          <w:color w:val="auto"/>
        </w:rPr>
        <w:t>patients enrolled in ZUMA-5 received AXI between June 2017 – July 2020</w:t>
      </w:r>
      <w:r w:rsidR="6DB60929" w:rsidRPr="1BAFA8F0">
        <w:rPr>
          <w:color w:val="auto"/>
        </w:rPr>
        <w:t>)</w:t>
      </w:r>
      <w:r w:rsidR="31641A2F" w:rsidRPr="1BAFA8F0">
        <w:rPr>
          <w:color w:val="auto"/>
        </w:rPr>
        <w:t>.</w:t>
      </w:r>
      <w:r w:rsidR="483C8635">
        <w:rPr>
          <w:color w:val="auto"/>
        </w:rPr>
        <w:t xml:space="preserve"> </w:t>
      </w:r>
      <w:r w:rsidR="7BD35288">
        <w:rPr>
          <w:color w:val="auto"/>
        </w:rPr>
        <w:t xml:space="preserve">For example, it appears </w:t>
      </w:r>
      <w:proofErr w:type="gramStart"/>
      <w:r w:rsidR="50E73D5C">
        <w:rPr>
          <w:color w:val="auto"/>
        </w:rPr>
        <w:t xml:space="preserve">a </w:t>
      </w:r>
      <w:r w:rsidR="50E73D5C" w:rsidRPr="007B47B2">
        <w:rPr>
          <w:color w:val="auto"/>
        </w:rPr>
        <w:t>number of</w:t>
      </w:r>
      <w:proofErr w:type="gramEnd"/>
      <w:r w:rsidR="50E73D5C" w:rsidRPr="007B47B2">
        <w:rPr>
          <w:color w:val="auto"/>
        </w:rPr>
        <w:t xml:space="preserve"> patients</w:t>
      </w:r>
      <w:r w:rsidR="3269D2F8">
        <w:rPr>
          <w:color w:val="auto"/>
        </w:rPr>
        <w:t xml:space="preserve"> were</w:t>
      </w:r>
      <w:r w:rsidR="50E73D5C" w:rsidRPr="007B47B2">
        <w:rPr>
          <w:color w:val="auto"/>
        </w:rPr>
        <w:t xml:space="preserve"> treated with a phosphatidylinositol 3-kinase inhibitor, a class of drugs that is now infrequently used in the treatment of FL</w:t>
      </w:r>
      <w:r w:rsidR="007B47B2">
        <w:rPr>
          <w:rStyle w:val="FootnoteReference"/>
          <w:color w:val="auto"/>
        </w:rPr>
        <w:footnoteReference w:id="11"/>
      </w:r>
      <w:r w:rsidR="50E73D5C">
        <w:rPr>
          <w:color w:val="auto"/>
        </w:rPr>
        <w:t>.</w:t>
      </w:r>
    </w:p>
    <w:p w14:paraId="14D6DA1A" w14:textId="692DBB93" w:rsidR="007F3687" w:rsidRPr="00EB3F1C" w:rsidRDefault="006147A1" w:rsidP="00451925">
      <w:pPr>
        <w:pStyle w:val="Instructionaltext"/>
        <w:numPr>
          <w:ilvl w:val="0"/>
          <w:numId w:val="17"/>
        </w:numPr>
        <w:rPr>
          <w:color w:val="auto"/>
        </w:rPr>
      </w:pPr>
      <w:r>
        <w:rPr>
          <w:color w:val="auto"/>
        </w:rPr>
        <w:t>P</w:t>
      </w:r>
      <w:r w:rsidR="006D5F8A" w:rsidRPr="006D5F8A">
        <w:rPr>
          <w:color w:val="auto"/>
        </w:rPr>
        <w:t xml:space="preserve">atients </w:t>
      </w:r>
      <w:r>
        <w:rPr>
          <w:color w:val="auto"/>
        </w:rPr>
        <w:t xml:space="preserve">were based </w:t>
      </w:r>
      <w:r w:rsidR="006D5F8A" w:rsidRPr="006D5F8A">
        <w:rPr>
          <w:color w:val="auto"/>
        </w:rPr>
        <w:t>in the US and Europe, and therefore treatment received may not be reflective of clinical practice in Australia</w:t>
      </w:r>
      <w:r w:rsidR="3C0C9349" w:rsidRPr="1BAFA8F0">
        <w:rPr>
          <w:color w:val="auto"/>
        </w:rPr>
        <w:t>.</w:t>
      </w:r>
    </w:p>
    <w:p w14:paraId="31A06B58" w14:textId="1635AE62" w:rsidR="00410F89" w:rsidRPr="002176CC" w:rsidRDefault="41142E89" w:rsidP="00410F89">
      <w:pPr>
        <w:pStyle w:val="Instructionaltext"/>
        <w:numPr>
          <w:ilvl w:val="0"/>
          <w:numId w:val="17"/>
        </w:numPr>
        <w:rPr>
          <w:color w:val="auto"/>
        </w:rPr>
      </w:pPr>
      <w:r w:rsidRPr="132E0B0E">
        <w:rPr>
          <w:color w:val="auto"/>
        </w:rPr>
        <w:t>The index treatment (i.e. ≥</w:t>
      </w:r>
      <w:r w:rsidR="14CFA579" w:rsidRPr="132E0B0E">
        <w:rPr>
          <w:color w:val="auto"/>
        </w:rPr>
        <w:t>3L</w:t>
      </w:r>
      <w:r w:rsidRPr="132E0B0E">
        <w:rPr>
          <w:color w:val="auto"/>
        </w:rPr>
        <w:t xml:space="preserve"> treatments) received by the cohort included</w:t>
      </w:r>
      <w:r w:rsidR="22A719E5" w:rsidRPr="132E0B0E">
        <w:rPr>
          <w:color w:val="auto"/>
        </w:rPr>
        <w:t>,</w:t>
      </w:r>
      <w:r w:rsidRPr="132E0B0E">
        <w:rPr>
          <w:color w:val="auto"/>
        </w:rPr>
        <w:t xml:space="preserve"> for example, allogenic </w:t>
      </w:r>
      <w:r w:rsidR="3B47CF99" w:rsidRPr="132E0B0E">
        <w:rPr>
          <w:color w:val="auto"/>
        </w:rPr>
        <w:t>stem cell tran</w:t>
      </w:r>
      <w:r w:rsidR="0BFEDE2C" w:rsidRPr="132E0B0E">
        <w:rPr>
          <w:color w:val="auto"/>
        </w:rPr>
        <w:t>splant (</w:t>
      </w:r>
      <w:r w:rsidRPr="132E0B0E">
        <w:rPr>
          <w:color w:val="auto"/>
        </w:rPr>
        <w:t>SCT</w:t>
      </w:r>
      <w:r w:rsidR="0BFEDE2C" w:rsidRPr="132E0B0E">
        <w:rPr>
          <w:color w:val="auto"/>
        </w:rPr>
        <w:t>)</w:t>
      </w:r>
      <w:r w:rsidRPr="132E0B0E">
        <w:rPr>
          <w:color w:val="auto"/>
        </w:rPr>
        <w:t>; autologous SCT; and experimental therapy</w:t>
      </w:r>
      <w:r w:rsidR="483C8635">
        <w:t xml:space="preserve"> </w:t>
      </w:r>
      <w:r w:rsidR="483C8635" w:rsidRPr="132E0B0E">
        <w:rPr>
          <w:color w:val="auto"/>
        </w:rPr>
        <w:t xml:space="preserve">representing 27% (39/143) and 32% (26.8/85) of the unweighted and </w:t>
      </w:r>
      <w:r w:rsidR="44796852" w:rsidRPr="132E0B0E">
        <w:rPr>
          <w:color w:val="auto"/>
        </w:rPr>
        <w:t xml:space="preserve">propensity score </w:t>
      </w:r>
      <w:r w:rsidR="483C8635" w:rsidRPr="132E0B0E">
        <w:rPr>
          <w:color w:val="auto"/>
        </w:rPr>
        <w:t>weighted SCHOLAR-5 cohort respectively</w:t>
      </w:r>
      <w:r w:rsidRPr="132E0B0E">
        <w:rPr>
          <w:color w:val="auto"/>
        </w:rPr>
        <w:t xml:space="preserve"> – which were not part of the </w:t>
      </w:r>
      <w:r w:rsidR="14CFA579" w:rsidRPr="132E0B0E">
        <w:rPr>
          <w:color w:val="auto"/>
        </w:rPr>
        <w:t>ADAR</w:t>
      </w:r>
      <w:r w:rsidRPr="132E0B0E">
        <w:rPr>
          <w:color w:val="auto"/>
        </w:rPr>
        <w:t xml:space="preserve">’s nominated </w:t>
      </w:r>
      <w:r w:rsidR="4CC75FF4" w:rsidRPr="132E0B0E">
        <w:rPr>
          <w:color w:val="auto"/>
        </w:rPr>
        <w:t>SOC</w:t>
      </w:r>
      <w:r w:rsidRPr="132E0B0E">
        <w:rPr>
          <w:color w:val="auto"/>
        </w:rPr>
        <w:t xml:space="preserve"> basket of regimens. As such, ‘</w:t>
      </w:r>
      <w:r w:rsidR="5C0AA98F" w:rsidRPr="132E0B0E">
        <w:rPr>
          <w:color w:val="auto"/>
        </w:rPr>
        <w:t>SOC</w:t>
      </w:r>
      <w:r w:rsidRPr="132E0B0E">
        <w:rPr>
          <w:color w:val="auto"/>
        </w:rPr>
        <w:t xml:space="preserve">’ (i.e. </w:t>
      </w:r>
      <w:r w:rsidR="14CFA579" w:rsidRPr="132E0B0E">
        <w:rPr>
          <w:color w:val="auto"/>
        </w:rPr>
        <w:t>3L</w:t>
      </w:r>
      <w:r w:rsidRPr="132E0B0E">
        <w:rPr>
          <w:color w:val="auto"/>
        </w:rPr>
        <w:t xml:space="preserve"> treatment as represented by the SCHOLAR-5 cohort) may not be consistent with the </w:t>
      </w:r>
      <w:r w:rsidR="310DBF6B" w:rsidRPr="132E0B0E">
        <w:rPr>
          <w:color w:val="auto"/>
        </w:rPr>
        <w:t>SOC</w:t>
      </w:r>
      <w:r w:rsidRPr="132E0B0E">
        <w:rPr>
          <w:color w:val="auto"/>
        </w:rPr>
        <w:t xml:space="preserve"> nominated by the </w:t>
      </w:r>
      <w:r w:rsidR="14CFA579" w:rsidRPr="132E0B0E">
        <w:rPr>
          <w:color w:val="auto"/>
        </w:rPr>
        <w:t>ADAR</w:t>
      </w:r>
      <w:r w:rsidR="04283174" w:rsidRPr="132E0B0E">
        <w:rPr>
          <w:color w:val="auto"/>
        </w:rPr>
        <w:t>,</w:t>
      </w:r>
      <w:r w:rsidRPr="132E0B0E">
        <w:rPr>
          <w:color w:val="auto"/>
        </w:rPr>
        <w:t xml:space="preserve"> and it was unclear what impact this may have on the magnitude of benefit. The </w:t>
      </w:r>
      <w:r w:rsidR="14CFA579" w:rsidRPr="132E0B0E">
        <w:rPr>
          <w:color w:val="auto"/>
        </w:rPr>
        <w:t>ADAR</w:t>
      </w:r>
      <w:r w:rsidRPr="132E0B0E">
        <w:rPr>
          <w:color w:val="auto"/>
        </w:rPr>
        <w:t xml:space="preserve"> did not comment on how the nominated comparator ‘</w:t>
      </w:r>
      <w:r w:rsidR="5B7E66AC" w:rsidRPr="132E0B0E">
        <w:rPr>
          <w:color w:val="auto"/>
        </w:rPr>
        <w:t>SOC</w:t>
      </w:r>
      <w:r w:rsidRPr="132E0B0E">
        <w:rPr>
          <w:color w:val="auto"/>
        </w:rPr>
        <w:t>’ was comparable to the treatments used by the SCHOLAR-5 cohort.</w:t>
      </w:r>
      <w:r w:rsidR="61DF5345" w:rsidRPr="132E0B0E">
        <w:rPr>
          <w:color w:val="auto"/>
        </w:rPr>
        <w:t xml:space="preserve"> </w:t>
      </w:r>
    </w:p>
    <w:p w14:paraId="5268FD48" w14:textId="19FA4B8B" w:rsidR="00410F89" w:rsidRDefault="09404EAF" w:rsidP="23728776">
      <w:pPr>
        <w:pStyle w:val="Instructionaltext"/>
        <w:rPr>
          <w:color w:val="auto"/>
        </w:rPr>
      </w:pPr>
      <w:r w:rsidRPr="132E0B0E">
        <w:rPr>
          <w:color w:val="auto"/>
        </w:rPr>
        <w:t>ESC considered that the</w:t>
      </w:r>
      <w:r w:rsidR="68D309B9" w:rsidRPr="132E0B0E">
        <w:rPr>
          <w:color w:val="auto"/>
        </w:rPr>
        <w:t xml:space="preserve"> proposed comparator, i.e. the</w:t>
      </w:r>
      <w:r w:rsidR="268F036D" w:rsidRPr="132E0B0E">
        <w:rPr>
          <w:color w:val="auto"/>
        </w:rPr>
        <w:t xml:space="preserve"> </w:t>
      </w:r>
      <w:r w:rsidR="067B4FC0" w:rsidRPr="132E0B0E">
        <w:rPr>
          <w:color w:val="auto"/>
        </w:rPr>
        <w:t>SOC</w:t>
      </w:r>
      <w:r w:rsidR="394E0373" w:rsidRPr="132E0B0E">
        <w:rPr>
          <w:color w:val="auto"/>
        </w:rPr>
        <w:t xml:space="preserve"> therapies in the SCHOLAR-5 cohort</w:t>
      </w:r>
      <w:r w:rsidR="68D309B9" w:rsidRPr="132E0B0E">
        <w:rPr>
          <w:color w:val="auto"/>
        </w:rPr>
        <w:t>, was appropriate</w:t>
      </w:r>
      <w:r w:rsidR="35EF3D97" w:rsidRPr="132E0B0E">
        <w:rPr>
          <w:color w:val="auto"/>
        </w:rPr>
        <w:t>,</w:t>
      </w:r>
      <w:r w:rsidR="394E0373" w:rsidRPr="132E0B0E">
        <w:rPr>
          <w:color w:val="auto"/>
        </w:rPr>
        <w:t xml:space="preserve"> </w:t>
      </w:r>
      <w:r w:rsidR="312C7922" w:rsidRPr="132E0B0E">
        <w:rPr>
          <w:color w:val="auto"/>
        </w:rPr>
        <w:t>and</w:t>
      </w:r>
      <w:r w:rsidR="35EF3D97" w:rsidRPr="132E0B0E">
        <w:rPr>
          <w:color w:val="auto"/>
        </w:rPr>
        <w:t xml:space="preserve"> </w:t>
      </w:r>
      <w:r w:rsidR="394E0373" w:rsidRPr="132E0B0E">
        <w:rPr>
          <w:color w:val="auto"/>
        </w:rPr>
        <w:t>compare</w:t>
      </w:r>
      <w:r w:rsidR="17916591" w:rsidRPr="132E0B0E">
        <w:rPr>
          <w:color w:val="auto"/>
        </w:rPr>
        <w:t>s</w:t>
      </w:r>
      <w:r w:rsidR="35EF3D97" w:rsidRPr="132E0B0E">
        <w:rPr>
          <w:color w:val="auto"/>
        </w:rPr>
        <w:t xml:space="preserve"> well</w:t>
      </w:r>
      <w:r w:rsidR="394E0373" w:rsidRPr="132E0B0E">
        <w:rPr>
          <w:color w:val="auto"/>
        </w:rPr>
        <w:t xml:space="preserve"> to</w:t>
      </w:r>
      <w:r w:rsidR="35EF3D97" w:rsidRPr="132E0B0E">
        <w:rPr>
          <w:color w:val="auto"/>
        </w:rPr>
        <w:t xml:space="preserve"> the</w:t>
      </w:r>
      <w:r w:rsidR="394E0373" w:rsidRPr="132E0B0E">
        <w:rPr>
          <w:color w:val="auto"/>
        </w:rPr>
        <w:t xml:space="preserve"> current </w:t>
      </w:r>
      <w:r w:rsidR="093482F7" w:rsidRPr="132E0B0E">
        <w:rPr>
          <w:color w:val="auto"/>
        </w:rPr>
        <w:t>SOC</w:t>
      </w:r>
      <w:r w:rsidR="394E0373" w:rsidRPr="132E0B0E">
        <w:rPr>
          <w:color w:val="auto"/>
        </w:rPr>
        <w:t xml:space="preserve"> in the Australian setting</w:t>
      </w:r>
      <w:r w:rsidR="35EF3D97" w:rsidRPr="132E0B0E">
        <w:rPr>
          <w:color w:val="auto"/>
        </w:rPr>
        <w:t>.</w:t>
      </w:r>
      <w:r w:rsidR="00160444" w:rsidRPr="132E0B0E">
        <w:rPr>
          <w:color w:val="auto"/>
        </w:rPr>
        <w:t xml:space="preserve"> </w:t>
      </w:r>
      <w:r w:rsidR="255A403C" w:rsidRPr="132E0B0E">
        <w:rPr>
          <w:color w:val="auto"/>
        </w:rPr>
        <w:t xml:space="preserve">The </w:t>
      </w:r>
      <w:r w:rsidR="255A403C" w:rsidRPr="132E0B0E">
        <w:rPr>
          <w:color w:val="auto"/>
        </w:rPr>
        <w:lastRenderedPageBreak/>
        <w:t>Commentary considered it important to note that</w:t>
      </w:r>
      <w:r w:rsidR="15CA7F94" w:rsidRPr="132E0B0E">
        <w:rPr>
          <w:color w:val="auto"/>
        </w:rPr>
        <w:t xml:space="preserve"> </w:t>
      </w:r>
      <w:r w:rsidR="394E0373" w:rsidRPr="132E0B0E">
        <w:rPr>
          <w:color w:val="auto"/>
        </w:rPr>
        <w:t xml:space="preserve">patients in the SCHOLAR-5 could be considered to be </w:t>
      </w:r>
      <w:proofErr w:type="gramStart"/>
      <w:r w:rsidR="394E0373" w:rsidRPr="132E0B0E">
        <w:rPr>
          <w:color w:val="auto"/>
        </w:rPr>
        <w:t>more frail</w:t>
      </w:r>
      <w:proofErr w:type="gramEnd"/>
      <w:r w:rsidR="394E0373" w:rsidRPr="132E0B0E">
        <w:rPr>
          <w:color w:val="auto"/>
        </w:rPr>
        <w:t xml:space="preserve"> compared to the patients in the ZUMA-5 study. </w:t>
      </w:r>
    </w:p>
    <w:p w14:paraId="4D5EAFB8" w14:textId="77777777" w:rsidR="002176CC" w:rsidRPr="00CE28E3" w:rsidRDefault="002176CC" w:rsidP="002176CC">
      <w:pPr>
        <w:pStyle w:val="Heading2"/>
        <w:numPr>
          <w:ilvl w:val="0"/>
          <w:numId w:val="0"/>
        </w:numPr>
      </w:pPr>
      <w:bookmarkStart w:id="11" w:name="_Toc69491421"/>
      <w:r>
        <w:t>9.</w:t>
      </w:r>
      <w:r>
        <w:tab/>
        <w:t>Summary of public consultation input</w:t>
      </w:r>
      <w:bookmarkEnd w:id="11"/>
    </w:p>
    <w:p w14:paraId="2D747D99" w14:textId="27E776F5" w:rsidR="002176CC" w:rsidRDefault="002176CC" w:rsidP="002176CC">
      <w:pPr>
        <w:tabs>
          <w:tab w:val="left" w:pos="3686"/>
        </w:tabs>
        <w:spacing w:line="256" w:lineRule="auto"/>
      </w:pPr>
      <w:r>
        <w:t>C</w:t>
      </w:r>
      <w:r w:rsidRPr="00374907">
        <w:t>onsultation input</w:t>
      </w:r>
      <w:r>
        <w:t xml:space="preserve"> was welcomed</w:t>
      </w:r>
      <w:r w:rsidRPr="00374907">
        <w:t xml:space="preserve"> from</w:t>
      </w:r>
      <w:r>
        <w:t xml:space="preserve"> </w:t>
      </w:r>
      <w:r w:rsidR="015E83DB">
        <w:t xml:space="preserve">two </w:t>
      </w:r>
      <w:r w:rsidR="26138B37">
        <w:t>(</w:t>
      </w:r>
      <w:r w:rsidR="00C18E41">
        <w:t>2</w:t>
      </w:r>
      <w:r w:rsidRPr="007100F8">
        <w:t xml:space="preserve">) professional organisation, </w:t>
      </w:r>
      <w:r w:rsidR="185937F6">
        <w:t xml:space="preserve">three </w:t>
      </w:r>
      <w:r w:rsidR="26138B37">
        <w:t>(</w:t>
      </w:r>
      <w:r w:rsidR="0F7DE668">
        <w:t>3</w:t>
      </w:r>
      <w:r>
        <w:t>)</w:t>
      </w:r>
      <w:r w:rsidRPr="00374907">
        <w:t xml:space="preserve"> </w:t>
      </w:r>
      <w:r w:rsidR="00172636" w:rsidDel="00BE1B73">
        <w:t xml:space="preserve">consumer </w:t>
      </w:r>
      <w:r w:rsidRPr="00374907">
        <w:t>organisation</w:t>
      </w:r>
      <w:r>
        <w:t xml:space="preserve">s, three (3) individuals who were medical specialists, and one (1) from a medical specialist who had included input from specialist colleagues in the feedback provided. </w:t>
      </w:r>
    </w:p>
    <w:p w14:paraId="6903204F" w14:textId="77777777" w:rsidR="002176CC" w:rsidRDefault="002176CC" w:rsidP="002176CC">
      <w:pPr>
        <w:tabs>
          <w:tab w:val="left" w:pos="3686"/>
        </w:tabs>
        <w:spacing w:line="256" w:lineRule="auto"/>
      </w:pPr>
      <w:r>
        <w:t>The organisations that submitted input were:</w:t>
      </w:r>
    </w:p>
    <w:p w14:paraId="37FB6CB6" w14:textId="77777777" w:rsidR="002176CC" w:rsidRPr="00374907" w:rsidDel="00553F95" w:rsidRDefault="002176CC" w:rsidP="002176CC">
      <w:pPr>
        <w:pStyle w:val="ListParagraph"/>
        <w:numPr>
          <w:ilvl w:val="0"/>
          <w:numId w:val="49"/>
        </w:numPr>
        <w:tabs>
          <w:tab w:val="left" w:pos="3686"/>
        </w:tabs>
        <w:spacing w:before="0" w:after="0" w:line="257" w:lineRule="auto"/>
        <w:ind w:left="760" w:hanging="357"/>
      </w:pPr>
      <w:r w:rsidRPr="2C69AB12">
        <w:rPr>
          <w:rFonts w:eastAsiaTheme="minorEastAsia"/>
        </w:rPr>
        <w:t>Australia and New Zealand Transplant &amp; Cellular Therapies Ltd (ANZTCT)</w:t>
      </w:r>
    </w:p>
    <w:p w14:paraId="43865F2E" w14:textId="77777777" w:rsidR="002176CC" w:rsidRDefault="002176CC" w:rsidP="002176CC">
      <w:pPr>
        <w:pStyle w:val="ListParagraph"/>
        <w:numPr>
          <w:ilvl w:val="0"/>
          <w:numId w:val="49"/>
        </w:numPr>
        <w:tabs>
          <w:tab w:val="left" w:pos="3686"/>
        </w:tabs>
        <w:spacing w:before="0" w:after="0" w:line="257" w:lineRule="auto"/>
        <w:ind w:left="760" w:hanging="357"/>
      </w:pPr>
      <w:r w:rsidRPr="2C69AB12">
        <w:rPr>
          <w:rFonts w:eastAsiaTheme="minorEastAsia"/>
        </w:rPr>
        <w:t>Australasian Leukaemia &amp; Lymphoma Group (ALLG)</w:t>
      </w:r>
    </w:p>
    <w:p w14:paraId="14FE321E" w14:textId="77777777" w:rsidR="002176CC" w:rsidRDefault="002176CC" w:rsidP="002176CC">
      <w:pPr>
        <w:numPr>
          <w:ilvl w:val="0"/>
          <w:numId w:val="49"/>
        </w:numPr>
        <w:tabs>
          <w:tab w:val="left" w:pos="3686"/>
        </w:tabs>
        <w:spacing w:before="0" w:after="0" w:line="257" w:lineRule="auto"/>
        <w:ind w:left="760" w:hanging="357"/>
      </w:pPr>
      <w:r w:rsidRPr="2C69AB12">
        <w:rPr>
          <w:rFonts w:eastAsiaTheme="minorEastAsia"/>
        </w:rPr>
        <w:t>Leukaemia Foundation</w:t>
      </w:r>
    </w:p>
    <w:p w14:paraId="76D56A88" w14:textId="77777777" w:rsidR="002176CC" w:rsidRDefault="002176CC" w:rsidP="002176CC">
      <w:pPr>
        <w:pStyle w:val="ListParagraph"/>
        <w:numPr>
          <w:ilvl w:val="0"/>
          <w:numId w:val="49"/>
        </w:numPr>
        <w:tabs>
          <w:tab w:val="left" w:pos="3686"/>
        </w:tabs>
        <w:spacing w:before="0" w:after="0" w:line="257" w:lineRule="auto"/>
        <w:ind w:left="760" w:hanging="357"/>
      </w:pPr>
      <w:r w:rsidRPr="2C69AB12">
        <w:rPr>
          <w:rFonts w:eastAsiaTheme="minorEastAsia"/>
        </w:rPr>
        <w:t>Lymphoma Australia</w:t>
      </w:r>
    </w:p>
    <w:p w14:paraId="7464E81A" w14:textId="77777777" w:rsidR="002176CC" w:rsidRDefault="002176CC" w:rsidP="002176CC">
      <w:pPr>
        <w:pStyle w:val="ListParagraph"/>
        <w:numPr>
          <w:ilvl w:val="0"/>
          <w:numId w:val="49"/>
        </w:numPr>
        <w:tabs>
          <w:tab w:val="left" w:pos="3686"/>
        </w:tabs>
        <w:spacing w:line="256" w:lineRule="auto"/>
      </w:pPr>
      <w:r w:rsidRPr="2C69AB12">
        <w:rPr>
          <w:rFonts w:eastAsiaTheme="minorEastAsia"/>
        </w:rPr>
        <w:t>Rare Cancers Australia.</w:t>
      </w:r>
    </w:p>
    <w:p w14:paraId="5E2921A8" w14:textId="77777777" w:rsidR="002176CC" w:rsidRDefault="002176CC" w:rsidP="002176CC">
      <w:pPr>
        <w:tabs>
          <w:tab w:val="left" w:pos="3686"/>
        </w:tabs>
        <w:spacing w:line="256" w:lineRule="auto"/>
      </w:pPr>
      <w:r w:rsidRPr="2C69AB12">
        <w:rPr>
          <w:rFonts w:eastAsiaTheme="minorEastAsia"/>
        </w:rPr>
        <w:t xml:space="preserve">The consultation feedback received was supportive of the application. </w:t>
      </w:r>
    </w:p>
    <w:p w14:paraId="6AFD1FBE" w14:textId="77777777" w:rsidR="002176CC" w:rsidRDefault="002176CC" w:rsidP="002176CC">
      <w:pPr>
        <w:rPr>
          <w:b/>
          <w:bCs/>
        </w:rPr>
      </w:pPr>
      <w:r w:rsidRPr="0028462B">
        <w:rPr>
          <w:b/>
          <w:bCs/>
        </w:rPr>
        <w:t xml:space="preserve">Benefits </w:t>
      </w:r>
    </w:p>
    <w:p w14:paraId="0BB7A394" w14:textId="77777777" w:rsidR="002176CC" w:rsidRDefault="002176CC" w:rsidP="002176CC">
      <w:pPr>
        <w:numPr>
          <w:ilvl w:val="0"/>
          <w:numId w:val="50"/>
        </w:numPr>
        <w:autoSpaceDE w:val="0"/>
        <w:autoSpaceDN w:val="0"/>
        <w:adjustRightInd w:val="0"/>
        <w:spacing w:before="0" w:after="0" w:line="240" w:lineRule="auto"/>
      </w:pPr>
      <w:r>
        <w:t xml:space="preserve">Axicabtagene ciloleucel (AXI, also known as YESCARTA® or </w:t>
      </w:r>
      <w:proofErr w:type="spellStart"/>
      <w:r>
        <w:t>axi-cel</w:t>
      </w:r>
      <w:proofErr w:type="spellEnd"/>
      <w:r>
        <w:t>) appears to be a highly effective therapy and can overcome chemotherapy resistance to induce deep and durable remissions.</w:t>
      </w:r>
    </w:p>
    <w:p w14:paraId="1F0B1971" w14:textId="77777777" w:rsidR="002176CC" w:rsidRDefault="002176CC" w:rsidP="002176CC">
      <w:pPr>
        <w:pStyle w:val="ListParagraph"/>
        <w:numPr>
          <w:ilvl w:val="0"/>
          <w:numId w:val="50"/>
        </w:numPr>
        <w:spacing w:before="0" w:after="0" w:line="240" w:lineRule="auto"/>
      </w:pPr>
      <w:r>
        <w:t>There are limited treatments for relapsed or refractory (r/r) follicular lymphoma and more options are needed to treat this disease. Availability of AXI would increase treatment options for the patients.</w:t>
      </w:r>
    </w:p>
    <w:p w14:paraId="07DBD221" w14:textId="77777777" w:rsidR="002176CC" w:rsidRDefault="002176CC" w:rsidP="002176CC">
      <w:pPr>
        <w:numPr>
          <w:ilvl w:val="0"/>
          <w:numId w:val="50"/>
        </w:numPr>
        <w:autoSpaceDE w:val="0"/>
        <w:autoSpaceDN w:val="0"/>
        <w:adjustRightInd w:val="0"/>
        <w:spacing w:before="0" w:after="0" w:line="240" w:lineRule="auto"/>
      </w:pPr>
      <w:r>
        <w:t>Longer life expectancy and quality of life, with improved ability of patients to function day to day. It could spare young people the substantial morbidity of allogeneic stem cell transplantation and improve outcomes for patients who are transplant ineligible.</w:t>
      </w:r>
    </w:p>
    <w:p w14:paraId="1718F9CF" w14:textId="77777777" w:rsidR="002176CC" w:rsidRDefault="002176CC" w:rsidP="002176CC">
      <w:pPr>
        <w:pStyle w:val="ListParagraph"/>
        <w:numPr>
          <w:ilvl w:val="0"/>
          <w:numId w:val="50"/>
        </w:numPr>
        <w:autoSpaceDE w:val="0"/>
        <w:autoSpaceDN w:val="0"/>
        <w:adjustRightInd w:val="0"/>
        <w:spacing w:before="0" w:after="0" w:line="240" w:lineRule="auto"/>
      </w:pPr>
      <w:r>
        <w:t>Less toxicity and fewer side effects than current alternate treatments (e.g. stem cell transplant [SCT]).</w:t>
      </w:r>
    </w:p>
    <w:p w14:paraId="3434280E" w14:textId="77777777" w:rsidR="002176CC" w:rsidRDefault="002176CC" w:rsidP="002176CC">
      <w:pPr>
        <w:pStyle w:val="ListParagraph"/>
        <w:numPr>
          <w:ilvl w:val="0"/>
          <w:numId w:val="50"/>
        </w:numPr>
        <w:autoSpaceDE w:val="0"/>
        <w:autoSpaceDN w:val="0"/>
        <w:adjustRightInd w:val="0"/>
        <w:spacing w:before="0" w:after="0" w:line="240" w:lineRule="auto"/>
      </w:pPr>
      <w:r>
        <w:t xml:space="preserve">Improved overall survival with AXI would reduce the number of patients who require further intervention (4L or more therapy) and lessen the burden and costs on the healthcare system. </w:t>
      </w:r>
    </w:p>
    <w:p w14:paraId="7EF71CE7" w14:textId="581259FB" w:rsidR="002176CC" w:rsidRPr="00775407" w:rsidRDefault="002176CC" w:rsidP="002176CC">
      <w:pPr>
        <w:pStyle w:val="ListParagraph"/>
        <w:numPr>
          <w:ilvl w:val="0"/>
          <w:numId w:val="50"/>
        </w:numPr>
        <w:autoSpaceDE w:val="0"/>
        <w:autoSpaceDN w:val="0"/>
        <w:adjustRightInd w:val="0"/>
        <w:spacing w:before="0" w:after="0" w:line="240" w:lineRule="auto"/>
      </w:pPr>
      <w:r>
        <w:t xml:space="preserve">Equity of access to an effective agent that can induce meaningful duration of remission, independent of the availability of clinical trials, including at tertiary hospitals that normally cover rural centres. </w:t>
      </w:r>
    </w:p>
    <w:p w14:paraId="691CC8C5" w14:textId="77777777" w:rsidR="002176CC" w:rsidRDefault="002176CC" w:rsidP="002176CC">
      <w:pPr>
        <w:autoSpaceDE w:val="0"/>
        <w:autoSpaceDN w:val="0"/>
        <w:adjustRightInd w:val="0"/>
        <w:spacing w:after="0" w:line="240" w:lineRule="auto"/>
        <w:rPr>
          <w:b/>
          <w:bCs/>
        </w:rPr>
      </w:pPr>
      <w:r w:rsidRPr="00B238CA">
        <w:rPr>
          <w:b/>
          <w:bCs/>
        </w:rPr>
        <w:t xml:space="preserve">Disadvantages </w:t>
      </w:r>
    </w:p>
    <w:p w14:paraId="104F1B57" w14:textId="77777777" w:rsidR="002176CC" w:rsidRPr="00775407" w:rsidRDefault="002176CC" w:rsidP="002176CC">
      <w:pPr>
        <w:pStyle w:val="ListParagraph"/>
        <w:numPr>
          <w:ilvl w:val="0"/>
          <w:numId w:val="50"/>
        </w:numPr>
        <w:autoSpaceDE w:val="0"/>
        <w:autoSpaceDN w:val="0"/>
        <w:adjustRightInd w:val="0"/>
        <w:spacing w:before="0" w:after="0" w:line="240" w:lineRule="auto"/>
      </w:pPr>
      <w:r>
        <w:t>Patients needing to have completed numerous lines of treatment before commencing AXI therapy was considered a disadvantage (i.e. that the application is only for AXI in the third line or later).</w:t>
      </w:r>
    </w:p>
    <w:p w14:paraId="45D8900D" w14:textId="77777777" w:rsidR="002176CC" w:rsidRDefault="002176CC" w:rsidP="002176CC">
      <w:pPr>
        <w:pStyle w:val="ListParagraph"/>
        <w:numPr>
          <w:ilvl w:val="0"/>
          <w:numId w:val="50"/>
        </w:numPr>
        <w:autoSpaceDE w:val="0"/>
        <w:autoSpaceDN w:val="0"/>
        <w:adjustRightInd w:val="0"/>
        <w:spacing w:before="0" w:after="0" w:line="240" w:lineRule="auto"/>
      </w:pPr>
      <w:r w:rsidRPr="00775407">
        <w:t>The treatment is time consuming and requires hospitalisation</w:t>
      </w:r>
      <w:r>
        <w:t>.</w:t>
      </w:r>
    </w:p>
    <w:p w14:paraId="4D84F691" w14:textId="621A7AF0" w:rsidR="002176CC" w:rsidRPr="00775407" w:rsidRDefault="002176CC" w:rsidP="002176CC">
      <w:pPr>
        <w:pStyle w:val="ListParagraph"/>
        <w:numPr>
          <w:ilvl w:val="0"/>
          <w:numId w:val="50"/>
        </w:numPr>
        <w:autoSpaceDE w:val="0"/>
        <w:autoSpaceDN w:val="0"/>
        <w:adjustRightInd w:val="0"/>
        <w:spacing w:before="0" w:after="0" w:line="240" w:lineRule="auto"/>
      </w:pPr>
      <w:r>
        <w:t xml:space="preserve">The adverse event profile includes cytokine release syndrome, neurotoxicity, infection and </w:t>
      </w:r>
      <w:proofErr w:type="spellStart"/>
      <w:r>
        <w:t>cytopenias</w:t>
      </w:r>
      <w:proofErr w:type="spellEnd"/>
      <w:r>
        <w:t xml:space="preserve">, however current preventative and management strategies are bringing the adverse events to manageable levels. </w:t>
      </w:r>
    </w:p>
    <w:p w14:paraId="00F3FAC3" w14:textId="77777777" w:rsidR="002176CC" w:rsidRPr="004C2248" w:rsidRDefault="002176CC" w:rsidP="002176CC">
      <w:pPr>
        <w:rPr>
          <w:b/>
          <w:bCs/>
        </w:rPr>
      </w:pPr>
      <w:r w:rsidRPr="000D3E8E">
        <w:rPr>
          <w:b/>
          <w:bCs/>
        </w:rPr>
        <w:t xml:space="preserve">Additional Comments </w:t>
      </w:r>
    </w:p>
    <w:p w14:paraId="1626EA7E" w14:textId="7C791B9A" w:rsidR="002176CC" w:rsidRPr="002176CC" w:rsidRDefault="002176CC" w:rsidP="132E0B0E">
      <w:pPr>
        <w:pStyle w:val="Default"/>
        <w:rPr>
          <w:rFonts w:ascii="Franklin Gothic Book" w:hAnsi="Franklin Gothic Book" w:cstheme="minorBidi"/>
          <w:color w:val="auto"/>
          <w:sz w:val="22"/>
          <w:szCs w:val="22"/>
        </w:rPr>
      </w:pPr>
      <w:r w:rsidRPr="132E0B0E">
        <w:rPr>
          <w:rFonts w:ascii="Franklin Gothic Book" w:hAnsi="Franklin Gothic Book" w:cstheme="minorBidi"/>
          <w:color w:val="auto"/>
          <w:sz w:val="22"/>
          <w:szCs w:val="22"/>
        </w:rPr>
        <w:t>The ALLG noted patients will require specific medical and logistical services before treatment including a multidisciplinary meeting to discuss optimum treatment choice and support to facilitate local accommodation for patients from rural areas. Required post treatment services would include clinical services to manage any immediate complications, such as cytokine release syndrome (CRS) and immune effector cell associated neurological toxicity (ICANS). These would include 24</w:t>
      </w:r>
      <w:r w:rsidR="00597C44" w:rsidRPr="132E0B0E">
        <w:rPr>
          <w:rFonts w:ascii="Franklin Gothic Book" w:hAnsi="Franklin Gothic Book" w:cstheme="minorBidi"/>
          <w:color w:val="auto"/>
          <w:sz w:val="22"/>
          <w:szCs w:val="22"/>
        </w:rPr>
        <w:t>-</w:t>
      </w:r>
      <w:r w:rsidRPr="132E0B0E">
        <w:rPr>
          <w:rFonts w:ascii="Franklin Gothic Book" w:hAnsi="Franklin Gothic Book" w:cstheme="minorBidi"/>
          <w:color w:val="auto"/>
          <w:sz w:val="22"/>
          <w:szCs w:val="22"/>
        </w:rPr>
        <w:t xml:space="preserve">hour access to an emergency department with CRS/ICANS management procedures, </w:t>
      </w:r>
      <w:r w:rsidRPr="132E0B0E">
        <w:rPr>
          <w:rFonts w:ascii="Franklin Gothic Book" w:hAnsi="Franklin Gothic Book" w:cstheme="minorBidi"/>
          <w:color w:val="auto"/>
          <w:sz w:val="22"/>
          <w:szCs w:val="22"/>
        </w:rPr>
        <w:lastRenderedPageBreak/>
        <w:t>24</w:t>
      </w:r>
      <w:r w:rsidR="0041211D" w:rsidRPr="132E0B0E">
        <w:rPr>
          <w:rFonts w:ascii="Franklin Gothic Book" w:hAnsi="Franklin Gothic Book" w:cstheme="minorBidi"/>
          <w:color w:val="auto"/>
          <w:sz w:val="22"/>
          <w:szCs w:val="22"/>
        </w:rPr>
        <w:t>-</w:t>
      </w:r>
      <w:r w:rsidRPr="132E0B0E">
        <w:rPr>
          <w:rFonts w:ascii="Franklin Gothic Book" w:hAnsi="Franklin Gothic Book" w:cstheme="minorBidi"/>
          <w:color w:val="auto"/>
          <w:sz w:val="22"/>
          <w:szCs w:val="22"/>
        </w:rPr>
        <w:t xml:space="preserve">hour pharmacy dispensing, an experienced haematology service, intensive care unit (ICU), neurology, infectious disease, and radiology. An allied health team and staff to coordinate discharge planning and follow up procedures would also be required. </w:t>
      </w:r>
    </w:p>
    <w:p w14:paraId="5B662F33" w14:textId="65834B29" w:rsidR="002176CC" w:rsidRPr="002176CC" w:rsidRDefault="002176CC" w:rsidP="002176CC">
      <w:pPr>
        <w:autoSpaceDE w:val="0"/>
        <w:autoSpaceDN w:val="0"/>
        <w:adjustRightInd w:val="0"/>
        <w:spacing w:after="0" w:line="240" w:lineRule="auto"/>
      </w:pPr>
      <w:r>
        <w:t xml:space="preserve">Rare Cancers Australia suggested that providing earlier access to AXI, rather than requiring numerous treatments before treatment with AXI can be commenced, would require fewer visits/hospitalisation which would lessen the burden on the hospital system. </w:t>
      </w:r>
    </w:p>
    <w:p w14:paraId="7A2DA73E" w14:textId="77777777" w:rsidR="002176CC" w:rsidRDefault="002176CC" w:rsidP="002176CC">
      <w:r>
        <w:t>The feedback noted the need to address the barriers in accessing treatment for rural/regional patients. There is a need for an education process for clinicians from sites that have little knowledge of CAR-T and the referral process to ensure patient equity and centricity.</w:t>
      </w:r>
    </w:p>
    <w:p w14:paraId="4475EF0F" w14:textId="77777777" w:rsidR="002176CC" w:rsidRPr="00775407" w:rsidRDefault="002176CC" w:rsidP="002176CC">
      <w:r>
        <w:t>The need for a consistent national approach was raised, with Lymphoma Australia suggesting the establishment of a national roundtable to understand issues and opportunities to deliver a national structure that would enable improved education and access for patients and clinicians.</w:t>
      </w:r>
    </w:p>
    <w:p w14:paraId="7B60DDE6" w14:textId="77777777" w:rsidR="002176CC" w:rsidRDefault="002176CC" w:rsidP="002176CC">
      <w:r>
        <w:t>Medical specialists from whom input was received generally agreed that the patient population was well defined, and that further limiting to exclude patients with central nervous system disease who have been treated and are stable is not necessary. The responses also agreed that, for the purposes of determining eligibility of access to AXI for patients with r/r FL at the third line or later, single agent rituximab should not be considered a line of therapy.</w:t>
      </w:r>
    </w:p>
    <w:p w14:paraId="4E2DBD62" w14:textId="77777777" w:rsidR="002176CC" w:rsidRDefault="002176CC" w:rsidP="002176CC">
      <w:r>
        <w:t xml:space="preserve">The respondents agreed that extended follow up would be required before a patient with r/r FL could be considered cured and that current study follow up for AXI was too short (48 months) to determine cure. However, there was no consensus among the medical specialists regarding the timeframe or other parameters required for patients with r/r FL to be considered cured. The suggested appropriate follow up time without relapse to conclude a patient was cured ranged from at least 5 years to at least 10 years. </w:t>
      </w:r>
    </w:p>
    <w:p w14:paraId="4BC74A1E" w14:textId="77777777" w:rsidR="002176CC" w:rsidRDefault="002176CC" w:rsidP="002176CC">
      <w:r>
        <w:t xml:space="preserve">The medical specialists also noted AXI was not suitable for some patients with r/r FL, including those with severe comorbidities where tolerability and toxicity may be an issue, and patients who prefer a palliative approach. One specialist noted that there appears to be some evidence that efficacy of AXI is drastically reduced in patients with recent </w:t>
      </w:r>
      <w:proofErr w:type="spellStart"/>
      <w:r>
        <w:t>bendamustine</w:t>
      </w:r>
      <w:proofErr w:type="spellEnd"/>
      <w:r>
        <w:t xml:space="preserve"> treatment, and therefore that they may consider excluding such patients from treatment with AXI. </w:t>
      </w:r>
    </w:p>
    <w:p w14:paraId="6A756D3C" w14:textId="4D24DD61" w:rsidR="002176CC" w:rsidRPr="006B6306" w:rsidRDefault="002176CC" w:rsidP="002176CC">
      <w:r>
        <w:t xml:space="preserve">Respondents considered that AXI would likely replace SCT, or delay SCT in cases of CAR-T cell therapy failure. This is particularly with reference to allogenic SCT, </w:t>
      </w:r>
      <w:r w:rsidR="0035431C">
        <w:t xml:space="preserve">where </w:t>
      </w:r>
      <w:r>
        <w:t>specialists noted that autologous SCT is already rarely used in this setting.</w:t>
      </w:r>
    </w:p>
    <w:p w14:paraId="03C7A1F1" w14:textId="58BE64CE" w:rsidR="00772829" w:rsidRPr="00CE28E3" w:rsidRDefault="002176CC" w:rsidP="002A18BE">
      <w:pPr>
        <w:pStyle w:val="Heading2"/>
        <w:numPr>
          <w:ilvl w:val="0"/>
          <w:numId w:val="0"/>
        </w:numPr>
      </w:pPr>
      <w:bookmarkStart w:id="12" w:name="_Toc69491422"/>
      <w:r>
        <w:t>10</w:t>
      </w:r>
      <w:r w:rsidR="00C36633">
        <w:t>.</w:t>
      </w:r>
      <w:r>
        <w:tab/>
      </w:r>
      <w:r w:rsidR="00772829">
        <w:t>Characteristics of the evidence base</w:t>
      </w:r>
      <w:bookmarkEnd w:id="12"/>
    </w:p>
    <w:p w14:paraId="3F0D7583" w14:textId="7C45077F" w:rsidR="001A292F" w:rsidRDefault="2C66A5A5" w:rsidP="00717D86">
      <w:r>
        <w:t>The</w:t>
      </w:r>
      <w:r w:rsidR="00931E9D">
        <w:t xml:space="preserve"> pivotal</w:t>
      </w:r>
      <w:r>
        <w:t xml:space="preserve"> clinical evidence presented by the ADAR was</w:t>
      </w:r>
      <w:r w:rsidR="5D7002D1">
        <w:t xml:space="preserve"> based on </w:t>
      </w:r>
      <w:r w:rsidR="00931E9D">
        <w:t>ZUMA-5</w:t>
      </w:r>
      <w:r w:rsidR="5D7002D1">
        <w:t xml:space="preserve">, a </w:t>
      </w:r>
      <w:r w:rsidR="2117BD26">
        <w:t>p</w:t>
      </w:r>
      <w:r w:rsidR="5D7002D1">
        <w:t>hase</w:t>
      </w:r>
      <w:r>
        <w:t xml:space="preserve"> </w:t>
      </w:r>
      <w:r w:rsidR="00931E9D">
        <w:t>2 single</w:t>
      </w:r>
      <w:r w:rsidR="460DE0E1">
        <w:t>-</w:t>
      </w:r>
      <w:r w:rsidR="00931E9D">
        <w:t xml:space="preserve">arm </w:t>
      </w:r>
      <w:r w:rsidR="782C42E6">
        <w:t>multicentre, open-label study</w:t>
      </w:r>
      <w:r w:rsidR="00931E9D">
        <w:t xml:space="preserve"> assessing the safety and efficacy of AXI. </w:t>
      </w:r>
      <w:r w:rsidR="095BD9AD">
        <w:t>As ZUMA-5 was a single</w:t>
      </w:r>
      <w:r w:rsidR="26F17396">
        <w:t>-</w:t>
      </w:r>
      <w:r w:rsidR="460DE0E1">
        <w:t xml:space="preserve">arm study, </w:t>
      </w:r>
      <w:r w:rsidR="555C379D">
        <w:t xml:space="preserve">clinical evidence </w:t>
      </w:r>
      <w:r w:rsidR="3EE0F94C">
        <w:t xml:space="preserve">presented by the </w:t>
      </w:r>
      <w:r w:rsidR="69E43087">
        <w:t>ADAR</w:t>
      </w:r>
      <w:r w:rsidR="3EE0F94C">
        <w:t xml:space="preserve"> </w:t>
      </w:r>
      <w:r w:rsidR="555C379D">
        <w:t xml:space="preserve">on the </w:t>
      </w:r>
      <w:r w:rsidR="56B849D7">
        <w:t xml:space="preserve">comparative efficacy </w:t>
      </w:r>
      <w:r w:rsidR="4B93E1CB">
        <w:t xml:space="preserve">of AXI vs </w:t>
      </w:r>
      <w:r w:rsidR="14D3E570">
        <w:t>SOC</w:t>
      </w:r>
      <w:r w:rsidR="4B93E1CB">
        <w:t xml:space="preserve"> </w:t>
      </w:r>
      <w:r w:rsidR="57595490">
        <w:t xml:space="preserve">was based on </w:t>
      </w:r>
      <w:r w:rsidR="555C379D">
        <w:t xml:space="preserve">a comparison of </w:t>
      </w:r>
      <w:r w:rsidR="3EE0F94C">
        <w:t xml:space="preserve">patients enrolled in </w:t>
      </w:r>
      <w:r w:rsidR="2820C89B">
        <w:t>ZUMA-5 with an external control group of patients enrolled in an international, multicentre, retrospective cohort study</w:t>
      </w:r>
      <w:r w:rsidR="69E43087">
        <w:t>,</w:t>
      </w:r>
      <w:r w:rsidR="2820C89B">
        <w:t xml:space="preserve"> SCHOLAR-5</w:t>
      </w:r>
      <w:r w:rsidR="13EE31FB">
        <w:t xml:space="preserve">. </w:t>
      </w:r>
      <w:r w:rsidR="69E43087">
        <w:t>The ADAR was based on a published comparison of ZUMA-5 and SCHOLAR-5 at 18 months (Ghione 2022) and further analyses presented in the ADAR at 48 months.</w:t>
      </w:r>
    </w:p>
    <w:p w14:paraId="32466640" w14:textId="7DDA5E79" w:rsidR="00CE48C8" w:rsidRPr="00717D86" w:rsidRDefault="5C25C9D0" w:rsidP="00717D86">
      <w:r>
        <w:t>In the comparative analysis, s</w:t>
      </w:r>
      <w:r w:rsidR="7E71CD63">
        <w:t xml:space="preserve">elect patient baseline characteristics (variables from the data that were prespecified to be of ‘high’ or ‘medium’ importance) were balanced between </w:t>
      </w:r>
      <w:r w:rsidR="69E43087">
        <w:t xml:space="preserve">the </w:t>
      </w:r>
      <w:r w:rsidR="354281E7">
        <w:t>ZUMA-5</w:t>
      </w:r>
      <w:r w:rsidR="7E71CD63">
        <w:t xml:space="preserve"> and </w:t>
      </w:r>
      <w:r w:rsidR="354281E7">
        <w:t>SCHOLAR</w:t>
      </w:r>
      <w:r w:rsidR="7E71CD63">
        <w:t xml:space="preserve">-5 cohorts to account for the potential imbalance of confounders through the application of propensity score </w:t>
      </w:r>
      <w:r w:rsidR="6CE67E13">
        <w:t xml:space="preserve">methods </w:t>
      </w:r>
      <w:r w:rsidR="717181FE">
        <w:t>(</w:t>
      </w:r>
      <w:r w:rsidR="7E71CD63">
        <w:t>via</w:t>
      </w:r>
      <w:r w:rsidR="446064E7">
        <w:t xml:space="preserve"> </w:t>
      </w:r>
      <w:r w:rsidR="0D1B88C7">
        <w:t>standardised mortality ratio (SMR)</w:t>
      </w:r>
      <w:r w:rsidR="20BDC54B">
        <w:t xml:space="preserve"> weighting</w:t>
      </w:r>
      <w:r w:rsidR="717181FE">
        <w:t>)</w:t>
      </w:r>
      <w:r w:rsidR="446064E7">
        <w:t>.</w:t>
      </w:r>
      <w:r w:rsidR="25985CFC">
        <w:t xml:space="preserve"> </w:t>
      </w:r>
      <w:r w:rsidR="7E556EF4">
        <w:t xml:space="preserve">The </w:t>
      </w:r>
      <w:r w:rsidR="299F050E">
        <w:t>Commentary</w:t>
      </w:r>
      <w:r w:rsidR="7E556EF4">
        <w:t xml:space="preserve"> noted that </w:t>
      </w:r>
      <w:r w:rsidR="66518DF8">
        <w:t>variables ranked as ‘low’</w:t>
      </w:r>
      <w:r w:rsidR="06281282">
        <w:t xml:space="preserve"> importance</w:t>
      </w:r>
      <w:r w:rsidR="3175055D">
        <w:t xml:space="preserve"> were unadjusted for as “the need to modify the propensity score from the initial implementation precluded the addition of low </w:t>
      </w:r>
      <w:r w:rsidR="3175055D">
        <w:lastRenderedPageBreak/>
        <w:t>priority variables, as pre-specified in the statistical analysis plan” (p8 of the Appendix to Ghione 2022)</w:t>
      </w:r>
      <w:r w:rsidR="0C84B85E">
        <w:t xml:space="preserve">. For example, </w:t>
      </w:r>
      <w:r w:rsidR="3FF06AEC">
        <w:t xml:space="preserve">patients in ZUMA-5 tended to have better ECOG performance status </w:t>
      </w:r>
      <w:r w:rsidR="5B981F41">
        <w:t>compared to patients in the SCHOLAR-5 cohort</w:t>
      </w:r>
      <w:r w:rsidR="5E9F9BAA">
        <w:t>,</w:t>
      </w:r>
      <w:r w:rsidR="5B981F41">
        <w:t xml:space="preserve"> </w:t>
      </w:r>
      <w:r w:rsidR="197E3BC2">
        <w:t>which w</w:t>
      </w:r>
      <w:r w:rsidR="5B981F41">
        <w:t>as</w:t>
      </w:r>
      <w:r w:rsidR="197E3BC2">
        <w:t xml:space="preserve"> unadjusted for </w:t>
      </w:r>
      <w:r w:rsidR="3FF06AEC">
        <w:t>(ECOG 0: primary analysis: 59% vs 33%; secondary analysis: 62% vs 33%)</w:t>
      </w:r>
      <w:r w:rsidR="55B3368D">
        <w:t>;</w:t>
      </w:r>
      <w:r w:rsidR="3EAD2DF2">
        <w:t xml:space="preserve"> such </w:t>
      </w:r>
      <w:r w:rsidR="3FF06AEC">
        <w:t xml:space="preserve">differences may not be adequately accounted for </w:t>
      </w:r>
      <w:r w:rsidR="0E97A85E">
        <w:t>in the analysis</w:t>
      </w:r>
      <w:r w:rsidR="3FF06AEC">
        <w:t xml:space="preserve"> and may result in the comparison being biased in favour of AXI.</w:t>
      </w:r>
      <w:r w:rsidR="3497627B">
        <w:t xml:space="preserve"> Ultimately, this analysis was an unanchored comparison which, the </w:t>
      </w:r>
      <w:r w:rsidR="593913E2">
        <w:t>Commentary</w:t>
      </w:r>
      <w:r w:rsidR="3497627B">
        <w:t xml:space="preserve"> considered, did not necessarily account for all observed (and unobserved) differences in the compared patient cohorts.</w:t>
      </w:r>
    </w:p>
    <w:p w14:paraId="37BCE5C9" w14:textId="41BE3114" w:rsidR="005227AD" w:rsidRPr="00444591" w:rsidRDefault="5A7095DB" w:rsidP="00717D86">
      <w:r>
        <w:t xml:space="preserve">The </w:t>
      </w:r>
      <w:r w:rsidR="12596869">
        <w:t>Commentary</w:t>
      </w:r>
      <w:r>
        <w:t xml:space="preserve"> </w:t>
      </w:r>
      <w:r w:rsidR="1D3ED81A">
        <w:t xml:space="preserve">considered that </w:t>
      </w:r>
      <w:r w:rsidR="5391929E">
        <w:t xml:space="preserve">while the use of propensity weighting via SMRs improved the comparability between the ZUMA-5 and the SCHOLAR-5 cohorts, the use of SMRs was not justified by the </w:t>
      </w:r>
      <w:r w:rsidR="69E43087">
        <w:t>ADAR</w:t>
      </w:r>
      <w:r w:rsidR="5391929E">
        <w:t xml:space="preserve"> and it was unclear how this was applied.</w:t>
      </w:r>
      <w:r w:rsidR="6FDAAD07">
        <w:t xml:space="preserve"> </w:t>
      </w:r>
      <w:r w:rsidR="1890C308">
        <w:t xml:space="preserve">It was </w:t>
      </w:r>
      <w:r w:rsidR="6FDAAD07">
        <w:t xml:space="preserve">also </w:t>
      </w:r>
      <w:r w:rsidR="1890C308">
        <w:t xml:space="preserve">unclear whether the same propensity scoring methods </w:t>
      </w:r>
      <w:r w:rsidR="2A9A8A4D">
        <w:t xml:space="preserve">that were </w:t>
      </w:r>
      <w:r w:rsidR="1890C308">
        <w:t xml:space="preserve">applied in the primary (18 month) </w:t>
      </w:r>
      <w:r w:rsidR="6FDAAD07">
        <w:t xml:space="preserve">comparative </w:t>
      </w:r>
      <w:r w:rsidR="1890C308">
        <w:t>analysis</w:t>
      </w:r>
      <w:r w:rsidR="69E43087">
        <w:t xml:space="preserve"> (Ghione 2022)</w:t>
      </w:r>
      <w:r w:rsidR="1890C308">
        <w:t xml:space="preserve"> were also used in the updated 48</w:t>
      </w:r>
      <w:r w:rsidR="008F64B2">
        <w:t>-</w:t>
      </w:r>
      <w:r w:rsidR="1890C308">
        <w:t>month analysis</w:t>
      </w:r>
      <w:r w:rsidR="6FDAAD07">
        <w:t>.</w:t>
      </w:r>
      <w:r w:rsidR="60004625">
        <w:t xml:space="preserve"> </w:t>
      </w:r>
      <w:r w:rsidR="7D24E73F">
        <w:t xml:space="preserve">The ADAR </w:t>
      </w:r>
      <w:r w:rsidR="39FA3EF2">
        <w:t>also</w:t>
      </w:r>
      <w:r w:rsidR="7EB8873A">
        <w:t xml:space="preserve"> </w:t>
      </w:r>
      <w:r w:rsidR="7D24E73F">
        <w:t>presented s</w:t>
      </w:r>
      <w:r w:rsidR="0326C788">
        <w:t xml:space="preserve">upplementary evidence from a comparison of outcomes reported for a real-world cohort of patients treated with AXI at the </w:t>
      </w:r>
      <w:proofErr w:type="spellStart"/>
      <w:r w:rsidR="0326C788">
        <w:t>Center</w:t>
      </w:r>
      <w:proofErr w:type="spellEnd"/>
      <w:r w:rsidR="0326C788">
        <w:t xml:space="preserve"> for International Blood and Marrow Transplant Research (CIBMTR) with a group of patients from the SCHOLAR-5 cohort. </w:t>
      </w:r>
      <w:r w:rsidR="26FE888C">
        <w:t xml:space="preserve">Key features of the studies </w:t>
      </w:r>
      <w:r w:rsidR="7D24E73F">
        <w:t xml:space="preserve">presented by the </w:t>
      </w:r>
      <w:r w:rsidR="69E43087">
        <w:t>ADAR</w:t>
      </w:r>
      <w:r w:rsidR="7D24E73F">
        <w:t xml:space="preserve"> </w:t>
      </w:r>
      <w:r w:rsidR="26FE888C">
        <w:t xml:space="preserve">are detailed in </w:t>
      </w:r>
      <w:r>
        <w:fldChar w:fldCharType="begin"/>
      </w:r>
      <w:r>
        <w:instrText xml:space="preserve"> REF _Ref69725651 \h  \* MERGEFORMAT </w:instrText>
      </w:r>
      <w:r>
        <w:fldChar w:fldCharType="separate"/>
      </w:r>
      <w:r w:rsidR="64412BD2">
        <w:t>Table </w:t>
      </w:r>
      <w:r w:rsidR="64412BD2" w:rsidRPr="132E0B0E">
        <w:rPr>
          <w:noProof/>
        </w:rPr>
        <w:t>2</w:t>
      </w:r>
      <w:r>
        <w:fldChar w:fldCharType="end"/>
      </w:r>
      <w:r w:rsidR="26FE888C">
        <w:t>.</w:t>
      </w:r>
      <w:r w:rsidR="696C5ECE">
        <w:t xml:space="preserve"> </w:t>
      </w:r>
      <w:r w:rsidR="5E9F9BAA">
        <w:t xml:space="preserve">The </w:t>
      </w:r>
      <w:r w:rsidR="641B0503">
        <w:t>Commentary</w:t>
      </w:r>
      <w:r w:rsidR="1D360C4C">
        <w:t xml:space="preserve"> considered </w:t>
      </w:r>
      <w:r w:rsidR="1ABEE18A">
        <w:t xml:space="preserve">these studies </w:t>
      </w:r>
      <w:r w:rsidR="6E3A6601">
        <w:t>were prone to a</w:t>
      </w:r>
      <w:r w:rsidR="1ABEE18A">
        <w:t xml:space="preserve"> high risk of bias</w:t>
      </w:r>
      <w:r w:rsidR="15F679D2">
        <w:t>:</w:t>
      </w:r>
    </w:p>
    <w:p w14:paraId="096D8C75" w14:textId="4C1F4E66" w:rsidR="00EB4FAA" w:rsidRPr="00F84B69" w:rsidRDefault="7E26E303" w:rsidP="00717D86">
      <w:pPr>
        <w:pStyle w:val="ListParagraph"/>
        <w:numPr>
          <w:ilvl w:val="0"/>
          <w:numId w:val="35"/>
        </w:numPr>
      </w:pPr>
      <w:r>
        <w:t>ZUMA-5:</w:t>
      </w:r>
      <w:r w:rsidR="11909F65">
        <w:t xml:space="preserve"> </w:t>
      </w:r>
      <w:r w:rsidR="3CF5EC6E">
        <w:t>The risk of bias was high d</w:t>
      </w:r>
      <w:r w:rsidR="11909F65">
        <w:t>ue to the single</w:t>
      </w:r>
      <w:r w:rsidR="3CF5EC6E">
        <w:t>-</w:t>
      </w:r>
      <w:r w:rsidR="11909F65">
        <w:t>arm, open</w:t>
      </w:r>
      <w:r w:rsidR="3CF5EC6E">
        <w:t>-</w:t>
      </w:r>
      <w:r w:rsidR="11909F65">
        <w:t>label study design, and a</w:t>
      </w:r>
      <w:r w:rsidR="006E9503">
        <w:t xml:space="preserve"> </w:t>
      </w:r>
      <w:r w:rsidR="11909F65">
        <w:t xml:space="preserve">primary outcome </w:t>
      </w:r>
      <w:r w:rsidR="3FC4FC8B">
        <w:t>(</w:t>
      </w:r>
      <w:r w:rsidR="7AEADF2D">
        <w:t xml:space="preserve">overall </w:t>
      </w:r>
      <w:r w:rsidR="4CA97991">
        <w:t xml:space="preserve">response rate (ORR) as assessed by an independent radiology review committee per Lugano classification) </w:t>
      </w:r>
      <w:r w:rsidR="2B4CC5E7">
        <w:t xml:space="preserve">which the </w:t>
      </w:r>
      <w:r w:rsidR="641B0503">
        <w:t>Commentary</w:t>
      </w:r>
      <w:r w:rsidR="2B4CC5E7">
        <w:t xml:space="preserve"> considered </w:t>
      </w:r>
      <w:r w:rsidR="4CA97991">
        <w:t>was subjective in nature</w:t>
      </w:r>
      <w:r w:rsidR="72EF09E4">
        <w:t>.</w:t>
      </w:r>
      <w:r w:rsidR="11909F65">
        <w:t xml:space="preserve"> </w:t>
      </w:r>
    </w:p>
    <w:p w14:paraId="4AB20852" w14:textId="23C56F1D" w:rsidR="00EB4FAA" w:rsidRPr="00F84B69" w:rsidRDefault="00EB4FAA" w:rsidP="00717D86">
      <w:pPr>
        <w:pStyle w:val="ListParagraph"/>
        <w:numPr>
          <w:ilvl w:val="0"/>
          <w:numId w:val="35"/>
        </w:numPr>
      </w:pPr>
      <w:r>
        <w:t>ZUMA-5 vs SCHOLAR-5 (Ghione 2022)</w:t>
      </w:r>
      <w:r w:rsidR="009A604B">
        <w:t>:</w:t>
      </w:r>
      <w:r>
        <w:t xml:space="preserve"> </w:t>
      </w:r>
      <w:r w:rsidR="00783DB2">
        <w:t>The risk of bias was high g</w:t>
      </w:r>
      <w:r w:rsidR="00B50BDD">
        <w:t>iven the context of how these two separate studies were used in their clinical evaluation</w:t>
      </w:r>
      <w:r w:rsidR="004620E8">
        <w:t>;</w:t>
      </w:r>
      <w:r>
        <w:t xml:space="preserve"> these studies were conducted at different time periods on different </w:t>
      </w:r>
      <w:proofErr w:type="gramStart"/>
      <w:r>
        <w:t>patients, and</w:t>
      </w:r>
      <w:proofErr w:type="gramEnd"/>
      <w:r>
        <w:t xml:space="preserve"> were not powered nor designed for this purpose</w:t>
      </w:r>
      <w:r w:rsidR="2D51313B">
        <w:t>.</w:t>
      </w:r>
      <w:r w:rsidR="004620E8">
        <w:t xml:space="preserve"> As such</w:t>
      </w:r>
      <w:r>
        <w:t>, the results of this analysis should be considered highly uncertain</w:t>
      </w:r>
      <w:r w:rsidR="151DD839">
        <w:t>.</w:t>
      </w:r>
    </w:p>
    <w:p w14:paraId="1ABD44EE" w14:textId="500E44F5" w:rsidR="001D74A7" w:rsidRDefault="2A98557D" w:rsidP="00717D86">
      <w:pPr>
        <w:pStyle w:val="ListParagraph"/>
        <w:numPr>
          <w:ilvl w:val="0"/>
          <w:numId w:val="35"/>
        </w:numPr>
      </w:pPr>
      <w:r>
        <w:t>AXI</w:t>
      </w:r>
      <w:r w:rsidR="2253DC12">
        <w:t xml:space="preserve"> </w:t>
      </w:r>
      <w:r w:rsidR="509DBDEC">
        <w:t>r</w:t>
      </w:r>
      <w:r w:rsidR="2253DC12">
        <w:t>eal</w:t>
      </w:r>
      <w:r w:rsidR="29A4E724">
        <w:t>-w</w:t>
      </w:r>
      <w:r w:rsidR="2253DC12">
        <w:t xml:space="preserve">orld </w:t>
      </w:r>
      <w:r w:rsidR="509DBDEC">
        <w:t>e</w:t>
      </w:r>
      <w:r w:rsidR="2253DC12">
        <w:t>vidence (RWE)</w:t>
      </w:r>
      <w:r w:rsidR="11909F65">
        <w:t xml:space="preserve"> vs SCHOLAR-5 (</w:t>
      </w:r>
      <w:proofErr w:type="spellStart"/>
      <w:r w:rsidR="11909F65">
        <w:t>Kambhampati</w:t>
      </w:r>
      <w:proofErr w:type="spellEnd"/>
      <w:r w:rsidR="11909F65">
        <w:t xml:space="preserve"> 2023)</w:t>
      </w:r>
      <w:r w:rsidR="6305D359">
        <w:t>:</w:t>
      </w:r>
      <w:r w:rsidR="11909F65">
        <w:t xml:space="preserve"> </w:t>
      </w:r>
      <w:r w:rsidR="5FD91E89">
        <w:t>G</w:t>
      </w:r>
      <w:r w:rsidR="11909F65">
        <w:t>iven the context of how</w:t>
      </w:r>
      <w:r w:rsidR="510E9A36">
        <w:t xml:space="preserve"> the</w:t>
      </w:r>
      <w:r w:rsidR="11909F65">
        <w:t xml:space="preserve"> two separate studies were used in this analysis (</w:t>
      </w:r>
      <w:proofErr w:type="gramStart"/>
      <w:r w:rsidR="11909F65">
        <w:t>similar to</w:t>
      </w:r>
      <w:proofErr w:type="gramEnd"/>
      <w:r w:rsidR="11909F65">
        <w:t xml:space="preserve"> the comparative analysis undertaken for ZUMA-5 vs SCHOLAR-5 described above), the risk of bias was likely high, and the results of this study should be interpreted with caution.</w:t>
      </w:r>
    </w:p>
    <w:p w14:paraId="1DD07B43" w14:textId="4AEC5BDF" w:rsidR="00CF19DC" w:rsidRDefault="7873AB0F" w:rsidP="00717D86">
      <w:r>
        <w:t>It should be n</w:t>
      </w:r>
      <w:r w:rsidR="4B6A666D">
        <w:t>ote</w:t>
      </w:r>
      <w:r>
        <w:t>d</w:t>
      </w:r>
      <w:r w:rsidR="4B6A666D">
        <w:t xml:space="preserve"> that </w:t>
      </w:r>
      <w:r w:rsidR="66941443">
        <w:t xml:space="preserve">the </w:t>
      </w:r>
      <w:r w:rsidR="69E43087">
        <w:t>ADAR</w:t>
      </w:r>
      <w:r w:rsidR="66941443">
        <w:t xml:space="preserve"> did not report on </w:t>
      </w:r>
      <w:r w:rsidR="6D794427">
        <w:t xml:space="preserve">the </w:t>
      </w:r>
      <w:r w:rsidR="66941443">
        <w:t xml:space="preserve">comparative safety </w:t>
      </w:r>
      <w:r w:rsidR="55C3AE6B">
        <w:t xml:space="preserve">of AXI vs </w:t>
      </w:r>
      <w:r w:rsidR="6A84D9BE">
        <w:t>SOC</w:t>
      </w:r>
      <w:r w:rsidR="55C3AE6B">
        <w:t xml:space="preserve"> </w:t>
      </w:r>
      <w:r w:rsidR="644CAF8F">
        <w:t xml:space="preserve">based on </w:t>
      </w:r>
      <w:r w:rsidR="6D794427">
        <w:t xml:space="preserve">ZUMA-5 </w:t>
      </w:r>
      <w:r w:rsidR="644CAF8F">
        <w:t>vs</w:t>
      </w:r>
      <w:r w:rsidR="66941443">
        <w:t xml:space="preserve"> SCHOLAR-5</w:t>
      </w:r>
      <w:r w:rsidR="6D794427">
        <w:t>,</w:t>
      </w:r>
      <w:r w:rsidR="66941443">
        <w:t xml:space="preserve"> which was used </w:t>
      </w:r>
      <w:r w:rsidR="3E1FF104">
        <w:t>as pivotal evidence</w:t>
      </w:r>
      <w:r w:rsidR="66941443">
        <w:t xml:space="preserve"> for comparative efficacy</w:t>
      </w:r>
      <w:r w:rsidR="2C52C6FD">
        <w:t>. T</w:t>
      </w:r>
      <w:r>
        <w:t>he</w:t>
      </w:r>
      <w:r w:rsidR="4D4D190C">
        <w:t xml:space="preserve"> </w:t>
      </w:r>
      <w:r w:rsidR="4B6A666D">
        <w:t xml:space="preserve">studies used by the ADAR for their analysis of comparative safety are not included in </w:t>
      </w:r>
      <w:r w:rsidR="00EA1CF7">
        <w:fldChar w:fldCharType="begin"/>
      </w:r>
      <w:r w:rsidR="00EA1CF7">
        <w:instrText xml:space="preserve"> REF _Ref69725651 \h  \* MERGEFORMAT </w:instrText>
      </w:r>
      <w:r w:rsidR="00EA1CF7">
        <w:fldChar w:fldCharType="separate"/>
      </w:r>
      <w:r w:rsidR="64412BD2">
        <w:t>Table 2</w:t>
      </w:r>
      <w:r w:rsidR="00EA1CF7">
        <w:fldChar w:fldCharType="end"/>
      </w:r>
      <w:r w:rsidR="2D7B4C05">
        <w:t xml:space="preserve">. </w:t>
      </w:r>
    </w:p>
    <w:p w14:paraId="414EF3B0" w14:textId="09FF3036" w:rsidR="00DD1FDF" w:rsidRDefault="2D7B4C05" w:rsidP="00717D86">
      <w:r>
        <w:t>For comparative safety,</w:t>
      </w:r>
      <w:r w:rsidR="4B6A666D">
        <w:t xml:space="preserve"> </w:t>
      </w:r>
      <w:r w:rsidR="4B03FB5C">
        <w:t xml:space="preserve">the ADAR </w:t>
      </w:r>
      <w:r w:rsidR="3C642D69">
        <w:t>compared</w:t>
      </w:r>
      <w:r w:rsidR="4B03FB5C">
        <w:t xml:space="preserve"> </w:t>
      </w:r>
      <w:r w:rsidR="2A3B663F">
        <w:t xml:space="preserve">an overview of adverse events reported in ZUMA-5 with adverse events reported in </w:t>
      </w:r>
      <w:r w:rsidR="22A2759E">
        <w:t>SOC</w:t>
      </w:r>
      <w:r w:rsidR="482CB80E">
        <w:t xml:space="preserve"> </w:t>
      </w:r>
      <w:r w:rsidR="2A3B663F">
        <w:t xml:space="preserve">clinical </w:t>
      </w:r>
      <w:r w:rsidR="0B0D231F">
        <w:t>studies</w:t>
      </w:r>
      <w:r w:rsidR="2A3B663F">
        <w:t xml:space="preserve"> </w:t>
      </w:r>
      <w:r w:rsidR="3C642D69">
        <w:t xml:space="preserve">(detailed in </w:t>
      </w:r>
      <w:r>
        <w:fldChar w:fldCharType="begin"/>
      </w:r>
      <w:r>
        <w:instrText xml:space="preserve"> REF _Ref163139277 \h  \* MERGEFORMAT </w:instrText>
      </w:r>
      <w:r>
        <w:fldChar w:fldCharType="separate"/>
      </w:r>
      <w:r w:rsidR="2C52C6FD">
        <w:t xml:space="preserve">Table </w:t>
      </w:r>
      <w:r w:rsidR="2C52C6FD" w:rsidRPr="132E0B0E">
        <w:rPr>
          <w:noProof/>
        </w:rPr>
        <w:t>5</w:t>
      </w:r>
      <w:r>
        <w:fldChar w:fldCharType="end"/>
      </w:r>
      <w:r w:rsidR="3C642D69">
        <w:t>)</w:t>
      </w:r>
      <w:r w:rsidR="2A3B663F">
        <w:t>.</w:t>
      </w:r>
      <w:r w:rsidR="2B5C9545">
        <w:t xml:space="preserve"> The ADAR</w:t>
      </w:r>
      <w:r w:rsidR="7D9858C2">
        <w:t xml:space="preserve"> acknowledged that there </w:t>
      </w:r>
      <w:r w:rsidR="2B5C9545">
        <w:t>was</w:t>
      </w:r>
      <w:r w:rsidR="7D9858C2">
        <w:t xml:space="preserve"> heterogeneity regarding the </w:t>
      </w:r>
      <w:r w:rsidR="0B0D231F">
        <w:t xml:space="preserve">study </w:t>
      </w:r>
      <w:r w:rsidR="7D9858C2">
        <w:t>populations, dates of enrolment and baseline characteristics of enrolled patients</w:t>
      </w:r>
      <w:r w:rsidR="2B5C9545">
        <w:t>, but</w:t>
      </w:r>
      <w:r w:rsidR="7D9858C2">
        <w:t xml:space="preserve"> considered </w:t>
      </w:r>
      <w:r w:rsidR="510DE1CA">
        <w:t xml:space="preserve">it </w:t>
      </w:r>
      <w:r w:rsidR="7D9858C2">
        <w:t>reasonable to include in an exploratory assessment of comparative safety as the</w:t>
      </w:r>
      <w:r w:rsidR="37F1D0A2">
        <w:t>se studies</w:t>
      </w:r>
      <w:r w:rsidR="7D9858C2">
        <w:t xml:space="preserve"> report</w:t>
      </w:r>
      <w:r w:rsidR="33984ACB">
        <w:t>ed</w:t>
      </w:r>
      <w:r w:rsidR="7D9858C2">
        <w:t xml:space="preserve"> safety outcomes associated with a wide range of treatment regimens recommended to be used in patients with </w:t>
      </w:r>
      <w:r w:rsidR="33984ACB">
        <w:t>r/r FL</w:t>
      </w:r>
      <w:r w:rsidR="7D9858C2">
        <w:t>.</w:t>
      </w:r>
      <w:r w:rsidR="18AD02C4">
        <w:t xml:space="preserve"> However, t</w:t>
      </w:r>
      <w:r w:rsidR="15D2E308">
        <w:t xml:space="preserve">he </w:t>
      </w:r>
      <w:r w:rsidR="6EA845CC">
        <w:t>Commentary</w:t>
      </w:r>
      <w:r w:rsidR="0B0D231F">
        <w:t xml:space="preserve"> </w:t>
      </w:r>
      <w:r w:rsidR="15A4BF26">
        <w:t xml:space="preserve">noted that the </w:t>
      </w:r>
      <w:r w:rsidR="69E43087">
        <w:t>ADAR</w:t>
      </w:r>
      <w:r w:rsidR="15D2E308">
        <w:t xml:space="preserve"> did not provide information on the search strategy employed (if any) in the identification of these studies, and it was unclear whether all relevant studies/trials were captured. Therefore, </w:t>
      </w:r>
      <w:r w:rsidR="37F1D0A2">
        <w:t xml:space="preserve">the </w:t>
      </w:r>
      <w:r w:rsidR="6EA845CC">
        <w:t>Commentary</w:t>
      </w:r>
      <w:r w:rsidR="37F1D0A2">
        <w:t xml:space="preserve"> considered </w:t>
      </w:r>
      <w:r w:rsidR="15D2E308">
        <w:t>the comparative safety evidence presented</w:t>
      </w:r>
      <w:r w:rsidR="1EA35927">
        <w:t xml:space="preserve"> </w:t>
      </w:r>
      <w:r w:rsidR="01C3FE16">
        <w:t xml:space="preserve">by the ADAR </w:t>
      </w:r>
      <w:r w:rsidR="43745601">
        <w:t>had</w:t>
      </w:r>
      <w:r w:rsidR="15D2E308">
        <w:t xml:space="preserve"> a high risk of evidence selection bias. Moreover, the studies used by the </w:t>
      </w:r>
      <w:r w:rsidR="69E43087">
        <w:t>ADAR</w:t>
      </w:r>
      <w:r w:rsidR="15D2E308">
        <w:t xml:space="preserve"> in their safety comparison appeared to be older and it was unclear whether these would be representative of </w:t>
      </w:r>
      <w:r w:rsidR="31071EE3">
        <w:t>SOC</w:t>
      </w:r>
      <w:r w:rsidR="15D2E308">
        <w:t xml:space="preserve"> in Australia; the risk of bias of these studies </w:t>
      </w:r>
      <w:r w:rsidR="07981DF3">
        <w:t xml:space="preserve">was </w:t>
      </w:r>
      <w:r w:rsidR="15D2E308">
        <w:t xml:space="preserve">not reported by the </w:t>
      </w:r>
      <w:r w:rsidR="69E43087">
        <w:t>ADAR</w:t>
      </w:r>
      <w:r w:rsidR="15D2E308">
        <w:t xml:space="preserve">; the patient populations were not fully aligned; and patient demographic and clinical characteristics did not appear to be appropriately assessed by the </w:t>
      </w:r>
      <w:r w:rsidR="69E43087">
        <w:lastRenderedPageBreak/>
        <w:t>ADAR</w:t>
      </w:r>
      <w:r w:rsidR="15D2E308">
        <w:t xml:space="preserve">. As such, the naïve comparison presented by the </w:t>
      </w:r>
      <w:r w:rsidR="69E43087">
        <w:t>ADAR</w:t>
      </w:r>
      <w:r w:rsidR="15D2E308">
        <w:t xml:space="preserve"> may be of limited value </w:t>
      </w:r>
      <w:r w:rsidR="062E6EDE">
        <w:t>for</w:t>
      </w:r>
      <w:r w:rsidR="15D2E308">
        <w:t xml:space="preserve"> MSAC decision making.</w:t>
      </w:r>
    </w:p>
    <w:p w14:paraId="692BCA4B" w14:textId="75B718AC" w:rsidR="00956ACE" w:rsidRPr="00330A0A" w:rsidRDefault="00956ACE" w:rsidP="00793902">
      <w:pPr>
        <w:pStyle w:val="Caption"/>
        <w:rPr>
          <w:color w:val="538135" w:themeColor="accent6" w:themeShade="BF"/>
          <w:sz w:val="16"/>
          <w:szCs w:val="16"/>
        </w:rPr>
      </w:pPr>
      <w:bookmarkStart w:id="13" w:name="_Ref69725651"/>
      <w:r>
        <w:t>Table</w:t>
      </w:r>
      <w:r w:rsidR="004A4FDF">
        <w:t> </w:t>
      </w:r>
      <w:r>
        <w:fldChar w:fldCharType="begin"/>
      </w:r>
      <w:r>
        <w:instrText>SEQ Table \* ARABIC</w:instrText>
      </w:r>
      <w:r>
        <w:fldChar w:fldCharType="separate"/>
      </w:r>
      <w:r w:rsidR="00971602" w:rsidRPr="132E0B0E">
        <w:rPr>
          <w:noProof/>
        </w:rPr>
        <w:t>2</w:t>
      </w:r>
      <w:r>
        <w:fldChar w:fldCharType="end"/>
      </w:r>
      <w:bookmarkEnd w:id="13"/>
      <w:r>
        <w:ta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3"/>
        <w:gridCol w:w="1324"/>
        <w:gridCol w:w="1609"/>
        <w:gridCol w:w="693"/>
        <w:gridCol w:w="1669"/>
        <w:gridCol w:w="1260"/>
        <w:gridCol w:w="1338"/>
      </w:tblGrid>
      <w:tr w:rsidR="001E4573" w:rsidRPr="00CE28E3" w14:paraId="475D8C60" w14:textId="77777777" w:rsidTr="132E0B0E">
        <w:trPr>
          <w:cantSplit/>
          <w:tblHeader/>
        </w:trPr>
        <w:tc>
          <w:tcPr>
            <w:tcW w:w="626" w:type="pct"/>
            <w:shd w:val="clear" w:color="auto" w:fill="auto"/>
            <w:vAlign w:val="center"/>
          </w:tcPr>
          <w:p w14:paraId="4FFC981B" w14:textId="77777777" w:rsidR="00956ACE" w:rsidRPr="00CE28E3" w:rsidRDefault="00956ACE" w:rsidP="00A762F5">
            <w:pPr>
              <w:pStyle w:val="In-tableHeading"/>
              <w:keepNext w:val="0"/>
            </w:pPr>
            <w:bookmarkStart w:id="14" w:name="ColumnTitle_Table3"/>
            <w:bookmarkStart w:id="15" w:name="_Hlk68276112"/>
            <w:bookmarkEnd w:id="14"/>
            <w:r w:rsidRPr="00CE28E3">
              <w:t>References</w:t>
            </w:r>
          </w:p>
        </w:tc>
        <w:tc>
          <w:tcPr>
            <w:tcW w:w="708" w:type="pct"/>
            <w:shd w:val="clear" w:color="auto" w:fill="auto"/>
            <w:vAlign w:val="center"/>
          </w:tcPr>
          <w:p w14:paraId="28641D20" w14:textId="77777777" w:rsidR="00956ACE" w:rsidRPr="00CE28E3" w:rsidRDefault="00956ACE" w:rsidP="00A762F5">
            <w:pPr>
              <w:pStyle w:val="In-tableHeading"/>
              <w:keepNext w:val="0"/>
              <w:jc w:val="center"/>
            </w:pPr>
            <w:r w:rsidRPr="00CE28E3">
              <w:t>N</w:t>
            </w:r>
          </w:p>
        </w:tc>
        <w:tc>
          <w:tcPr>
            <w:tcW w:w="898" w:type="pct"/>
            <w:shd w:val="clear" w:color="auto" w:fill="auto"/>
            <w:vAlign w:val="center"/>
          </w:tcPr>
          <w:p w14:paraId="23BE1BE2" w14:textId="0DE3768C" w:rsidR="00956ACE" w:rsidRPr="00CE28E3" w:rsidRDefault="00956ACE" w:rsidP="00A762F5">
            <w:pPr>
              <w:pStyle w:val="In-tableHeading"/>
              <w:keepNext w:val="0"/>
              <w:jc w:val="center"/>
            </w:pPr>
            <w:r w:rsidRPr="00CE28E3">
              <w:t>Design/duration</w:t>
            </w:r>
          </w:p>
        </w:tc>
        <w:tc>
          <w:tcPr>
            <w:tcW w:w="389" w:type="pct"/>
            <w:shd w:val="clear" w:color="auto" w:fill="auto"/>
            <w:vAlign w:val="center"/>
          </w:tcPr>
          <w:p w14:paraId="4F407CF9" w14:textId="77777777" w:rsidR="00956ACE" w:rsidRPr="00CE28E3" w:rsidRDefault="00956ACE" w:rsidP="00A762F5">
            <w:pPr>
              <w:pStyle w:val="In-tableHeading"/>
              <w:keepNext w:val="0"/>
              <w:jc w:val="center"/>
            </w:pPr>
            <w:r w:rsidRPr="00CE28E3">
              <w:t>Risk of bias</w:t>
            </w:r>
          </w:p>
        </w:tc>
        <w:tc>
          <w:tcPr>
            <w:tcW w:w="930" w:type="pct"/>
            <w:shd w:val="clear" w:color="auto" w:fill="auto"/>
            <w:vAlign w:val="center"/>
          </w:tcPr>
          <w:p w14:paraId="78074E6B" w14:textId="77777777" w:rsidR="00956ACE" w:rsidRPr="00CE28E3" w:rsidRDefault="00956ACE" w:rsidP="00A762F5">
            <w:pPr>
              <w:pStyle w:val="In-tableHeading"/>
              <w:keepNext w:val="0"/>
              <w:jc w:val="center"/>
            </w:pPr>
            <w:r w:rsidRPr="00CE28E3">
              <w:t>Patient population</w:t>
            </w:r>
          </w:p>
        </w:tc>
        <w:tc>
          <w:tcPr>
            <w:tcW w:w="703" w:type="pct"/>
            <w:shd w:val="clear" w:color="auto" w:fill="auto"/>
            <w:vAlign w:val="center"/>
          </w:tcPr>
          <w:p w14:paraId="4B5869A3" w14:textId="77777777" w:rsidR="00956ACE" w:rsidRPr="00CE28E3" w:rsidRDefault="00956ACE" w:rsidP="00A762F5">
            <w:pPr>
              <w:pStyle w:val="In-tableHeading"/>
              <w:keepNext w:val="0"/>
              <w:jc w:val="center"/>
            </w:pPr>
            <w:r w:rsidRPr="00CE28E3">
              <w:t>Outcome(s)</w:t>
            </w:r>
          </w:p>
        </w:tc>
        <w:tc>
          <w:tcPr>
            <w:tcW w:w="746" w:type="pct"/>
            <w:shd w:val="clear" w:color="auto" w:fill="auto"/>
            <w:vAlign w:val="center"/>
          </w:tcPr>
          <w:p w14:paraId="19D97B58" w14:textId="77777777" w:rsidR="00956ACE" w:rsidRPr="00CE28E3" w:rsidRDefault="00956ACE" w:rsidP="00A762F5">
            <w:pPr>
              <w:pStyle w:val="In-tableHeading"/>
              <w:keepNext w:val="0"/>
              <w:jc w:val="center"/>
            </w:pPr>
            <w:r w:rsidRPr="00CE28E3">
              <w:t>Use in modelled evaluation</w:t>
            </w:r>
          </w:p>
        </w:tc>
      </w:tr>
      <w:tr w:rsidR="00956ACE" w:rsidRPr="00CE28E3" w14:paraId="0C31313E" w14:textId="77777777" w:rsidTr="132E0B0E">
        <w:trPr>
          <w:cantSplit/>
        </w:trPr>
        <w:tc>
          <w:tcPr>
            <w:tcW w:w="5000" w:type="pct"/>
            <w:gridSpan w:val="7"/>
            <w:shd w:val="clear" w:color="auto" w:fill="auto"/>
            <w:vAlign w:val="center"/>
          </w:tcPr>
          <w:p w14:paraId="6ADF1B8F" w14:textId="1F663B4A" w:rsidR="00956ACE" w:rsidRPr="00CE28E3" w:rsidRDefault="00E756EC" w:rsidP="00A762F5">
            <w:pPr>
              <w:pStyle w:val="In-tableHeading"/>
              <w:keepNext w:val="0"/>
            </w:pPr>
            <w:r>
              <w:t>Piv</w:t>
            </w:r>
            <w:r w:rsidR="00D3690A">
              <w:t>otal evidence</w:t>
            </w:r>
          </w:p>
        </w:tc>
      </w:tr>
      <w:tr w:rsidR="001E4573" w:rsidRPr="00CE28E3" w14:paraId="7E776818" w14:textId="77777777" w:rsidTr="132E0B0E">
        <w:trPr>
          <w:cantSplit/>
        </w:trPr>
        <w:tc>
          <w:tcPr>
            <w:tcW w:w="626" w:type="pct"/>
            <w:shd w:val="clear" w:color="auto" w:fill="auto"/>
            <w:vAlign w:val="center"/>
          </w:tcPr>
          <w:p w14:paraId="563AC767" w14:textId="33F20895" w:rsidR="00956ACE" w:rsidRPr="00CE28E3" w:rsidRDefault="0099269E" w:rsidP="00A762F5">
            <w:pPr>
              <w:pStyle w:val="TableText"/>
              <w:rPr>
                <w:lang w:val="en-US"/>
              </w:rPr>
            </w:pPr>
            <w:r>
              <w:rPr>
                <w:lang w:val="en-US"/>
              </w:rPr>
              <w:t>ZUMA-5</w:t>
            </w:r>
          </w:p>
        </w:tc>
        <w:tc>
          <w:tcPr>
            <w:tcW w:w="708" w:type="pct"/>
            <w:shd w:val="clear" w:color="auto" w:fill="auto"/>
            <w:vAlign w:val="center"/>
          </w:tcPr>
          <w:p w14:paraId="55F6DE04" w14:textId="40FD3BE3" w:rsidR="00857D76" w:rsidRDefault="00406F77" w:rsidP="00A762F5">
            <w:pPr>
              <w:pStyle w:val="TableText"/>
              <w:jc w:val="center"/>
              <w:rPr>
                <w:lang w:val="en-US"/>
              </w:rPr>
            </w:pPr>
            <w:r w:rsidRPr="003414CE" w:rsidDel="00406F77">
              <w:rPr>
                <w:lang w:val="en-US"/>
              </w:rPr>
              <w:t xml:space="preserve"> </w:t>
            </w:r>
            <w:r w:rsidR="003414CE" w:rsidRPr="003414CE">
              <w:rPr>
                <w:lang w:val="en-US"/>
              </w:rPr>
              <w:t>FL=127</w:t>
            </w:r>
            <w:r w:rsidR="00857D76">
              <w:rPr>
                <w:lang w:val="en-US"/>
              </w:rPr>
              <w:t xml:space="preserve"> </w:t>
            </w:r>
          </w:p>
          <w:p w14:paraId="02503790" w14:textId="48E52820" w:rsidR="00AC36B3" w:rsidRDefault="00857D76" w:rsidP="00A762F5">
            <w:pPr>
              <w:pStyle w:val="TableText"/>
              <w:jc w:val="center"/>
              <w:rPr>
                <w:lang w:val="en-US"/>
              </w:rPr>
            </w:pPr>
            <w:r>
              <w:rPr>
                <w:lang w:val="en-US"/>
              </w:rPr>
              <w:t>Primary analysis (IAS)</w:t>
            </w:r>
            <w:r w:rsidR="00D52045">
              <w:rPr>
                <w:lang w:val="en-US"/>
              </w:rPr>
              <w:t>=</w:t>
            </w:r>
            <w:r w:rsidR="00AC36B3">
              <w:rPr>
                <w:lang w:val="en-US"/>
              </w:rPr>
              <w:t>84</w:t>
            </w:r>
            <w:r w:rsidR="008E1BA7" w:rsidRPr="009A215D">
              <w:rPr>
                <w:vertAlign w:val="superscript"/>
                <w:lang w:val="en-US"/>
              </w:rPr>
              <w:t xml:space="preserve"> a</w:t>
            </w:r>
          </w:p>
          <w:p w14:paraId="280096E2" w14:textId="61FCF222" w:rsidR="00865DAC" w:rsidRPr="00CE28E3" w:rsidRDefault="00AC36B3" w:rsidP="00A762F5">
            <w:pPr>
              <w:pStyle w:val="TableText"/>
              <w:jc w:val="center"/>
              <w:rPr>
                <w:lang w:val="en-US"/>
              </w:rPr>
            </w:pPr>
            <w:r>
              <w:rPr>
                <w:lang w:val="en-US"/>
              </w:rPr>
              <w:t>Updated analysis (FAS)</w:t>
            </w:r>
            <w:r w:rsidR="00474342">
              <w:rPr>
                <w:lang w:val="en-US"/>
              </w:rPr>
              <w:t>=</w:t>
            </w:r>
            <w:r>
              <w:rPr>
                <w:lang w:val="en-US"/>
              </w:rPr>
              <w:t>127</w:t>
            </w:r>
            <w:r w:rsidR="00636486">
              <w:rPr>
                <w:lang w:val="en-US"/>
              </w:rPr>
              <w:t xml:space="preserve"> </w:t>
            </w:r>
            <w:r w:rsidR="00636486" w:rsidRPr="00636486">
              <w:rPr>
                <w:vertAlign w:val="superscript"/>
                <w:lang w:val="en-US"/>
              </w:rPr>
              <w:t>a</w:t>
            </w:r>
            <w:r w:rsidR="003414CE" w:rsidRPr="003414CE">
              <w:rPr>
                <w:lang w:val="en-US"/>
              </w:rPr>
              <w:t xml:space="preserve"> </w:t>
            </w:r>
          </w:p>
        </w:tc>
        <w:tc>
          <w:tcPr>
            <w:tcW w:w="898" w:type="pct"/>
            <w:shd w:val="clear" w:color="auto" w:fill="auto"/>
            <w:vAlign w:val="center"/>
          </w:tcPr>
          <w:p w14:paraId="39A9151F" w14:textId="24479F6F" w:rsidR="00956ACE" w:rsidRPr="00CE28E3" w:rsidRDefault="008B6FA1" w:rsidP="00A762F5">
            <w:pPr>
              <w:pStyle w:val="TableText"/>
              <w:jc w:val="center"/>
              <w:rPr>
                <w:lang w:val="en-US"/>
              </w:rPr>
            </w:pPr>
            <w:r w:rsidRPr="008B6FA1">
              <w:rPr>
                <w:lang w:val="en-US"/>
              </w:rPr>
              <w:t xml:space="preserve">Single arm, </w:t>
            </w:r>
            <w:proofErr w:type="spellStart"/>
            <w:r w:rsidRPr="008B6FA1">
              <w:rPr>
                <w:lang w:val="en-US"/>
              </w:rPr>
              <w:t>multicentre</w:t>
            </w:r>
            <w:proofErr w:type="spellEnd"/>
            <w:r w:rsidRPr="008B6FA1">
              <w:rPr>
                <w:lang w:val="en-US"/>
              </w:rPr>
              <w:t xml:space="preserve">, Phase 2 </w:t>
            </w:r>
            <w:r w:rsidR="000145DC">
              <w:rPr>
                <w:lang w:val="en-US"/>
              </w:rPr>
              <w:t>study</w:t>
            </w:r>
            <w:r w:rsidR="0012342C">
              <w:rPr>
                <w:lang w:val="en-US"/>
              </w:rPr>
              <w:t xml:space="preserve">; </w:t>
            </w:r>
            <w:r w:rsidR="00545F6B">
              <w:rPr>
                <w:lang w:val="en-US"/>
              </w:rPr>
              <w:t xml:space="preserve">primary </w:t>
            </w:r>
            <w:r w:rsidR="00B10A29">
              <w:rPr>
                <w:lang w:val="en-US"/>
              </w:rPr>
              <w:t xml:space="preserve">(12 month) </w:t>
            </w:r>
            <w:r w:rsidR="00545F6B">
              <w:rPr>
                <w:lang w:val="en-US"/>
              </w:rPr>
              <w:t>analysis</w:t>
            </w:r>
            <w:r w:rsidR="00C00D6E">
              <w:rPr>
                <w:lang w:val="en-US"/>
              </w:rPr>
              <w:t xml:space="preserve"> </w:t>
            </w:r>
            <w:r w:rsidR="00116343" w:rsidRPr="00116343">
              <w:rPr>
                <w:vertAlign w:val="superscript"/>
                <w:lang w:val="en-US"/>
              </w:rPr>
              <w:t>b</w:t>
            </w:r>
            <w:r w:rsidR="00545F6B">
              <w:rPr>
                <w:lang w:val="en-US"/>
              </w:rPr>
              <w:t xml:space="preserve"> and 48-month follow-up </w:t>
            </w:r>
            <w:r w:rsidR="00B10A29">
              <w:rPr>
                <w:lang w:val="en-US"/>
              </w:rPr>
              <w:t>analysis</w:t>
            </w:r>
            <w:r w:rsidR="00C00D6E">
              <w:rPr>
                <w:lang w:val="en-US"/>
              </w:rPr>
              <w:t xml:space="preserve"> </w:t>
            </w:r>
            <w:r w:rsidR="00116343" w:rsidRPr="00116343">
              <w:rPr>
                <w:vertAlign w:val="superscript"/>
                <w:lang w:val="en-US"/>
              </w:rPr>
              <w:t>c</w:t>
            </w:r>
          </w:p>
        </w:tc>
        <w:tc>
          <w:tcPr>
            <w:tcW w:w="389" w:type="pct"/>
            <w:shd w:val="clear" w:color="auto" w:fill="auto"/>
            <w:vAlign w:val="center"/>
          </w:tcPr>
          <w:p w14:paraId="269C28DF" w14:textId="633BB523" w:rsidR="00956ACE" w:rsidRPr="00A762F5" w:rsidRDefault="00D3690A" w:rsidP="00A762F5">
            <w:pPr>
              <w:pStyle w:val="TableText"/>
              <w:jc w:val="center"/>
              <w:rPr>
                <w:iCs/>
                <w:lang w:val="en-US"/>
              </w:rPr>
            </w:pPr>
            <w:r w:rsidRPr="00A762F5">
              <w:rPr>
                <w:iCs/>
                <w:lang w:val="en-US"/>
              </w:rPr>
              <w:t>High</w:t>
            </w:r>
          </w:p>
        </w:tc>
        <w:tc>
          <w:tcPr>
            <w:tcW w:w="930" w:type="pct"/>
            <w:shd w:val="clear" w:color="auto" w:fill="auto"/>
            <w:vAlign w:val="center"/>
          </w:tcPr>
          <w:p w14:paraId="4FD8A7FC" w14:textId="727C9E71" w:rsidR="00956ACE" w:rsidRPr="00CE28E3" w:rsidRDefault="004C2E97" w:rsidP="00A762F5">
            <w:pPr>
              <w:pStyle w:val="TableText"/>
              <w:jc w:val="center"/>
              <w:rPr>
                <w:lang w:val="en-US"/>
              </w:rPr>
            </w:pPr>
            <w:r w:rsidRPr="004C2E97">
              <w:rPr>
                <w:lang w:val="en-US"/>
              </w:rPr>
              <w:t>Adult patients with indolent non-Hodgkin lymphoma (FL or MZL) and relapsed or refractory disease after two or more lines of therapy</w:t>
            </w:r>
          </w:p>
        </w:tc>
        <w:tc>
          <w:tcPr>
            <w:tcW w:w="703" w:type="pct"/>
            <w:shd w:val="clear" w:color="auto" w:fill="auto"/>
            <w:vAlign w:val="center"/>
          </w:tcPr>
          <w:p w14:paraId="6D8317AB" w14:textId="77777777" w:rsidR="00E52D44" w:rsidRPr="00E52D44" w:rsidRDefault="00E52D44" w:rsidP="00A762F5">
            <w:pPr>
              <w:pStyle w:val="TableText"/>
              <w:jc w:val="center"/>
              <w:rPr>
                <w:lang w:val="en-US"/>
              </w:rPr>
            </w:pPr>
            <w:r w:rsidRPr="00E52D44">
              <w:rPr>
                <w:lang w:val="en-US"/>
              </w:rPr>
              <w:t>Primary: ORR</w:t>
            </w:r>
          </w:p>
          <w:p w14:paraId="45B1587F" w14:textId="592FEDD6" w:rsidR="00956ACE" w:rsidRPr="00CE28E3" w:rsidRDefault="00E52D44" w:rsidP="00A762F5">
            <w:pPr>
              <w:pStyle w:val="TableText"/>
              <w:jc w:val="center"/>
              <w:rPr>
                <w:lang w:val="en-US"/>
              </w:rPr>
            </w:pPr>
            <w:r w:rsidRPr="00E52D44">
              <w:rPr>
                <w:lang w:val="en-US"/>
              </w:rPr>
              <w:t>Key secondary: CRR, PFS, OS, TTNT, safety</w:t>
            </w:r>
          </w:p>
        </w:tc>
        <w:tc>
          <w:tcPr>
            <w:tcW w:w="746" w:type="pct"/>
            <w:shd w:val="clear" w:color="auto" w:fill="auto"/>
            <w:vAlign w:val="center"/>
          </w:tcPr>
          <w:p w14:paraId="3F9CD3D5" w14:textId="0FA4E8DF" w:rsidR="00956ACE" w:rsidRPr="00CE28E3" w:rsidRDefault="00E52D44" w:rsidP="00A762F5">
            <w:pPr>
              <w:pStyle w:val="TableText"/>
              <w:jc w:val="center"/>
              <w:rPr>
                <w:lang w:val="en-US"/>
              </w:rPr>
            </w:pPr>
            <w:r>
              <w:rPr>
                <w:lang w:val="en-US"/>
              </w:rPr>
              <w:t>Yes</w:t>
            </w:r>
            <w:r w:rsidR="003E1563">
              <w:rPr>
                <w:lang w:val="en-US"/>
              </w:rPr>
              <w:t xml:space="preserve"> (via post hoc comparison)</w:t>
            </w:r>
          </w:p>
        </w:tc>
      </w:tr>
      <w:tr w:rsidR="001E4573" w:rsidRPr="00CE28E3" w14:paraId="6E4E23A7" w14:textId="77777777" w:rsidTr="132E0B0E">
        <w:trPr>
          <w:cantSplit/>
        </w:trPr>
        <w:tc>
          <w:tcPr>
            <w:tcW w:w="626" w:type="pct"/>
            <w:shd w:val="clear" w:color="auto" w:fill="auto"/>
            <w:vAlign w:val="center"/>
          </w:tcPr>
          <w:p w14:paraId="45E15921" w14:textId="3E5E541A" w:rsidR="00956ACE" w:rsidRPr="00CE28E3" w:rsidRDefault="0099269E" w:rsidP="00A762F5">
            <w:pPr>
              <w:pStyle w:val="TableText"/>
              <w:rPr>
                <w:lang w:val="en-US"/>
              </w:rPr>
            </w:pPr>
            <w:r>
              <w:rPr>
                <w:lang w:val="en-US"/>
              </w:rPr>
              <w:t>ZUMA-5 vs SCHOLAR-5</w:t>
            </w:r>
            <w:r w:rsidR="009F6175">
              <w:rPr>
                <w:lang w:val="en-US"/>
              </w:rPr>
              <w:t xml:space="preserve"> (Ghione 2022)</w:t>
            </w:r>
          </w:p>
        </w:tc>
        <w:tc>
          <w:tcPr>
            <w:tcW w:w="708" w:type="pct"/>
            <w:shd w:val="clear" w:color="auto" w:fill="auto"/>
            <w:vAlign w:val="center"/>
          </w:tcPr>
          <w:p w14:paraId="132EC1DD" w14:textId="33EC2FE7" w:rsidR="000214C7" w:rsidRPr="000214C7" w:rsidRDefault="000214C7" w:rsidP="00A762F5">
            <w:pPr>
              <w:pStyle w:val="TableText"/>
              <w:jc w:val="center"/>
              <w:rPr>
                <w:lang w:val="en-US"/>
              </w:rPr>
            </w:pPr>
            <w:r w:rsidRPr="000214C7">
              <w:rPr>
                <w:lang w:val="en-US"/>
              </w:rPr>
              <w:t>Primary analysis (IAS): 171</w:t>
            </w:r>
          </w:p>
          <w:p w14:paraId="03CFE792" w14:textId="397413F1" w:rsidR="000214C7" w:rsidRPr="000214C7" w:rsidRDefault="000214C7" w:rsidP="00A762F5">
            <w:pPr>
              <w:pStyle w:val="TableText"/>
              <w:jc w:val="center"/>
              <w:rPr>
                <w:lang w:val="en-US"/>
              </w:rPr>
            </w:pPr>
            <w:r w:rsidRPr="000214C7">
              <w:rPr>
                <w:lang w:val="en-US"/>
              </w:rPr>
              <w:t>ZUMA-5=86</w:t>
            </w:r>
          </w:p>
          <w:p w14:paraId="59F38CED" w14:textId="16424219" w:rsidR="000214C7" w:rsidRPr="000214C7" w:rsidRDefault="000214C7" w:rsidP="00A762F5">
            <w:pPr>
              <w:pStyle w:val="TableText"/>
              <w:jc w:val="center"/>
              <w:rPr>
                <w:lang w:val="en-US"/>
              </w:rPr>
            </w:pPr>
            <w:r w:rsidRPr="000214C7">
              <w:rPr>
                <w:lang w:val="en-US"/>
              </w:rPr>
              <w:t>SCHOLAR-5=85</w:t>
            </w:r>
          </w:p>
          <w:p w14:paraId="6F724579" w14:textId="77777777" w:rsidR="000214C7" w:rsidRPr="000214C7" w:rsidRDefault="000214C7" w:rsidP="00A762F5">
            <w:pPr>
              <w:pStyle w:val="TableText"/>
              <w:jc w:val="center"/>
              <w:rPr>
                <w:lang w:val="en-US"/>
              </w:rPr>
            </w:pPr>
          </w:p>
          <w:p w14:paraId="0DE029F2" w14:textId="77777777" w:rsidR="000214C7" w:rsidRPr="000214C7" w:rsidRDefault="000214C7" w:rsidP="00A762F5">
            <w:pPr>
              <w:pStyle w:val="TableText"/>
              <w:jc w:val="center"/>
              <w:rPr>
                <w:lang w:val="en-US"/>
              </w:rPr>
            </w:pPr>
            <w:r w:rsidRPr="000214C7">
              <w:rPr>
                <w:lang w:val="en-US"/>
              </w:rPr>
              <w:t>Updated analysis (FAS): 255</w:t>
            </w:r>
          </w:p>
          <w:p w14:paraId="6BB5ED79" w14:textId="77777777" w:rsidR="000214C7" w:rsidRPr="000214C7" w:rsidRDefault="000214C7" w:rsidP="00A762F5">
            <w:pPr>
              <w:pStyle w:val="TableText"/>
              <w:jc w:val="center"/>
              <w:rPr>
                <w:lang w:val="en-US"/>
              </w:rPr>
            </w:pPr>
            <w:r w:rsidRPr="000214C7">
              <w:rPr>
                <w:lang w:val="en-US"/>
              </w:rPr>
              <w:t>ZUMA-5=127</w:t>
            </w:r>
          </w:p>
          <w:p w14:paraId="71251CEE" w14:textId="3D641C84" w:rsidR="00956ACE" w:rsidRPr="00CE28E3" w:rsidRDefault="000214C7" w:rsidP="00A762F5">
            <w:pPr>
              <w:pStyle w:val="TableText"/>
              <w:jc w:val="center"/>
              <w:rPr>
                <w:lang w:val="en-US"/>
              </w:rPr>
            </w:pPr>
            <w:r w:rsidRPr="000214C7">
              <w:rPr>
                <w:lang w:val="en-US"/>
              </w:rPr>
              <w:t>SCHOLAR-5=128</w:t>
            </w:r>
          </w:p>
        </w:tc>
        <w:tc>
          <w:tcPr>
            <w:tcW w:w="898" w:type="pct"/>
            <w:shd w:val="clear" w:color="auto" w:fill="auto"/>
            <w:vAlign w:val="center"/>
          </w:tcPr>
          <w:p w14:paraId="37D3BD6A" w14:textId="008D6D7E" w:rsidR="00956ACE" w:rsidRPr="00CE28E3" w:rsidRDefault="0096517D" w:rsidP="00A762F5">
            <w:pPr>
              <w:pStyle w:val="TableText"/>
              <w:jc w:val="center"/>
              <w:rPr>
                <w:lang w:val="en-US"/>
              </w:rPr>
            </w:pPr>
            <w:r w:rsidRPr="132E0B0E">
              <w:rPr>
                <w:lang w:val="en-US"/>
              </w:rPr>
              <w:t xml:space="preserve">Patients enrolled in ZUMA-5 were compared with an external control group of patients enrolled in a </w:t>
            </w:r>
            <w:proofErr w:type="spellStart"/>
            <w:r w:rsidRPr="132E0B0E">
              <w:rPr>
                <w:lang w:val="en-US"/>
              </w:rPr>
              <w:t>multicentre</w:t>
            </w:r>
            <w:proofErr w:type="spellEnd"/>
            <w:r w:rsidRPr="132E0B0E">
              <w:rPr>
                <w:lang w:val="en-US"/>
              </w:rPr>
              <w:t>, retrospective cohort study (SCHOLAR-5)</w:t>
            </w:r>
            <w:r w:rsidR="008925DC" w:rsidRPr="132E0B0E">
              <w:rPr>
                <w:lang w:val="en-US"/>
              </w:rPr>
              <w:t xml:space="preserve">; </w:t>
            </w:r>
            <w:r w:rsidR="00CD00AE" w:rsidRPr="132E0B0E">
              <w:rPr>
                <w:lang w:val="en-US"/>
              </w:rPr>
              <w:t>primary (</w:t>
            </w:r>
            <w:r w:rsidR="0044004D" w:rsidRPr="132E0B0E">
              <w:rPr>
                <w:lang w:val="en-US"/>
              </w:rPr>
              <w:t>minimum 18</w:t>
            </w:r>
            <w:r w:rsidR="008E4E69" w:rsidRPr="132E0B0E">
              <w:rPr>
                <w:lang w:val="en-US"/>
              </w:rPr>
              <w:t>-</w:t>
            </w:r>
            <w:r w:rsidR="0044004D" w:rsidRPr="132E0B0E">
              <w:rPr>
                <w:lang w:val="en-US"/>
              </w:rPr>
              <w:t>month</w:t>
            </w:r>
            <w:r w:rsidR="00510BF2" w:rsidRPr="132E0B0E">
              <w:rPr>
                <w:lang w:val="en-US"/>
              </w:rPr>
              <w:t xml:space="preserve"> follow-up) analysis</w:t>
            </w:r>
            <w:r w:rsidR="00C00D6E" w:rsidRPr="132E0B0E">
              <w:rPr>
                <w:vertAlign w:val="superscript"/>
                <w:lang w:val="en-US"/>
              </w:rPr>
              <w:t xml:space="preserve"> </w:t>
            </w:r>
            <w:r w:rsidR="00116343" w:rsidRPr="132E0B0E">
              <w:rPr>
                <w:vertAlign w:val="superscript"/>
                <w:lang w:val="en-US"/>
              </w:rPr>
              <w:t>d</w:t>
            </w:r>
            <w:r w:rsidR="00510BF2" w:rsidRPr="132E0B0E">
              <w:rPr>
                <w:lang w:val="en-US"/>
              </w:rPr>
              <w:t xml:space="preserve"> and 48-month follow-up analysis</w:t>
            </w:r>
            <w:r w:rsidR="00C00D6E" w:rsidRPr="132E0B0E">
              <w:rPr>
                <w:lang w:val="en-US"/>
              </w:rPr>
              <w:t xml:space="preserve"> </w:t>
            </w:r>
            <w:r w:rsidR="00116343" w:rsidRPr="132E0B0E">
              <w:rPr>
                <w:vertAlign w:val="superscript"/>
                <w:lang w:val="en-US"/>
              </w:rPr>
              <w:t>c</w:t>
            </w:r>
          </w:p>
        </w:tc>
        <w:tc>
          <w:tcPr>
            <w:tcW w:w="389" w:type="pct"/>
            <w:shd w:val="clear" w:color="auto" w:fill="auto"/>
            <w:vAlign w:val="center"/>
          </w:tcPr>
          <w:p w14:paraId="51165529" w14:textId="77777777" w:rsidR="00956ACE" w:rsidRPr="00A762F5" w:rsidRDefault="00956ACE" w:rsidP="00A762F5">
            <w:pPr>
              <w:pStyle w:val="TableText"/>
              <w:jc w:val="center"/>
              <w:rPr>
                <w:iCs/>
                <w:lang w:val="en-US"/>
              </w:rPr>
            </w:pPr>
            <w:r w:rsidRPr="00A762F5">
              <w:rPr>
                <w:iCs/>
                <w:lang w:val="en-US"/>
              </w:rPr>
              <w:t>High</w:t>
            </w:r>
          </w:p>
        </w:tc>
        <w:tc>
          <w:tcPr>
            <w:tcW w:w="930" w:type="pct"/>
            <w:shd w:val="clear" w:color="auto" w:fill="auto"/>
            <w:vAlign w:val="center"/>
          </w:tcPr>
          <w:p w14:paraId="60CDF4F0" w14:textId="162F86DE" w:rsidR="00956ACE" w:rsidRPr="00CE28E3" w:rsidRDefault="00E63D88" w:rsidP="00A762F5">
            <w:pPr>
              <w:pStyle w:val="TableText"/>
              <w:jc w:val="center"/>
              <w:rPr>
                <w:lang w:val="en-US"/>
              </w:rPr>
            </w:pPr>
            <w:r w:rsidRPr="00E63D88">
              <w:rPr>
                <w:lang w:val="en-US"/>
              </w:rPr>
              <w:t>Adult patients with follicular lymphoma and relapsed or refractory disease after two or more lines of therapy</w:t>
            </w:r>
          </w:p>
        </w:tc>
        <w:tc>
          <w:tcPr>
            <w:tcW w:w="703" w:type="pct"/>
            <w:shd w:val="clear" w:color="auto" w:fill="auto"/>
            <w:vAlign w:val="center"/>
          </w:tcPr>
          <w:p w14:paraId="583A7C5E" w14:textId="04E33A01" w:rsidR="00956ACE" w:rsidRPr="00CE28E3" w:rsidRDefault="003C773F" w:rsidP="00A762F5">
            <w:pPr>
              <w:pStyle w:val="TableText"/>
              <w:jc w:val="center"/>
              <w:rPr>
                <w:lang w:val="en-US"/>
              </w:rPr>
            </w:pPr>
            <w:r w:rsidRPr="003C773F">
              <w:rPr>
                <w:lang w:val="en-US"/>
              </w:rPr>
              <w:t>ORR, CRR, PFS, OS, TTNT</w:t>
            </w:r>
          </w:p>
        </w:tc>
        <w:tc>
          <w:tcPr>
            <w:tcW w:w="746" w:type="pct"/>
            <w:shd w:val="clear" w:color="auto" w:fill="auto"/>
            <w:vAlign w:val="center"/>
          </w:tcPr>
          <w:p w14:paraId="56C2128A" w14:textId="0EE71B0A" w:rsidR="00956ACE" w:rsidRPr="00CE28E3" w:rsidRDefault="00D00EB8" w:rsidP="00A762F5">
            <w:pPr>
              <w:pStyle w:val="TableText"/>
              <w:jc w:val="center"/>
              <w:rPr>
                <w:lang w:val="en-US"/>
              </w:rPr>
            </w:pPr>
            <w:r>
              <w:rPr>
                <w:lang w:val="en-US"/>
              </w:rPr>
              <w:t>Yes</w:t>
            </w:r>
          </w:p>
        </w:tc>
      </w:tr>
      <w:tr w:rsidR="001F77D9" w:rsidRPr="00CE28E3" w14:paraId="4C0FCC71" w14:textId="77777777" w:rsidTr="132E0B0E">
        <w:trPr>
          <w:cantSplit/>
        </w:trPr>
        <w:tc>
          <w:tcPr>
            <w:tcW w:w="5000" w:type="pct"/>
            <w:gridSpan w:val="7"/>
            <w:shd w:val="clear" w:color="auto" w:fill="auto"/>
            <w:vAlign w:val="center"/>
          </w:tcPr>
          <w:p w14:paraId="355D0183" w14:textId="3F9DBEC6" w:rsidR="001F77D9" w:rsidRPr="00985CF6" w:rsidRDefault="001F77D9" w:rsidP="00A762F5">
            <w:pPr>
              <w:pStyle w:val="TableText"/>
              <w:rPr>
                <w:b/>
                <w:bCs/>
                <w:iCs/>
                <w:lang w:val="en-US"/>
              </w:rPr>
            </w:pPr>
            <w:r w:rsidRPr="00985CF6">
              <w:rPr>
                <w:b/>
                <w:bCs/>
                <w:iCs/>
                <w:lang w:val="en-US"/>
              </w:rPr>
              <w:t>Sup</w:t>
            </w:r>
            <w:r w:rsidR="00DA1D30" w:rsidRPr="00985CF6">
              <w:rPr>
                <w:b/>
                <w:bCs/>
                <w:iCs/>
                <w:lang w:val="en-US"/>
              </w:rPr>
              <w:t xml:space="preserve">portive </w:t>
            </w:r>
            <w:r w:rsidRPr="00985CF6">
              <w:rPr>
                <w:b/>
                <w:bCs/>
                <w:iCs/>
                <w:lang w:val="en-US"/>
              </w:rPr>
              <w:t>evidence</w:t>
            </w:r>
          </w:p>
        </w:tc>
      </w:tr>
      <w:tr w:rsidR="001E4573" w:rsidRPr="00CE28E3" w14:paraId="74CD02CE" w14:textId="77777777" w:rsidTr="132E0B0E">
        <w:trPr>
          <w:cantSplit/>
        </w:trPr>
        <w:tc>
          <w:tcPr>
            <w:tcW w:w="626" w:type="pct"/>
            <w:shd w:val="clear" w:color="auto" w:fill="auto"/>
            <w:vAlign w:val="center"/>
          </w:tcPr>
          <w:p w14:paraId="1522F155" w14:textId="68853370" w:rsidR="00956ACE" w:rsidRPr="00CE28E3" w:rsidRDefault="009F6175" w:rsidP="00A762F5">
            <w:pPr>
              <w:pStyle w:val="TableText"/>
              <w:rPr>
                <w:lang w:val="en-US"/>
              </w:rPr>
            </w:pPr>
            <w:r>
              <w:rPr>
                <w:lang w:val="en-US"/>
              </w:rPr>
              <w:t xml:space="preserve">AXI RWE vs SCHOLAR-5 </w:t>
            </w:r>
            <w:r w:rsidR="00917A49" w:rsidRPr="00917A49">
              <w:rPr>
                <w:lang w:val="en-US"/>
              </w:rPr>
              <w:t>(</w:t>
            </w:r>
            <w:proofErr w:type="spellStart"/>
            <w:proofErr w:type="gramStart"/>
            <w:r w:rsidR="00917A49" w:rsidRPr="00917A49">
              <w:rPr>
                <w:lang w:val="en-US"/>
              </w:rPr>
              <w:t>Kambhampati</w:t>
            </w:r>
            <w:proofErr w:type="spellEnd"/>
            <w:r w:rsidR="00917A49" w:rsidRPr="00917A49">
              <w:rPr>
                <w:lang w:val="en-US"/>
              </w:rPr>
              <w:t xml:space="preserve">  2023</w:t>
            </w:r>
            <w:proofErr w:type="gramEnd"/>
            <w:r>
              <w:rPr>
                <w:lang w:val="en-US"/>
              </w:rPr>
              <w:t>)</w:t>
            </w:r>
            <w:r w:rsidR="005B25C8">
              <w:rPr>
                <w:lang w:val="en-US"/>
              </w:rPr>
              <w:t xml:space="preserve"> </w:t>
            </w:r>
            <w:r w:rsidR="005B25C8" w:rsidRPr="005B25C8">
              <w:rPr>
                <w:vertAlign w:val="superscript"/>
                <w:lang w:val="en-US"/>
              </w:rPr>
              <w:t>e</w:t>
            </w:r>
          </w:p>
        </w:tc>
        <w:tc>
          <w:tcPr>
            <w:tcW w:w="708" w:type="pct"/>
            <w:shd w:val="clear" w:color="auto" w:fill="auto"/>
            <w:vAlign w:val="center"/>
          </w:tcPr>
          <w:p w14:paraId="568C8E06" w14:textId="77777777" w:rsidR="001E4573" w:rsidRPr="001E4573" w:rsidRDefault="001E4573" w:rsidP="00A762F5">
            <w:pPr>
              <w:pStyle w:val="TableText"/>
              <w:jc w:val="center"/>
              <w:rPr>
                <w:lang w:val="en-US"/>
              </w:rPr>
            </w:pPr>
            <w:r w:rsidRPr="001E4573">
              <w:rPr>
                <w:lang w:val="en-US"/>
              </w:rPr>
              <w:t>433</w:t>
            </w:r>
          </w:p>
          <w:p w14:paraId="69315E69" w14:textId="5E58C65F" w:rsidR="001E4573" w:rsidRPr="001E4573" w:rsidRDefault="001E4573" w:rsidP="00A762F5">
            <w:pPr>
              <w:pStyle w:val="TableText"/>
              <w:jc w:val="center"/>
              <w:rPr>
                <w:lang w:val="en-US"/>
              </w:rPr>
            </w:pPr>
            <w:r>
              <w:rPr>
                <w:lang w:val="en-US"/>
              </w:rPr>
              <w:t>AXI</w:t>
            </w:r>
            <w:r w:rsidRPr="001E4573">
              <w:rPr>
                <w:lang w:val="en-US"/>
              </w:rPr>
              <w:t xml:space="preserve"> RWE=256</w:t>
            </w:r>
          </w:p>
          <w:p w14:paraId="7890FB07" w14:textId="513940D1" w:rsidR="00956ACE" w:rsidRPr="00CE28E3" w:rsidRDefault="001E4573" w:rsidP="00A762F5">
            <w:pPr>
              <w:pStyle w:val="TableText"/>
              <w:jc w:val="center"/>
              <w:rPr>
                <w:lang w:val="en-US"/>
              </w:rPr>
            </w:pPr>
            <w:r w:rsidRPr="001E4573">
              <w:rPr>
                <w:lang w:val="en-US"/>
              </w:rPr>
              <w:t>SCHOLAR</w:t>
            </w:r>
            <w:r>
              <w:rPr>
                <w:lang w:val="en-US"/>
              </w:rPr>
              <w:t>-</w:t>
            </w:r>
            <w:r w:rsidRPr="001E4573">
              <w:rPr>
                <w:lang w:val="en-US"/>
              </w:rPr>
              <w:t>5=177</w:t>
            </w:r>
          </w:p>
        </w:tc>
        <w:tc>
          <w:tcPr>
            <w:tcW w:w="898" w:type="pct"/>
            <w:shd w:val="clear" w:color="auto" w:fill="auto"/>
            <w:vAlign w:val="center"/>
          </w:tcPr>
          <w:p w14:paraId="6CFB41BD" w14:textId="6BE302DD" w:rsidR="00956ACE" w:rsidRPr="00CE28E3" w:rsidRDefault="00392D8F" w:rsidP="00A762F5">
            <w:pPr>
              <w:pStyle w:val="TableText"/>
              <w:jc w:val="center"/>
              <w:rPr>
                <w:lang w:val="en-US"/>
              </w:rPr>
            </w:pPr>
            <w:r>
              <w:rPr>
                <w:lang w:val="en-US"/>
              </w:rPr>
              <w:t>P</w:t>
            </w:r>
            <w:r w:rsidRPr="00392D8F">
              <w:rPr>
                <w:lang w:val="en-US"/>
              </w:rPr>
              <w:t xml:space="preserve">atients who received commercial AXI from the CIBMTR </w:t>
            </w:r>
            <w:r>
              <w:rPr>
                <w:lang w:val="en-US"/>
              </w:rPr>
              <w:t xml:space="preserve">were compared </w:t>
            </w:r>
            <w:r w:rsidRPr="00392D8F">
              <w:rPr>
                <w:lang w:val="en-US"/>
              </w:rPr>
              <w:t>with SCHOLAR-5</w:t>
            </w:r>
            <w:r>
              <w:rPr>
                <w:lang w:val="en-US"/>
              </w:rPr>
              <w:t xml:space="preserve"> </w:t>
            </w:r>
            <w:r w:rsidR="00CF6AB7">
              <w:rPr>
                <w:lang w:val="en-US"/>
              </w:rPr>
              <w:t>data</w:t>
            </w:r>
            <w:r w:rsidRPr="00392D8F">
              <w:rPr>
                <w:lang w:val="en-US"/>
              </w:rPr>
              <w:t xml:space="preserve"> (described above)</w:t>
            </w:r>
            <w:r w:rsidR="00FF51AF">
              <w:rPr>
                <w:lang w:val="en-US"/>
              </w:rPr>
              <w:t xml:space="preserve">; </w:t>
            </w:r>
            <w:r w:rsidR="0016350A">
              <w:rPr>
                <w:lang w:val="en-US"/>
              </w:rPr>
              <w:t xml:space="preserve">survival outcomes reported at month 6 </w:t>
            </w:r>
            <w:r w:rsidR="005B25C8">
              <w:rPr>
                <w:vertAlign w:val="superscript"/>
                <w:lang w:val="en-US"/>
              </w:rPr>
              <w:t>f</w:t>
            </w:r>
          </w:p>
        </w:tc>
        <w:tc>
          <w:tcPr>
            <w:tcW w:w="389" w:type="pct"/>
            <w:shd w:val="clear" w:color="auto" w:fill="auto"/>
            <w:vAlign w:val="center"/>
          </w:tcPr>
          <w:p w14:paraId="7E15D5C9" w14:textId="0C83ACC5" w:rsidR="00956ACE" w:rsidRPr="00A762F5" w:rsidRDefault="005B0FBE" w:rsidP="00A762F5">
            <w:pPr>
              <w:pStyle w:val="TableText"/>
              <w:jc w:val="center"/>
              <w:rPr>
                <w:iCs/>
                <w:lang w:val="en-US"/>
              </w:rPr>
            </w:pPr>
            <w:r w:rsidRPr="00A762F5">
              <w:rPr>
                <w:iCs/>
                <w:lang w:val="en-US"/>
              </w:rPr>
              <w:t>High</w:t>
            </w:r>
          </w:p>
        </w:tc>
        <w:tc>
          <w:tcPr>
            <w:tcW w:w="930" w:type="pct"/>
            <w:shd w:val="clear" w:color="auto" w:fill="auto"/>
            <w:vAlign w:val="center"/>
          </w:tcPr>
          <w:p w14:paraId="26B7700A" w14:textId="5F8D27B7" w:rsidR="00956ACE" w:rsidRPr="00CE28E3" w:rsidRDefault="00DF3F5F" w:rsidP="00A762F5">
            <w:pPr>
              <w:pStyle w:val="TableText"/>
              <w:jc w:val="center"/>
              <w:rPr>
                <w:lang w:val="en-US"/>
              </w:rPr>
            </w:pPr>
            <w:r w:rsidRPr="00DF3F5F">
              <w:rPr>
                <w:lang w:val="en-US"/>
              </w:rPr>
              <w:t>Adult patients with follicular lymphoma and relapsed or refractory disease after two or more lines of therapy</w:t>
            </w:r>
          </w:p>
        </w:tc>
        <w:tc>
          <w:tcPr>
            <w:tcW w:w="703" w:type="pct"/>
            <w:shd w:val="clear" w:color="auto" w:fill="auto"/>
            <w:vAlign w:val="center"/>
          </w:tcPr>
          <w:p w14:paraId="6651F863" w14:textId="6F32B1B5" w:rsidR="00956ACE" w:rsidRPr="00CE28E3" w:rsidRDefault="005C09FE" w:rsidP="00A762F5">
            <w:pPr>
              <w:pStyle w:val="TableText"/>
              <w:jc w:val="center"/>
              <w:rPr>
                <w:lang w:val="en-US"/>
              </w:rPr>
            </w:pPr>
            <w:r w:rsidRPr="005C09FE">
              <w:rPr>
                <w:lang w:val="en-US"/>
              </w:rPr>
              <w:t>ORR, CRR, PFS, OS</w:t>
            </w:r>
          </w:p>
        </w:tc>
        <w:tc>
          <w:tcPr>
            <w:tcW w:w="746" w:type="pct"/>
            <w:shd w:val="clear" w:color="auto" w:fill="auto"/>
            <w:vAlign w:val="center"/>
          </w:tcPr>
          <w:p w14:paraId="71B2D61D" w14:textId="38825D32" w:rsidR="00956ACE" w:rsidRPr="00CE28E3" w:rsidRDefault="005C09FE" w:rsidP="00A762F5">
            <w:pPr>
              <w:pStyle w:val="TableText"/>
              <w:jc w:val="center"/>
              <w:rPr>
                <w:lang w:val="en-US"/>
              </w:rPr>
            </w:pPr>
            <w:r>
              <w:rPr>
                <w:lang w:val="en-US"/>
              </w:rPr>
              <w:t>No</w:t>
            </w:r>
          </w:p>
        </w:tc>
      </w:tr>
      <w:tr w:rsidR="009163A7" w:rsidRPr="00CE28E3" w14:paraId="4C45D323" w14:textId="77777777" w:rsidTr="132E0B0E">
        <w:trPr>
          <w:cantSplit/>
        </w:trPr>
        <w:tc>
          <w:tcPr>
            <w:tcW w:w="5000" w:type="pct"/>
            <w:gridSpan w:val="7"/>
            <w:shd w:val="clear" w:color="auto" w:fill="auto"/>
            <w:vAlign w:val="center"/>
          </w:tcPr>
          <w:p w14:paraId="482EF3A5" w14:textId="79CC9CF6" w:rsidR="009163A7" w:rsidRPr="009163A7" w:rsidRDefault="009163A7" w:rsidP="00A762F5">
            <w:pPr>
              <w:pStyle w:val="TableText"/>
              <w:rPr>
                <w:b/>
                <w:bCs/>
                <w:lang w:val="en-US"/>
              </w:rPr>
            </w:pPr>
            <w:r w:rsidRPr="009163A7">
              <w:rPr>
                <w:b/>
                <w:bCs/>
                <w:lang w:val="en-US"/>
              </w:rPr>
              <w:t>Comparator safety evidence</w:t>
            </w:r>
          </w:p>
        </w:tc>
      </w:tr>
      <w:tr w:rsidR="009163A7" w:rsidRPr="00CE28E3" w14:paraId="04D25CAD" w14:textId="77777777" w:rsidTr="132E0B0E">
        <w:trPr>
          <w:cantSplit/>
        </w:trPr>
        <w:tc>
          <w:tcPr>
            <w:tcW w:w="626" w:type="pct"/>
            <w:shd w:val="clear" w:color="auto" w:fill="auto"/>
            <w:vAlign w:val="center"/>
          </w:tcPr>
          <w:p w14:paraId="2B431365" w14:textId="554F6D01" w:rsidR="009163A7" w:rsidRDefault="00985CF6" w:rsidP="00A762F5">
            <w:pPr>
              <w:pStyle w:val="TableText"/>
              <w:rPr>
                <w:lang w:val="en-US"/>
              </w:rPr>
            </w:pPr>
            <w:r>
              <w:rPr>
                <w:lang w:val="en-US"/>
              </w:rPr>
              <w:t>LYM-3001 (</w:t>
            </w:r>
            <w:proofErr w:type="spellStart"/>
            <w:r>
              <w:rPr>
                <w:lang w:val="en-US"/>
              </w:rPr>
              <w:t>Coiffier</w:t>
            </w:r>
            <w:proofErr w:type="spellEnd"/>
            <w:r>
              <w:rPr>
                <w:lang w:val="en-US"/>
              </w:rPr>
              <w:t xml:space="preserve"> 2011)</w:t>
            </w:r>
          </w:p>
        </w:tc>
        <w:tc>
          <w:tcPr>
            <w:tcW w:w="708" w:type="pct"/>
            <w:shd w:val="clear" w:color="auto" w:fill="auto"/>
            <w:vAlign w:val="center"/>
          </w:tcPr>
          <w:p w14:paraId="5697EE95" w14:textId="77777777" w:rsidR="009163A7" w:rsidRDefault="00406F77" w:rsidP="00A762F5">
            <w:pPr>
              <w:pStyle w:val="TableText"/>
              <w:jc w:val="center"/>
              <w:rPr>
                <w:lang w:val="en-US"/>
              </w:rPr>
            </w:pPr>
            <w:r>
              <w:rPr>
                <w:lang w:val="en-US"/>
              </w:rPr>
              <w:t>676</w:t>
            </w:r>
          </w:p>
          <w:p w14:paraId="2F877ACF" w14:textId="77777777" w:rsidR="00406F77" w:rsidRDefault="00406F77" w:rsidP="00A762F5">
            <w:pPr>
              <w:pStyle w:val="TableText"/>
              <w:jc w:val="center"/>
              <w:rPr>
                <w:lang w:val="en-US"/>
              </w:rPr>
            </w:pPr>
            <w:proofErr w:type="spellStart"/>
            <w:r>
              <w:rPr>
                <w:lang w:val="en-US"/>
              </w:rPr>
              <w:t>Ritux</w:t>
            </w:r>
            <w:proofErr w:type="spellEnd"/>
            <w:r>
              <w:rPr>
                <w:lang w:val="en-US"/>
              </w:rPr>
              <w:t>=340</w:t>
            </w:r>
          </w:p>
          <w:p w14:paraId="474BDCDD" w14:textId="29BBE345" w:rsidR="00406F77" w:rsidRPr="001E4573" w:rsidRDefault="00406F77" w:rsidP="00A762F5">
            <w:pPr>
              <w:pStyle w:val="TableText"/>
              <w:jc w:val="center"/>
              <w:rPr>
                <w:lang w:val="en-US"/>
              </w:rPr>
            </w:pPr>
            <w:proofErr w:type="spellStart"/>
            <w:r>
              <w:rPr>
                <w:lang w:val="en-US"/>
              </w:rPr>
              <w:t>Ritux+bort</w:t>
            </w:r>
            <w:proofErr w:type="spellEnd"/>
            <w:r>
              <w:rPr>
                <w:lang w:val="en-US"/>
              </w:rPr>
              <w:t>=336</w:t>
            </w:r>
          </w:p>
        </w:tc>
        <w:tc>
          <w:tcPr>
            <w:tcW w:w="898" w:type="pct"/>
            <w:shd w:val="clear" w:color="auto" w:fill="auto"/>
            <w:vAlign w:val="center"/>
          </w:tcPr>
          <w:p w14:paraId="2C4A0A40" w14:textId="77777777" w:rsidR="009163A7" w:rsidRDefault="00406F77" w:rsidP="00A762F5">
            <w:pPr>
              <w:pStyle w:val="TableText"/>
              <w:jc w:val="center"/>
              <w:rPr>
                <w:lang w:val="en-US"/>
              </w:rPr>
            </w:pPr>
            <w:r>
              <w:rPr>
                <w:lang w:val="en-US"/>
              </w:rPr>
              <w:t>R, OL</w:t>
            </w:r>
          </w:p>
          <w:p w14:paraId="6FE30C5E" w14:textId="77777777" w:rsidR="00406F77" w:rsidRDefault="00406F77" w:rsidP="00A762F5">
            <w:pPr>
              <w:pStyle w:val="TableText"/>
              <w:jc w:val="center"/>
              <w:rPr>
                <w:lang w:val="en-US"/>
              </w:rPr>
            </w:pPr>
            <w:r>
              <w:rPr>
                <w:lang w:val="en-US"/>
              </w:rPr>
              <w:t>205 days</w:t>
            </w:r>
          </w:p>
          <w:p w14:paraId="4464D597" w14:textId="28BDB72A" w:rsidR="00406F77" w:rsidRDefault="00406F77" w:rsidP="00A762F5">
            <w:pPr>
              <w:pStyle w:val="TableText"/>
              <w:jc w:val="center"/>
              <w:rPr>
                <w:lang w:val="en-US"/>
              </w:rPr>
            </w:pPr>
            <w:r>
              <w:rPr>
                <w:lang w:val="en-US"/>
              </w:rPr>
              <w:t>(safety assessed through 5*</w:t>
            </w:r>
            <w:proofErr w:type="gramStart"/>
            <w:r>
              <w:rPr>
                <w:lang w:val="en-US"/>
              </w:rPr>
              <w:t>35 day</w:t>
            </w:r>
            <w:proofErr w:type="gramEnd"/>
            <w:r>
              <w:rPr>
                <w:lang w:val="en-US"/>
              </w:rPr>
              <w:t xml:space="preserve"> cycles + 30 days)</w:t>
            </w:r>
          </w:p>
        </w:tc>
        <w:tc>
          <w:tcPr>
            <w:tcW w:w="389" w:type="pct"/>
            <w:shd w:val="clear" w:color="auto" w:fill="auto"/>
            <w:vAlign w:val="center"/>
          </w:tcPr>
          <w:p w14:paraId="6B62CA62" w14:textId="060AC2B4" w:rsidR="009163A7" w:rsidRPr="00A762F5" w:rsidRDefault="00406F77" w:rsidP="00A762F5">
            <w:pPr>
              <w:pStyle w:val="TableText"/>
              <w:jc w:val="center"/>
              <w:rPr>
                <w:lang w:val="en-US"/>
              </w:rPr>
            </w:pPr>
            <w:r>
              <w:rPr>
                <w:lang w:val="en-US"/>
              </w:rPr>
              <w:t>NA</w:t>
            </w:r>
          </w:p>
        </w:tc>
        <w:tc>
          <w:tcPr>
            <w:tcW w:w="930" w:type="pct"/>
            <w:shd w:val="clear" w:color="auto" w:fill="auto"/>
            <w:vAlign w:val="center"/>
          </w:tcPr>
          <w:p w14:paraId="47FB0B36" w14:textId="2328C13B" w:rsidR="009163A7" w:rsidRPr="00DF3F5F" w:rsidRDefault="00406F77" w:rsidP="00A762F5">
            <w:pPr>
              <w:pStyle w:val="TableText"/>
              <w:jc w:val="center"/>
              <w:rPr>
                <w:lang w:val="en-US"/>
              </w:rPr>
            </w:pPr>
            <w:r w:rsidRPr="00DB36F9">
              <w:t>Adult patients with relapsed Grade 1 or 2 follicular lymphoma</w:t>
            </w:r>
          </w:p>
        </w:tc>
        <w:tc>
          <w:tcPr>
            <w:tcW w:w="703" w:type="pct"/>
            <w:shd w:val="clear" w:color="auto" w:fill="auto"/>
            <w:vAlign w:val="center"/>
          </w:tcPr>
          <w:p w14:paraId="04E9E8F8" w14:textId="29AB6EEE" w:rsidR="009163A7" w:rsidRPr="005C09FE" w:rsidRDefault="00406F77" w:rsidP="00A762F5">
            <w:pPr>
              <w:pStyle w:val="TableText"/>
              <w:jc w:val="center"/>
              <w:rPr>
                <w:lang w:val="en-US"/>
              </w:rPr>
            </w:pPr>
            <w:r>
              <w:rPr>
                <w:lang w:val="en-US"/>
              </w:rPr>
              <w:t>Safety</w:t>
            </w:r>
          </w:p>
        </w:tc>
        <w:tc>
          <w:tcPr>
            <w:tcW w:w="746" w:type="pct"/>
            <w:shd w:val="clear" w:color="auto" w:fill="auto"/>
            <w:vAlign w:val="center"/>
          </w:tcPr>
          <w:p w14:paraId="1C9B171C" w14:textId="6758A24B" w:rsidR="009163A7" w:rsidRDefault="00406F77" w:rsidP="00A762F5">
            <w:pPr>
              <w:pStyle w:val="TableText"/>
              <w:jc w:val="center"/>
              <w:rPr>
                <w:lang w:val="en-US"/>
              </w:rPr>
            </w:pPr>
            <w:r>
              <w:rPr>
                <w:lang w:val="en-US"/>
              </w:rPr>
              <w:t xml:space="preserve">No </w:t>
            </w:r>
          </w:p>
        </w:tc>
      </w:tr>
      <w:tr w:rsidR="00985CF6" w:rsidRPr="00CE28E3" w14:paraId="2441F38A" w14:textId="77777777" w:rsidTr="132E0B0E">
        <w:trPr>
          <w:cantSplit/>
        </w:trPr>
        <w:tc>
          <w:tcPr>
            <w:tcW w:w="626" w:type="pct"/>
            <w:shd w:val="clear" w:color="auto" w:fill="auto"/>
            <w:vAlign w:val="center"/>
          </w:tcPr>
          <w:p w14:paraId="280DFAA3" w14:textId="582491C5" w:rsidR="00985CF6" w:rsidRDefault="00985CF6" w:rsidP="00A762F5">
            <w:pPr>
              <w:pStyle w:val="TableText"/>
              <w:rPr>
                <w:lang w:val="en-US"/>
              </w:rPr>
            </w:pPr>
            <w:r>
              <w:rPr>
                <w:lang w:val="en-US"/>
              </w:rPr>
              <w:t>GADOLIN (</w:t>
            </w:r>
            <w:proofErr w:type="spellStart"/>
            <w:r>
              <w:rPr>
                <w:lang w:val="en-US"/>
              </w:rPr>
              <w:t>Sehn</w:t>
            </w:r>
            <w:proofErr w:type="spellEnd"/>
            <w:r>
              <w:rPr>
                <w:lang w:val="en-US"/>
              </w:rPr>
              <w:t xml:space="preserve"> 2016)</w:t>
            </w:r>
          </w:p>
        </w:tc>
        <w:tc>
          <w:tcPr>
            <w:tcW w:w="708" w:type="pct"/>
            <w:shd w:val="clear" w:color="auto" w:fill="auto"/>
            <w:vAlign w:val="center"/>
          </w:tcPr>
          <w:p w14:paraId="7542893C" w14:textId="77777777" w:rsidR="00985CF6" w:rsidRDefault="00406F77" w:rsidP="00A762F5">
            <w:pPr>
              <w:pStyle w:val="TableText"/>
              <w:jc w:val="center"/>
              <w:rPr>
                <w:lang w:val="en-US"/>
              </w:rPr>
            </w:pPr>
            <w:r>
              <w:rPr>
                <w:lang w:val="en-US"/>
              </w:rPr>
              <w:t>396</w:t>
            </w:r>
          </w:p>
          <w:p w14:paraId="13FA450B" w14:textId="77777777" w:rsidR="00406F77" w:rsidRDefault="00406F77" w:rsidP="00A762F5">
            <w:pPr>
              <w:pStyle w:val="TableText"/>
              <w:jc w:val="center"/>
              <w:rPr>
                <w:lang w:val="en-US"/>
              </w:rPr>
            </w:pPr>
            <w:proofErr w:type="spellStart"/>
            <w:r>
              <w:rPr>
                <w:lang w:val="en-US"/>
              </w:rPr>
              <w:t>Obin+benda</w:t>
            </w:r>
            <w:proofErr w:type="spellEnd"/>
            <w:r>
              <w:rPr>
                <w:lang w:val="en-US"/>
              </w:rPr>
              <w:t>=194</w:t>
            </w:r>
          </w:p>
          <w:p w14:paraId="3B550619" w14:textId="32D2EB87" w:rsidR="00406F77" w:rsidRPr="001E4573" w:rsidRDefault="00406F77" w:rsidP="00A762F5">
            <w:pPr>
              <w:pStyle w:val="TableText"/>
              <w:jc w:val="center"/>
              <w:rPr>
                <w:lang w:val="en-US"/>
              </w:rPr>
            </w:pPr>
            <w:r>
              <w:rPr>
                <w:lang w:val="en-US"/>
              </w:rPr>
              <w:t>Benda=202</w:t>
            </w:r>
          </w:p>
        </w:tc>
        <w:tc>
          <w:tcPr>
            <w:tcW w:w="898" w:type="pct"/>
            <w:shd w:val="clear" w:color="auto" w:fill="auto"/>
            <w:vAlign w:val="center"/>
          </w:tcPr>
          <w:p w14:paraId="17A4F973" w14:textId="77777777" w:rsidR="00985CF6" w:rsidRDefault="00406F77" w:rsidP="00A762F5">
            <w:pPr>
              <w:pStyle w:val="TableText"/>
              <w:jc w:val="center"/>
              <w:rPr>
                <w:lang w:val="en-US"/>
              </w:rPr>
            </w:pPr>
            <w:r>
              <w:rPr>
                <w:lang w:val="en-US"/>
              </w:rPr>
              <w:t>R, OL</w:t>
            </w:r>
          </w:p>
          <w:p w14:paraId="2786F54B" w14:textId="77777777" w:rsidR="00406F77" w:rsidRDefault="00406F77" w:rsidP="00A762F5">
            <w:pPr>
              <w:pStyle w:val="TableText"/>
              <w:jc w:val="center"/>
              <w:rPr>
                <w:lang w:val="en-US"/>
              </w:rPr>
            </w:pPr>
            <w:r w:rsidRPr="132E0B0E">
              <w:rPr>
                <w:lang w:val="en-US"/>
              </w:rPr>
              <w:t>Up to 24 months</w:t>
            </w:r>
          </w:p>
          <w:p w14:paraId="47D7C07A" w14:textId="54230AC3" w:rsidR="00406F77" w:rsidRDefault="00406F77" w:rsidP="00A762F5">
            <w:pPr>
              <w:pStyle w:val="TableText"/>
              <w:jc w:val="center"/>
              <w:rPr>
                <w:lang w:val="en-US"/>
              </w:rPr>
            </w:pPr>
            <w:r>
              <w:rPr>
                <w:lang w:val="en-US"/>
              </w:rPr>
              <w:t xml:space="preserve">(safety assessed through 6*28 cycles + 28 days in </w:t>
            </w:r>
            <w:proofErr w:type="spellStart"/>
            <w:r>
              <w:rPr>
                <w:lang w:val="en-US"/>
              </w:rPr>
              <w:t>obin+benda</w:t>
            </w:r>
            <w:proofErr w:type="spellEnd"/>
            <w:r>
              <w:rPr>
                <w:lang w:val="en-US"/>
              </w:rPr>
              <w:t xml:space="preserve"> or 24 months for </w:t>
            </w:r>
            <w:proofErr w:type="spellStart"/>
            <w:r>
              <w:rPr>
                <w:lang w:val="en-US"/>
              </w:rPr>
              <w:t>benda</w:t>
            </w:r>
            <w:proofErr w:type="spellEnd"/>
            <w:r>
              <w:rPr>
                <w:lang w:val="en-US"/>
              </w:rPr>
              <w:t>)</w:t>
            </w:r>
          </w:p>
        </w:tc>
        <w:tc>
          <w:tcPr>
            <w:tcW w:w="389" w:type="pct"/>
            <w:shd w:val="clear" w:color="auto" w:fill="auto"/>
            <w:vAlign w:val="center"/>
          </w:tcPr>
          <w:p w14:paraId="3AFFE887" w14:textId="6271FD0D" w:rsidR="00985CF6" w:rsidRPr="00A762F5" w:rsidRDefault="00406F77" w:rsidP="00A762F5">
            <w:pPr>
              <w:pStyle w:val="TableText"/>
              <w:jc w:val="center"/>
              <w:rPr>
                <w:lang w:val="en-US"/>
              </w:rPr>
            </w:pPr>
            <w:r>
              <w:rPr>
                <w:lang w:val="en-US"/>
              </w:rPr>
              <w:t>NA</w:t>
            </w:r>
          </w:p>
        </w:tc>
        <w:tc>
          <w:tcPr>
            <w:tcW w:w="930" w:type="pct"/>
            <w:shd w:val="clear" w:color="auto" w:fill="auto"/>
            <w:vAlign w:val="center"/>
          </w:tcPr>
          <w:p w14:paraId="06886594" w14:textId="4B811A94" w:rsidR="00985CF6" w:rsidRPr="00DF3F5F" w:rsidRDefault="00406F77" w:rsidP="00A762F5">
            <w:pPr>
              <w:pStyle w:val="TableText"/>
              <w:jc w:val="center"/>
              <w:rPr>
                <w:lang w:val="en-US"/>
              </w:rPr>
            </w:pPr>
            <w:r w:rsidRPr="00325A4A">
              <w:t xml:space="preserve">Adult patients with relapsed </w:t>
            </w:r>
            <w:proofErr w:type="spellStart"/>
            <w:r w:rsidRPr="00325A4A">
              <w:t>iNHL</w:t>
            </w:r>
            <w:proofErr w:type="spellEnd"/>
            <w:r w:rsidRPr="00325A4A">
              <w:t xml:space="preserve"> refractory to rituximab</w:t>
            </w:r>
          </w:p>
        </w:tc>
        <w:tc>
          <w:tcPr>
            <w:tcW w:w="703" w:type="pct"/>
            <w:shd w:val="clear" w:color="auto" w:fill="auto"/>
            <w:vAlign w:val="center"/>
          </w:tcPr>
          <w:p w14:paraId="39AD8CC6" w14:textId="41337D12" w:rsidR="00985CF6" w:rsidRPr="005C09FE" w:rsidRDefault="00406F77" w:rsidP="00A762F5">
            <w:pPr>
              <w:pStyle w:val="TableText"/>
              <w:jc w:val="center"/>
              <w:rPr>
                <w:lang w:val="en-US"/>
              </w:rPr>
            </w:pPr>
            <w:r>
              <w:rPr>
                <w:lang w:val="en-US"/>
              </w:rPr>
              <w:t>Safety</w:t>
            </w:r>
          </w:p>
        </w:tc>
        <w:tc>
          <w:tcPr>
            <w:tcW w:w="746" w:type="pct"/>
            <w:shd w:val="clear" w:color="auto" w:fill="auto"/>
            <w:vAlign w:val="center"/>
          </w:tcPr>
          <w:p w14:paraId="51FE4FA3" w14:textId="1504B550" w:rsidR="00985CF6" w:rsidRDefault="00406F77" w:rsidP="00A762F5">
            <w:pPr>
              <w:pStyle w:val="TableText"/>
              <w:jc w:val="center"/>
              <w:rPr>
                <w:lang w:val="en-US"/>
              </w:rPr>
            </w:pPr>
            <w:r>
              <w:rPr>
                <w:lang w:val="en-US"/>
              </w:rPr>
              <w:t xml:space="preserve">No </w:t>
            </w:r>
          </w:p>
        </w:tc>
      </w:tr>
      <w:tr w:rsidR="00985CF6" w:rsidRPr="00CE28E3" w14:paraId="7A9126A0" w14:textId="77777777" w:rsidTr="132E0B0E">
        <w:trPr>
          <w:cantSplit/>
        </w:trPr>
        <w:tc>
          <w:tcPr>
            <w:tcW w:w="626" w:type="pct"/>
            <w:shd w:val="clear" w:color="auto" w:fill="auto"/>
            <w:vAlign w:val="center"/>
          </w:tcPr>
          <w:p w14:paraId="0DE387B7" w14:textId="5D13D9DE" w:rsidR="00985CF6" w:rsidRDefault="00985CF6" w:rsidP="00A762F5">
            <w:pPr>
              <w:pStyle w:val="TableText"/>
              <w:rPr>
                <w:lang w:val="en-US"/>
              </w:rPr>
            </w:pPr>
            <w:r>
              <w:rPr>
                <w:lang w:val="en-US"/>
              </w:rPr>
              <w:lastRenderedPageBreak/>
              <w:t xml:space="preserve">DELTA </w:t>
            </w:r>
            <w:r>
              <w:rPr>
                <w:lang w:val="en-US"/>
              </w:rPr>
              <w:br/>
              <w:t>(Gopal 2014)</w:t>
            </w:r>
          </w:p>
        </w:tc>
        <w:tc>
          <w:tcPr>
            <w:tcW w:w="708" w:type="pct"/>
            <w:shd w:val="clear" w:color="auto" w:fill="auto"/>
            <w:vAlign w:val="center"/>
          </w:tcPr>
          <w:p w14:paraId="6BD3AC80" w14:textId="5EF66B30" w:rsidR="00406F77" w:rsidRDefault="00406F77" w:rsidP="00A762F5">
            <w:pPr>
              <w:pStyle w:val="TableText"/>
              <w:jc w:val="center"/>
              <w:rPr>
                <w:lang w:val="en-US"/>
              </w:rPr>
            </w:pPr>
            <w:r>
              <w:rPr>
                <w:lang w:val="en-US"/>
              </w:rPr>
              <w:t>125</w:t>
            </w:r>
          </w:p>
          <w:p w14:paraId="6CDA4122" w14:textId="7703E777" w:rsidR="00985CF6" w:rsidRPr="001E4573" w:rsidRDefault="00406F77" w:rsidP="00A762F5">
            <w:pPr>
              <w:pStyle w:val="TableText"/>
              <w:jc w:val="center"/>
              <w:rPr>
                <w:lang w:val="en-US"/>
              </w:rPr>
            </w:pPr>
            <w:proofErr w:type="spellStart"/>
            <w:r>
              <w:rPr>
                <w:lang w:val="en-US"/>
              </w:rPr>
              <w:t>Idelalisib</w:t>
            </w:r>
            <w:proofErr w:type="spellEnd"/>
            <w:r>
              <w:rPr>
                <w:lang w:val="en-US"/>
              </w:rPr>
              <w:t xml:space="preserve"> </w:t>
            </w:r>
          </w:p>
        </w:tc>
        <w:tc>
          <w:tcPr>
            <w:tcW w:w="898" w:type="pct"/>
            <w:shd w:val="clear" w:color="auto" w:fill="auto"/>
            <w:vAlign w:val="center"/>
          </w:tcPr>
          <w:p w14:paraId="63A931F8" w14:textId="77777777" w:rsidR="00985CF6" w:rsidRDefault="00406F77" w:rsidP="00A762F5">
            <w:pPr>
              <w:pStyle w:val="TableText"/>
              <w:jc w:val="center"/>
              <w:rPr>
                <w:lang w:val="en-US"/>
              </w:rPr>
            </w:pPr>
            <w:r>
              <w:rPr>
                <w:lang w:val="en-US"/>
              </w:rPr>
              <w:t>SA, OL</w:t>
            </w:r>
          </w:p>
          <w:p w14:paraId="0C01A466" w14:textId="3D3F6E5E" w:rsidR="00406F77" w:rsidRDefault="00406F77" w:rsidP="00A762F5">
            <w:pPr>
              <w:pStyle w:val="TableText"/>
              <w:jc w:val="center"/>
              <w:rPr>
                <w:lang w:val="en-US"/>
              </w:rPr>
            </w:pPr>
            <w:r w:rsidRPr="132E0B0E">
              <w:rPr>
                <w:lang w:val="en-US"/>
              </w:rPr>
              <w:t>Safety assessed to 30 days after the last dose</w:t>
            </w:r>
          </w:p>
        </w:tc>
        <w:tc>
          <w:tcPr>
            <w:tcW w:w="389" w:type="pct"/>
            <w:shd w:val="clear" w:color="auto" w:fill="auto"/>
            <w:vAlign w:val="center"/>
          </w:tcPr>
          <w:p w14:paraId="360C9806" w14:textId="39547553" w:rsidR="00985CF6" w:rsidRPr="00A762F5" w:rsidRDefault="00406F77" w:rsidP="00A762F5">
            <w:pPr>
              <w:pStyle w:val="TableText"/>
              <w:jc w:val="center"/>
              <w:rPr>
                <w:lang w:val="en-US"/>
              </w:rPr>
            </w:pPr>
            <w:r>
              <w:rPr>
                <w:lang w:val="en-US"/>
              </w:rPr>
              <w:t>NA</w:t>
            </w:r>
          </w:p>
        </w:tc>
        <w:tc>
          <w:tcPr>
            <w:tcW w:w="930" w:type="pct"/>
            <w:shd w:val="clear" w:color="auto" w:fill="auto"/>
            <w:vAlign w:val="center"/>
          </w:tcPr>
          <w:p w14:paraId="1C30F626" w14:textId="5D853349" w:rsidR="00985CF6" w:rsidRPr="00DF3F5F" w:rsidRDefault="00406F77" w:rsidP="00A762F5">
            <w:pPr>
              <w:pStyle w:val="TableText"/>
              <w:jc w:val="center"/>
              <w:rPr>
                <w:lang w:val="en-US"/>
              </w:rPr>
            </w:pPr>
            <w:r w:rsidRPr="00D06CF2">
              <w:t xml:space="preserve">Adult patients with </w:t>
            </w:r>
            <w:proofErr w:type="spellStart"/>
            <w:r w:rsidRPr="00D06CF2">
              <w:t>iNHL</w:t>
            </w:r>
            <w:proofErr w:type="spellEnd"/>
            <w:r w:rsidRPr="00D06CF2">
              <w:t xml:space="preserve"> who had no response to </w:t>
            </w:r>
            <w:proofErr w:type="spellStart"/>
            <w:r w:rsidRPr="00D06CF2">
              <w:t>rituximab+alkylating</w:t>
            </w:r>
            <w:proofErr w:type="spellEnd"/>
            <w:r w:rsidRPr="00D06CF2">
              <w:t xml:space="preserve"> agent or relapsed ≤6 months of these therapies</w:t>
            </w:r>
          </w:p>
        </w:tc>
        <w:tc>
          <w:tcPr>
            <w:tcW w:w="703" w:type="pct"/>
            <w:shd w:val="clear" w:color="auto" w:fill="auto"/>
            <w:vAlign w:val="center"/>
          </w:tcPr>
          <w:p w14:paraId="1D5FCCB9" w14:textId="0D4DD70D" w:rsidR="00985CF6" w:rsidRPr="005C09FE" w:rsidRDefault="00406F77" w:rsidP="00A762F5">
            <w:pPr>
              <w:pStyle w:val="TableText"/>
              <w:jc w:val="center"/>
              <w:rPr>
                <w:lang w:val="en-US"/>
              </w:rPr>
            </w:pPr>
            <w:r>
              <w:rPr>
                <w:lang w:val="en-US"/>
              </w:rPr>
              <w:t>Safety</w:t>
            </w:r>
          </w:p>
        </w:tc>
        <w:tc>
          <w:tcPr>
            <w:tcW w:w="746" w:type="pct"/>
            <w:shd w:val="clear" w:color="auto" w:fill="auto"/>
            <w:vAlign w:val="center"/>
          </w:tcPr>
          <w:p w14:paraId="7F3DA288" w14:textId="3B13B99C" w:rsidR="00985CF6" w:rsidRDefault="00406F77" w:rsidP="00A762F5">
            <w:pPr>
              <w:pStyle w:val="TableText"/>
              <w:jc w:val="center"/>
              <w:rPr>
                <w:lang w:val="en-US"/>
              </w:rPr>
            </w:pPr>
            <w:r>
              <w:rPr>
                <w:lang w:val="en-US"/>
              </w:rPr>
              <w:t xml:space="preserve">No </w:t>
            </w:r>
          </w:p>
        </w:tc>
      </w:tr>
    </w:tbl>
    <w:p w14:paraId="77F184CE" w14:textId="74646965" w:rsidR="00956ACE" w:rsidRPr="00A762F5" w:rsidRDefault="00552177" w:rsidP="00DD1DFD">
      <w:pPr>
        <w:pStyle w:val="TableFigNote"/>
        <w:rPr>
          <w:rFonts w:ascii="Arial Narrow" w:hAnsi="Arial Narrow"/>
          <w:color w:val="258221"/>
        </w:rPr>
      </w:pPr>
      <w:bookmarkStart w:id="16" w:name="_Hlk68276176"/>
      <w:bookmarkEnd w:id="15"/>
      <w:r w:rsidRPr="00A762F5">
        <w:rPr>
          <w:rFonts w:ascii="Arial Narrow" w:hAnsi="Arial Narrow"/>
        </w:rPr>
        <w:t xml:space="preserve">Abbreviations: </w:t>
      </w:r>
      <w:r w:rsidR="00D51559" w:rsidRPr="00A762F5">
        <w:rPr>
          <w:rFonts w:ascii="Arial Narrow" w:hAnsi="Arial Narrow"/>
        </w:rPr>
        <w:t xml:space="preserve">AXI= </w:t>
      </w:r>
      <w:r w:rsidR="00D7677D" w:rsidRPr="00A762F5">
        <w:rPr>
          <w:rFonts w:ascii="Arial Narrow" w:hAnsi="Arial Narrow"/>
        </w:rPr>
        <w:t xml:space="preserve">axicabtagene ciloleucel; </w:t>
      </w:r>
      <w:r w:rsidR="00406F77">
        <w:rPr>
          <w:rFonts w:ascii="Arial Narrow" w:hAnsi="Arial Narrow"/>
        </w:rPr>
        <w:t>Benda=</w:t>
      </w:r>
      <w:proofErr w:type="spellStart"/>
      <w:r w:rsidR="00406F77">
        <w:rPr>
          <w:rFonts w:ascii="Arial Narrow" w:hAnsi="Arial Narrow"/>
        </w:rPr>
        <w:t>bendamustine</w:t>
      </w:r>
      <w:proofErr w:type="spellEnd"/>
      <w:r w:rsidR="00406F77">
        <w:rPr>
          <w:rFonts w:ascii="Arial Narrow" w:hAnsi="Arial Narrow"/>
        </w:rPr>
        <w:t xml:space="preserve">; </w:t>
      </w:r>
      <w:r w:rsidR="00AB6EB2" w:rsidRPr="00A762F5">
        <w:rPr>
          <w:rFonts w:ascii="Arial Narrow" w:hAnsi="Arial Narrow"/>
        </w:rPr>
        <w:t xml:space="preserve">CIBMTR = </w:t>
      </w:r>
      <w:proofErr w:type="spellStart"/>
      <w:r w:rsidR="00AB6EB2" w:rsidRPr="00A762F5">
        <w:rPr>
          <w:rFonts w:ascii="Arial Narrow" w:hAnsi="Arial Narrow"/>
        </w:rPr>
        <w:t>Center</w:t>
      </w:r>
      <w:proofErr w:type="spellEnd"/>
      <w:r w:rsidR="00AB6EB2" w:rsidRPr="00A762F5">
        <w:rPr>
          <w:rFonts w:ascii="Arial Narrow" w:hAnsi="Arial Narrow"/>
        </w:rPr>
        <w:t xml:space="preserve"> for International Blood and Marrow Transplant Research; CRR=complete response rate; FAS= full analysis set; FL=follicular lymphoma; IAS=inferential analysis set; </w:t>
      </w:r>
      <w:proofErr w:type="spellStart"/>
      <w:r w:rsidR="00406F77" w:rsidRPr="00406F77">
        <w:rPr>
          <w:rFonts w:ascii="Arial Narrow" w:hAnsi="Arial Narrow"/>
        </w:rPr>
        <w:t>iNHL</w:t>
      </w:r>
      <w:proofErr w:type="spellEnd"/>
      <w:r w:rsidR="00406F77" w:rsidRPr="00406F77">
        <w:rPr>
          <w:rFonts w:ascii="Arial Narrow" w:hAnsi="Arial Narrow"/>
        </w:rPr>
        <w:t>=indolent non-Hodgkin lymphoma</w:t>
      </w:r>
      <w:r w:rsidR="00406F77">
        <w:rPr>
          <w:rFonts w:ascii="Arial Narrow" w:hAnsi="Arial Narrow"/>
        </w:rPr>
        <w:t xml:space="preserve">; </w:t>
      </w:r>
      <w:r w:rsidR="00AB6EB2" w:rsidRPr="00A762F5">
        <w:rPr>
          <w:rFonts w:ascii="Arial Narrow" w:hAnsi="Arial Narrow"/>
        </w:rPr>
        <w:t>MZL=marginal zone lymphoma;</w:t>
      </w:r>
      <w:r w:rsidR="00406F77">
        <w:rPr>
          <w:rFonts w:ascii="Arial Narrow" w:hAnsi="Arial Narrow"/>
        </w:rPr>
        <w:t xml:space="preserve"> NA=not assessed;</w:t>
      </w:r>
      <w:r w:rsidR="00AB6EB2" w:rsidRPr="00A762F5">
        <w:rPr>
          <w:rFonts w:ascii="Arial Narrow" w:hAnsi="Arial Narrow"/>
        </w:rPr>
        <w:t xml:space="preserve"> </w:t>
      </w:r>
      <w:proofErr w:type="spellStart"/>
      <w:r w:rsidR="00406F77">
        <w:rPr>
          <w:rFonts w:ascii="Arial Narrow" w:hAnsi="Arial Narrow"/>
        </w:rPr>
        <w:t>Obin+benda</w:t>
      </w:r>
      <w:proofErr w:type="spellEnd"/>
      <w:r w:rsidR="00406F77">
        <w:rPr>
          <w:rFonts w:ascii="Arial Narrow" w:hAnsi="Arial Narrow"/>
        </w:rPr>
        <w:t>=</w:t>
      </w:r>
      <w:proofErr w:type="spellStart"/>
      <w:r w:rsidR="00406F77">
        <w:rPr>
          <w:rFonts w:ascii="Arial Narrow" w:hAnsi="Arial Narrow"/>
        </w:rPr>
        <w:t>obinitizumab+bendamustine</w:t>
      </w:r>
      <w:proofErr w:type="spellEnd"/>
      <w:r w:rsidR="00406F77">
        <w:rPr>
          <w:rFonts w:ascii="Arial Narrow" w:hAnsi="Arial Narrow"/>
        </w:rPr>
        <w:t xml:space="preserve">; OL=open-label; </w:t>
      </w:r>
      <w:r w:rsidR="00AB6EB2" w:rsidRPr="00A762F5">
        <w:rPr>
          <w:rFonts w:ascii="Arial Narrow" w:hAnsi="Arial Narrow"/>
        </w:rPr>
        <w:t>ORR=</w:t>
      </w:r>
      <w:r w:rsidR="00BA4385">
        <w:rPr>
          <w:rFonts w:ascii="Arial Narrow" w:hAnsi="Arial Narrow"/>
        </w:rPr>
        <w:t>overall</w:t>
      </w:r>
      <w:r w:rsidR="00406F77" w:rsidRPr="00A762F5">
        <w:rPr>
          <w:rFonts w:ascii="Arial Narrow" w:hAnsi="Arial Narrow"/>
        </w:rPr>
        <w:t xml:space="preserve"> </w:t>
      </w:r>
      <w:r w:rsidR="00AB6EB2" w:rsidRPr="00A762F5">
        <w:rPr>
          <w:rFonts w:ascii="Arial Narrow" w:hAnsi="Arial Narrow"/>
        </w:rPr>
        <w:t>response rate; OS=overall survival; PFS=progression free survival;</w:t>
      </w:r>
      <w:r w:rsidR="00406F77">
        <w:rPr>
          <w:rFonts w:ascii="Arial Narrow" w:hAnsi="Arial Narrow"/>
        </w:rPr>
        <w:t xml:space="preserve"> R=randomised; </w:t>
      </w:r>
      <w:proofErr w:type="spellStart"/>
      <w:r w:rsidR="00406F77">
        <w:rPr>
          <w:rFonts w:ascii="Arial Narrow" w:hAnsi="Arial Narrow"/>
        </w:rPr>
        <w:t>Ritux</w:t>
      </w:r>
      <w:proofErr w:type="spellEnd"/>
      <w:r w:rsidR="00406F77">
        <w:rPr>
          <w:rFonts w:ascii="Arial Narrow" w:hAnsi="Arial Narrow"/>
        </w:rPr>
        <w:t xml:space="preserve">=rituximab; </w:t>
      </w:r>
      <w:proofErr w:type="spellStart"/>
      <w:r w:rsidR="00406F77">
        <w:rPr>
          <w:rFonts w:ascii="Arial Narrow" w:hAnsi="Arial Narrow"/>
        </w:rPr>
        <w:t>Ritux+bort</w:t>
      </w:r>
      <w:proofErr w:type="spellEnd"/>
      <w:r w:rsidR="00406F77">
        <w:rPr>
          <w:rFonts w:ascii="Arial Narrow" w:hAnsi="Arial Narrow"/>
        </w:rPr>
        <w:t>=</w:t>
      </w:r>
      <w:proofErr w:type="spellStart"/>
      <w:r w:rsidR="00406F77">
        <w:rPr>
          <w:rFonts w:ascii="Arial Narrow" w:hAnsi="Arial Narrow"/>
        </w:rPr>
        <w:t>rituximab+bortezomib</w:t>
      </w:r>
      <w:proofErr w:type="spellEnd"/>
      <w:r w:rsidR="00406F77">
        <w:rPr>
          <w:rFonts w:ascii="Arial Narrow" w:hAnsi="Arial Narrow"/>
        </w:rPr>
        <w:t>;</w:t>
      </w:r>
      <w:r w:rsidR="00AB6EB2" w:rsidRPr="00A762F5">
        <w:rPr>
          <w:rFonts w:ascii="Arial Narrow" w:hAnsi="Arial Narrow"/>
        </w:rPr>
        <w:t xml:space="preserve"> RWE=real-world evidence; TTNT=time to next treatment</w:t>
      </w:r>
    </w:p>
    <w:p w14:paraId="6DC9452D" w14:textId="218EDC63" w:rsidR="009A215D" w:rsidRPr="00A762F5" w:rsidRDefault="00557D9B" w:rsidP="00DD1DFD">
      <w:pPr>
        <w:pStyle w:val="TableFigNote"/>
        <w:rPr>
          <w:rFonts w:ascii="Arial Narrow" w:hAnsi="Arial Narrow"/>
        </w:rPr>
      </w:pPr>
      <w:r w:rsidRPr="132E0B0E">
        <w:rPr>
          <w:rFonts w:ascii="Arial Narrow" w:hAnsi="Arial Narrow"/>
        </w:rPr>
        <w:t>a</w:t>
      </w:r>
      <w:r w:rsidR="009A215D" w:rsidRPr="132E0B0E">
        <w:rPr>
          <w:rFonts w:ascii="Arial Narrow" w:hAnsi="Arial Narrow"/>
        </w:rPr>
        <w:t xml:space="preserve"> Note that safety </w:t>
      </w:r>
      <w:r w:rsidR="008E1BA7" w:rsidRPr="132E0B0E">
        <w:rPr>
          <w:rFonts w:ascii="Arial Narrow" w:hAnsi="Arial Narrow"/>
        </w:rPr>
        <w:t xml:space="preserve">outcomes from the primary analysis of ZUMA-5 </w:t>
      </w:r>
      <w:r w:rsidR="009A215D" w:rsidRPr="132E0B0E">
        <w:rPr>
          <w:rFonts w:ascii="Arial Narrow" w:hAnsi="Arial Narrow"/>
        </w:rPr>
        <w:t xml:space="preserve">was based on the Safety Analysis Set </w:t>
      </w:r>
      <w:r w:rsidR="00643ED2" w:rsidRPr="132E0B0E">
        <w:rPr>
          <w:rFonts w:ascii="Arial Narrow" w:hAnsi="Arial Narrow"/>
        </w:rPr>
        <w:t xml:space="preserve">of all </w:t>
      </w:r>
      <w:r w:rsidR="00D51559" w:rsidRPr="132E0B0E">
        <w:rPr>
          <w:rFonts w:ascii="Arial Narrow" w:hAnsi="Arial Narrow"/>
        </w:rPr>
        <w:t>FL</w:t>
      </w:r>
      <w:r w:rsidR="00643ED2" w:rsidRPr="132E0B0E">
        <w:rPr>
          <w:rFonts w:ascii="Arial Narrow" w:hAnsi="Arial Narrow"/>
        </w:rPr>
        <w:t xml:space="preserve"> and </w:t>
      </w:r>
      <w:r w:rsidR="00D51559" w:rsidRPr="132E0B0E">
        <w:rPr>
          <w:rFonts w:ascii="Arial Narrow" w:hAnsi="Arial Narrow"/>
        </w:rPr>
        <w:t>MZL</w:t>
      </w:r>
      <w:r w:rsidR="00643ED2" w:rsidRPr="132E0B0E">
        <w:rPr>
          <w:rFonts w:ascii="Arial Narrow" w:hAnsi="Arial Narrow"/>
        </w:rPr>
        <w:t xml:space="preserve"> patients (N=14</w:t>
      </w:r>
      <w:r w:rsidR="00F77DED" w:rsidRPr="132E0B0E">
        <w:rPr>
          <w:rFonts w:ascii="Arial Narrow" w:hAnsi="Arial Narrow"/>
        </w:rPr>
        <w:t xml:space="preserve">6) </w:t>
      </w:r>
      <w:r w:rsidR="007B3715" w:rsidRPr="132E0B0E">
        <w:rPr>
          <w:rFonts w:ascii="Arial Narrow" w:hAnsi="Arial Narrow"/>
        </w:rPr>
        <w:t xml:space="preserve">treated with any dose of AXI </w:t>
      </w:r>
      <w:r w:rsidR="00F77DED" w:rsidRPr="132E0B0E">
        <w:rPr>
          <w:rFonts w:ascii="Arial Narrow" w:hAnsi="Arial Narrow"/>
        </w:rPr>
        <w:t>with a</w:t>
      </w:r>
      <w:r w:rsidR="00643ED2" w:rsidRPr="132E0B0E">
        <w:rPr>
          <w:rFonts w:ascii="Arial Narrow" w:hAnsi="Arial Narrow"/>
        </w:rPr>
        <w:t xml:space="preserve"> median actual follow-up time </w:t>
      </w:r>
      <w:r w:rsidR="00F77DED" w:rsidRPr="132E0B0E">
        <w:rPr>
          <w:rFonts w:ascii="Arial Narrow" w:hAnsi="Arial Narrow"/>
        </w:rPr>
        <w:t>of</w:t>
      </w:r>
      <w:r w:rsidR="00643ED2" w:rsidRPr="132E0B0E">
        <w:rPr>
          <w:rFonts w:ascii="Arial Narrow" w:hAnsi="Arial Narrow"/>
        </w:rPr>
        <w:t xml:space="preserve"> 14.0</w:t>
      </w:r>
      <w:r w:rsidR="00E524E0" w:rsidRPr="132E0B0E">
        <w:rPr>
          <w:rFonts w:ascii="Arial Narrow" w:hAnsi="Arial Narrow"/>
        </w:rPr>
        <w:t xml:space="preserve"> months. </w:t>
      </w:r>
      <w:r w:rsidR="007A3A68" w:rsidRPr="132E0B0E">
        <w:rPr>
          <w:rFonts w:ascii="Arial Narrow" w:hAnsi="Arial Narrow"/>
        </w:rPr>
        <w:t xml:space="preserve">At the updated </w:t>
      </w:r>
      <w:r w:rsidR="00222446" w:rsidRPr="132E0B0E">
        <w:rPr>
          <w:rFonts w:ascii="Arial Narrow" w:hAnsi="Arial Narrow"/>
        </w:rPr>
        <w:t>48-month</w:t>
      </w:r>
      <w:r w:rsidR="007A3A68" w:rsidRPr="132E0B0E">
        <w:rPr>
          <w:rFonts w:ascii="Arial Narrow" w:hAnsi="Arial Narrow"/>
        </w:rPr>
        <w:t xml:space="preserve"> analysis</w:t>
      </w:r>
      <w:r w:rsidR="00113972" w:rsidRPr="132E0B0E">
        <w:rPr>
          <w:rFonts w:ascii="Arial Narrow" w:hAnsi="Arial Narrow"/>
        </w:rPr>
        <w:t xml:space="preserve">, </w:t>
      </w:r>
      <w:r w:rsidR="007A3A68" w:rsidRPr="132E0B0E">
        <w:rPr>
          <w:rFonts w:ascii="Arial Narrow" w:hAnsi="Arial Narrow"/>
        </w:rPr>
        <w:t xml:space="preserve">safety outcomes are reported for the Safety Analysis Set (N=124) comprised of all patients with </w:t>
      </w:r>
      <w:r w:rsidR="00D51559" w:rsidRPr="132E0B0E">
        <w:rPr>
          <w:rFonts w:ascii="Arial Narrow" w:hAnsi="Arial Narrow"/>
        </w:rPr>
        <w:t>FL</w:t>
      </w:r>
      <w:r w:rsidR="007A3A68" w:rsidRPr="132E0B0E">
        <w:rPr>
          <w:rFonts w:ascii="Arial Narrow" w:hAnsi="Arial Narrow"/>
        </w:rPr>
        <w:t xml:space="preserve"> treated with any dose of </w:t>
      </w:r>
      <w:r w:rsidR="007B3715" w:rsidRPr="132E0B0E">
        <w:rPr>
          <w:rFonts w:ascii="Arial Narrow" w:hAnsi="Arial Narrow"/>
        </w:rPr>
        <w:t>AXI</w:t>
      </w:r>
      <w:r w:rsidR="00410CE1" w:rsidRPr="132E0B0E">
        <w:rPr>
          <w:rFonts w:ascii="Arial Narrow" w:hAnsi="Arial Narrow"/>
        </w:rPr>
        <w:t xml:space="preserve">. </w:t>
      </w:r>
    </w:p>
    <w:p w14:paraId="095F1339" w14:textId="6ECEEE04" w:rsidR="00EB785E" w:rsidRPr="00A762F5" w:rsidRDefault="00116343" w:rsidP="00DD1DFD">
      <w:pPr>
        <w:pStyle w:val="TableFigNote"/>
        <w:rPr>
          <w:rFonts w:ascii="Arial Narrow" w:hAnsi="Arial Narrow"/>
        </w:rPr>
      </w:pPr>
      <w:r w:rsidRPr="132E0B0E">
        <w:rPr>
          <w:rFonts w:ascii="Arial Narrow" w:hAnsi="Arial Narrow"/>
        </w:rPr>
        <w:t xml:space="preserve">b </w:t>
      </w:r>
      <w:proofErr w:type="gramStart"/>
      <w:r w:rsidR="00825CF1" w:rsidRPr="132E0B0E">
        <w:rPr>
          <w:rFonts w:ascii="Arial Narrow" w:hAnsi="Arial Narrow"/>
        </w:rPr>
        <w:t>The</w:t>
      </w:r>
      <w:proofErr w:type="gramEnd"/>
      <w:r w:rsidR="00825CF1" w:rsidRPr="132E0B0E">
        <w:rPr>
          <w:rFonts w:ascii="Arial Narrow" w:hAnsi="Arial Narrow"/>
        </w:rPr>
        <w:t xml:space="preserve"> primary analysis was performed when at least 80 patients with </w:t>
      </w:r>
      <w:r w:rsidR="00D51559" w:rsidRPr="132E0B0E">
        <w:rPr>
          <w:rFonts w:ascii="Arial Narrow" w:hAnsi="Arial Narrow"/>
        </w:rPr>
        <w:t xml:space="preserve">FL </w:t>
      </w:r>
      <w:r w:rsidR="00825CF1" w:rsidRPr="132E0B0E">
        <w:rPr>
          <w:rFonts w:ascii="Arial Narrow" w:hAnsi="Arial Narrow"/>
        </w:rPr>
        <w:t xml:space="preserve">in the </w:t>
      </w:r>
      <w:r w:rsidR="00D51559" w:rsidRPr="132E0B0E">
        <w:rPr>
          <w:rFonts w:ascii="Arial Narrow" w:hAnsi="Arial Narrow"/>
        </w:rPr>
        <w:t>IAS</w:t>
      </w:r>
      <w:r w:rsidR="00825CF1" w:rsidRPr="132E0B0E">
        <w:rPr>
          <w:rFonts w:ascii="Arial Narrow" w:hAnsi="Arial Narrow"/>
        </w:rPr>
        <w:t xml:space="preserve"> have had the opportunity to be followed for 12 months after the first disease response assessment </w:t>
      </w:r>
    </w:p>
    <w:p w14:paraId="5D78CE43" w14:textId="11EEA1A2" w:rsidR="009A64E1" w:rsidRPr="00A762F5" w:rsidRDefault="00116343" w:rsidP="00DD1DFD">
      <w:pPr>
        <w:pStyle w:val="TableFigNote"/>
        <w:rPr>
          <w:rFonts w:ascii="Arial Narrow" w:hAnsi="Arial Narrow"/>
        </w:rPr>
      </w:pPr>
      <w:r w:rsidRPr="132E0B0E">
        <w:rPr>
          <w:rFonts w:ascii="Arial Narrow" w:hAnsi="Arial Narrow"/>
        </w:rPr>
        <w:t>c</w:t>
      </w:r>
      <w:r w:rsidR="009A64E1" w:rsidRPr="132E0B0E">
        <w:rPr>
          <w:rFonts w:ascii="Arial Narrow" w:hAnsi="Arial Narrow"/>
        </w:rPr>
        <w:t xml:space="preserve"> </w:t>
      </w:r>
      <w:proofErr w:type="gramStart"/>
      <w:r w:rsidR="005F7706" w:rsidRPr="132E0B0E">
        <w:rPr>
          <w:rFonts w:ascii="Arial Narrow" w:hAnsi="Arial Narrow"/>
        </w:rPr>
        <w:t>The</w:t>
      </w:r>
      <w:proofErr w:type="gramEnd"/>
      <w:r w:rsidR="005F7706" w:rsidRPr="132E0B0E">
        <w:rPr>
          <w:rFonts w:ascii="Arial Narrow" w:hAnsi="Arial Narrow"/>
        </w:rPr>
        <w:t xml:space="preserve"> 48-month analysis was conducted when median potential follow-up time after AXI infusion for all dosed </w:t>
      </w:r>
      <w:r w:rsidR="00C175C9" w:rsidRPr="132E0B0E">
        <w:rPr>
          <w:rFonts w:ascii="Arial Narrow" w:hAnsi="Arial Narrow"/>
        </w:rPr>
        <w:t>FL</w:t>
      </w:r>
      <w:r w:rsidR="005F7706" w:rsidRPr="132E0B0E">
        <w:rPr>
          <w:rFonts w:ascii="Arial Narrow" w:hAnsi="Arial Narrow"/>
        </w:rPr>
        <w:t xml:space="preserve"> patients had reached at least 48 months. </w:t>
      </w:r>
    </w:p>
    <w:p w14:paraId="223A92DF" w14:textId="7E381DAC" w:rsidR="00557D9B" w:rsidRPr="00A762F5" w:rsidRDefault="00116343" w:rsidP="00DD1DFD">
      <w:pPr>
        <w:pStyle w:val="TableFigNote"/>
        <w:rPr>
          <w:rFonts w:ascii="Arial Narrow" w:hAnsi="Arial Narrow"/>
        </w:rPr>
      </w:pPr>
      <w:r w:rsidRPr="132E0B0E">
        <w:rPr>
          <w:rFonts w:ascii="Arial Narrow" w:hAnsi="Arial Narrow"/>
        </w:rPr>
        <w:t>d</w:t>
      </w:r>
      <w:r w:rsidR="00557D9B" w:rsidRPr="132E0B0E">
        <w:rPr>
          <w:rFonts w:ascii="Arial Narrow" w:hAnsi="Arial Narrow"/>
        </w:rPr>
        <w:t xml:space="preserve"> </w:t>
      </w:r>
      <w:r w:rsidR="00A22B7D" w:rsidRPr="132E0B0E">
        <w:rPr>
          <w:rFonts w:ascii="Arial Narrow" w:hAnsi="Arial Narrow"/>
        </w:rPr>
        <w:t>M</w:t>
      </w:r>
      <w:r w:rsidR="007A56E0" w:rsidRPr="132E0B0E">
        <w:rPr>
          <w:rFonts w:ascii="Arial Narrow" w:hAnsi="Arial Narrow"/>
        </w:rPr>
        <w:t>edian follow-up 25.4 months and 23.3 months for ZUMA-5 and SCHOLAR-5 respectively</w:t>
      </w:r>
      <w:r w:rsidR="00A22B7D" w:rsidRPr="132E0B0E">
        <w:rPr>
          <w:rFonts w:ascii="Arial Narrow" w:hAnsi="Arial Narrow"/>
        </w:rPr>
        <w:t xml:space="preserve">. </w:t>
      </w:r>
    </w:p>
    <w:p w14:paraId="065919D1" w14:textId="62353E90" w:rsidR="005B25C8" w:rsidRPr="00A762F5" w:rsidRDefault="00C143B7" w:rsidP="00DD1DFD">
      <w:pPr>
        <w:pStyle w:val="TableFigNote"/>
        <w:rPr>
          <w:rFonts w:ascii="Arial Narrow" w:hAnsi="Arial Narrow"/>
        </w:rPr>
      </w:pPr>
      <w:r w:rsidRPr="00A762F5">
        <w:rPr>
          <w:rFonts w:ascii="Arial Narrow" w:hAnsi="Arial Narrow"/>
        </w:rPr>
        <w:t xml:space="preserve">e </w:t>
      </w:r>
      <w:r w:rsidR="009163A7" w:rsidRPr="00A762F5">
        <w:rPr>
          <w:rFonts w:ascii="Arial Narrow" w:hAnsi="Arial Narrow"/>
        </w:rPr>
        <w:t>A conference abstract only was provided with the ADAR and therefore the results of this should be interpreted with caution</w:t>
      </w:r>
      <w:r w:rsidR="005B25C8" w:rsidRPr="00A762F5">
        <w:rPr>
          <w:rFonts w:ascii="Arial Narrow" w:hAnsi="Arial Narrow"/>
        </w:rPr>
        <w:t>.</w:t>
      </w:r>
    </w:p>
    <w:p w14:paraId="2DA3F3B2" w14:textId="19A7718A" w:rsidR="0016350A" w:rsidRPr="00A762F5" w:rsidRDefault="005B25C8" w:rsidP="00DD1DFD">
      <w:pPr>
        <w:pStyle w:val="TableFigNote"/>
        <w:rPr>
          <w:rFonts w:ascii="Arial Narrow" w:hAnsi="Arial Narrow"/>
        </w:rPr>
      </w:pPr>
      <w:r w:rsidRPr="00A762F5">
        <w:rPr>
          <w:rFonts w:ascii="Arial Narrow" w:hAnsi="Arial Narrow"/>
        </w:rPr>
        <w:t xml:space="preserve">f </w:t>
      </w:r>
      <w:r w:rsidR="00C143B7" w:rsidRPr="00A762F5">
        <w:rPr>
          <w:rFonts w:ascii="Arial Narrow" w:hAnsi="Arial Narrow"/>
        </w:rPr>
        <w:t xml:space="preserve">Due to varying follow-up lengths by treatment (median 7 months for AXI and 37 months for standard of care). </w:t>
      </w:r>
    </w:p>
    <w:p w14:paraId="05B60454" w14:textId="4056C403" w:rsidR="00A75F03" w:rsidRPr="00A762F5" w:rsidRDefault="00A75F03" w:rsidP="00DD1DFD">
      <w:pPr>
        <w:pStyle w:val="TableFigNote"/>
        <w:rPr>
          <w:rFonts w:ascii="Arial Narrow" w:hAnsi="Arial Narrow"/>
        </w:rPr>
      </w:pPr>
      <w:r w:rsidRPr="00A762F5">
        <w:rPr>
          <w:rFonts w:ascii="Arial Narrow" w:hAnsi="Arial Narrow"/>
        </w:rPr>
        <w:t xml:space="preserve">Source: Table </w:t>
      </w:r>
      <w:r w:rsidR="00C41077" w:rsidRPr="00A762F5">
        <w:rPr>
          <w:rFonts w:ascii="Arial Narrow" w:hAnsi="Arial Narrow"/>
        </w:rPr>
        <w:t>15</w:t>
      </w:r>
      <w:r w:rsidRPr="00A762F5">
        <w:rPr>
          <w:rFonts w:ascii="Arial Narrow" w:hAnsi="Arial Narrow"/>
        </w:rPr>
        <w:t xml:space="preserve"> </w:t>
      </w:r>
      <w:r w:rsidR="001726E9">
        <w:rPr>
          <w:rFonts w:ascii="Arial Narrow" w:hAnsi="Arial Narrow"/>
        </w:rPr>
        <w:t xml:space="preserve">of </w:t>
      </w:r>
      <w:r w:rsidRPr="00A762F5">
        <w:rPr>
          <w:rFonts w:ascii="Arial Narrow" w:hAnsi="Arial Narrow"/>
        </w:rPr>
        <w:t>MSAC 1771</w:t>
      </w:r>
      <w:r w:rsidR="001726E9">
        <w:rPr>
          <w:rFonts w:ascii="Arial Narrow" w:hAnsi="Arial Narrow"/>
        </w:rPr>
        <w:t xml:space="preserve"> </w:t>
      </w:r>
      <w:proofErr w:type="spellStart"/>
      <w:r w:rsidR="001726E9" w:rsidRPr="00867DE2">
        <w:rPr>
          <w:rFonts w:ascii="Arial Narrow" w:hAnsi="Arial Narrow"/>
        </w:rPr>
        <w:t>ADAR</w:t>
      </w:r>
      <w:r w:rsidR="001726E9">
        <w:rPr>
          <w:rFonts w:ascii="Arial Narrow" w:hAnsi="Arial Narrow"/>
        </w:rPr>
        <w:t>+in-line</w:t>
      </w:r>
      <w:proofErr w:type="spellEnd"/>
      <w:r w:rsidR="001726E9">
        <w:rPr>
          <w:rFonts w:ascii="Arial Narrow" w:hAnsi="Arial Narrow"/>
        </w:rPr>
        <w:t xml:space="preserve"> commentary</w:t>
      </w:r>
    </w:p>
    <w:p w14:paraId="3B9FC2AD" w14:textId="7E8AB8F0" w:rsidR="00772829" w:rsidRPr="00CE28E3" w:rsidRDefault="002176CC" w:rsidP="002A18BE">
      <w:pPr>
        <w:pStyle w:val="Heading2"/>
        <w:numPr>
          <w:ilvl w:val="0"/>
          <w:numId w:val="0"/>
        </w:numPr>
      </w:pPr>
      <w:bookmarkStart w:id="17" w:name="_Toc69491423"/>
      <w:bookmarkEnd w:id="16"/>
      <w:r>
        <w:t>11</w:t>
      </w:r>
      <w:r w:rsidR="00C36633">
        <w:t>.</w:t>
      </w:r>
      <w:r>
        <w:tab/>
      </w:r>
      <w:r w:rsidR="00772829">
        <w:t>Comparative safety</w:t>
      </w:r>
      <w:bookmarkEnd w:id="17"/>
    </w:p>
    <w:p w14:paraId="3EC95B1B" w14:textId="6792D295" w:rsidR="00534CD6" w:rsidRDefault="00534CD6" w:rsidP="00534CD6">
      <w:r>
        <w:t>Safety outcomes are presented from two analyses of the ZUMA-5 study:</w:t>
      </w:r>
    </w:p>
    <w:p w14:paraId="4DB8F6D2" w14:textId="30391C7E" w:rsidR="00534CD6" w:rsidRPr="00534CD6" w:rsidRDefault="00534CD6" w:rsidP="000D155C">
      <w:pPr>
        <w:pStyle w:val="Instructionaltext"/>
        <w:numPr>
          <w:ilvl w:val="0"/>
          <w:numId w:val="18"/>
        </w:numPr>
        <w:rPr>
          <w:color w:val="auto"/>
        </w:rPr>
      </w:pPr>
      <w:r w:rsidRPr="132E0B0E">
        <w:rPr>
          <w:color w:val="auto"/>
        </w:rPr>
        <w:t>The primary analysis of ZUMA-5 (</w:t>
      </w:r>
      <w:r w:rsidR="00F334CF" w:rsidRPr="132E0B0E">
        <w:rPr>
          <w:color w:val="auto"/>
        </w:rPr>
        <w:t xml:space="preserve">median actual follow-up time of 14.0 months; </w:t>
      </w:r>
      <w:r w:rsidRPr="132E0B0E">
        <w:rPr>
          <w:color w:val="auto"/>
        </w:rPr>
        <w:t>data cutoff date 12</w:t>
      </w:r>
      <w:r w:rsidR="002A204E" w:rsidRPr="132E0B0E">
        <w:rPr>
          <w:color w:val="auto"/>
        </w:rPr>
        <w:t xml:space="preserve"> </w:t>
      </w:r>
      <w:r w:rsidRPr="132E0B0E">
        <w:rPr>
          <w:color w:val="auto"/>
        </w:rPr>
        <w:t>March 2020)</w:t>
      </w:r>
      <w:r w:rsidR="004568AB" w:rsidRPr="132E0B0E">
        <w:rPr>
          <w:color w:val="auto"/>
        </w:rPr>
        <w:t xml:space="preserve">, based on the </w:t>
      </w:r>
      <w:r w:rsidR="0085393C" w:rsidRPr="132E0B0E">
        <w:rPr>
          <w:color w:val="auto"/>
        </w:rPr>
        <w:t>s</w:t>
      </w:r>
      <w:r w:rsidR="004568AB" w:rsidRPr="132E0B0E">
        <w:rPr>
          <w:color w:val="auto"/>
        </w:rPr>
        <w:t xml:space="preserve">afety </w:t>
      </w:r>
      <w:r w:rsidR="0085393C" w:rsidRPr="132E0B0E">
        <w:rPr>
          <w:color w:val="auto"/>
        </w:rPr>
        <w:t>a</w:t>
      </w:r>
      <w:r w:rsidR="004568AB" w:rsidRPr="132E0B0E">
        <w:rPr>
          <w:color w:val="auto"/>
        </w:rPr>
        <w:t xml:space="preserve">nalysis </w:t>
      </w:r>
      <w:r w:rsidR="0085393C" w:rsidRPr="132E0B0E">
        <w:rPr>
          <w:color w:val="auto"/>
        </w:rPr>
        <w:t>s</w:t>
      </w:r>
      <w:r w:rsidR="004568AB" w:rsidRPr="132E0B0E">
        <w:rPr>
          <w:color w:val="auto"/>
        </w:rPr>
        <w:t xml:space="preserve">et </w:t>
      </w:r>
      <w:r w:rsidR="00F334CF" w:rsidRPr="132E0B0E">
        <w:rPr>
          <w:color w:val="auto"/>
        </w:rPr>
        <w:t xml:space="preserve">(N=146) </w:t>
      </w:r>
      <w:r w:rsidR="004568AB" w:rsidRPr="132E0B0E">
        <w:rPr>
          <w:color w:val="auto"/>
        </w:rPr>
        <w:t>comprised of all patients with FL or marginal zone lymphoma treated with any dose of AXI</w:t>
      </w:r>
      <w:r w:rsidR="2F98A0C9" w:rsidRPr="132E0B0E">
        <w:rPr>
          <w:color w:val="auto"/>
        </w:rPr>
        <w:t>.</w:t>
      </w:r>
    </w:p>
    <w:p w14:paraId="39C31F74" w14:textId="572E672B" w:rsidR="007B17A8" w:rsidRPr="003D693B" w:rsidRDefault="00534CD6" w:rsidP="000D155C">
      <w:pPr>
        <w:pStyle w:val="Instructionaltext"/>
        <w:numPr>
          <w:ilvl w:val="0"/>
          <w:numId w:val="18"/>
        </w:numPr>
        <w:rPr>
          <w:color w:val="auto"/>
        </w:rPr>
      </w:pPr>
      <w:r w:rsidRPr="132E0B0E">
        <w:rPr>
          <w:color w:val="auto"/>
        </w:rPr>
        <w:t xml:space="preserve">An updated analysis of ZUMA-5 </w:t>
      </w:r>
      <w:r w:rsidR="00F334CF" w:rsidRPr="132E0B0E">
        <w:rPr>
          <w:color w:val="auto"/>
        </w:rPr>
        <w:t>(</w:t>
      </w:r>
      <w:r w:rsidRPr="132E0B0E">
        <w:rPr>
          <w:color w:val="auto"/>
        </w:rPr>
        <w:t>median follow-up of 48 months</w:t>
      </w:r>
      <w:r w:rsidR="00F334CF" w:rsidRPr="132E0B0E">
        <w:rPr>
          <w:color w:val="auto"/>
        </w:rPr>
        <w:t xml:space="preserve">; </w:t>
      </w:r>
      <w:r w:rsidRPr="132E0B0E">
        <w:rPr>
          <w:color w:val="auto"/>
        </w:rPr>
        <w:t>data cutoff date 31 March 2023)</w:t>
      </w:r>
      <w:r w:rsidR="002A204E" w:rsidRPr="132E0B0E">
        <w:rPr>
          <w:color w:val="auto"/>
        </w:rPr>
        <w:t xml:space="preserve"> based on the </w:t>
      </w:r>
      <w:r w:rsidR="0085393C" w:rsidRPr="132E0B0E">
        <w:rPr>
          <w:color w:val="auto"/>
        </w:rPr>
        <w:t>s</w:t>
      </w:r>
      <w:r w:rsidR="002A204E" w:rsidRPr="132E0B0E">
        <w:rPr>
          <w:color w:val="auto"/>
        </w:rPr>
        <w:t xml:space="preserve">afety </w:t>
      </w:r>
      <w:r w:rsidR="0085393C" w:rsidRPr="132E0B0E">
        <w:rPr>
          <w:color w:val="auto"/>
        </w:rPr>
        <w:t>a</w:t>
      </w:r>
      <w:r w:rsidR="002A204E" w:rsidRPr="132E0B0E">
        <w:rPr>
          <w:color w:val="auto"/>
        </w:rPr>
        <w:t xml:space="preserve">nalysis </w:t>
      </w:r>
      <w:r w:rsidR="0085393C" w:rsidRPr="132E0B0E">
        <w:rPr>
          <w:color w:val="auto"/>
        </w:rPr>
        <w:t>s</w:t>
      </w:r>
      <w:r w:rsidR="002A204E" w:rsidRPr="132E0B0E">
        <w:rPr>
          <w:color w:val="auto"/>
        </w:rPr>
        <w:t xml:space="preserve">et (N=124) comprised of all patients with FL treated with any dose of AXI. </w:t>
      </w:r>
    </w:p>
    <w:p w14:paraId="6DDAFF36" w14:textId="3405B6AE" w:rsidR="00E75AA6" w:rsidRDefault="00E75AA6" w:rsidP="00717D86">
      <w:r>
        <w:t xml:space="preserve">A summary of adverse events reported in the ZUMA-5 </w:t>
      </w:r>
      <w:r w:rsidR="000145DC">
        <w:t>study</w:t>
      </w:r>
      <w:r>
        <w:t xml:space="preserve"> is provided in </w:t>
      </w:r>
      <w:r>
        <w:fldChar w:fldCharType="begin"/>
      </w:r>
      <w:r>
        <w:instrText xml:space="preserve"> REF _Ref163135266 \h  \* MERGEFORMAT </w:instrText>
      </w:r>
      <w:r>
        <w:fldChar w:fldCharType="separate"/>
      </w:r>
      <w:r w:rsidR="00722641">
        <w:t xml:space="preserve">Table </w:t>
      </w:r>
      <w:r w:rsidR="00722641" w:rsidRPr="132E0B0E">
        <w:rPr>
          <w:noProof/>
        </w:rPr>
        <w:t>3</w:t>
      </w:r>
      <w:r>
        <w:fldChar w:fldCharType="end"/>
      </w:r>
      <w:r w:rsidR="00F400EA">
        <w:t>, with a</w:t>
      </w:r>
      <w:r>
        <w:t xml:space="preserve">dverse events Grade ≥3 (severe or medically significant) and Grade 5 (death related to adverse events) outlined for additional context. </w:t>
      </w:r>
      <w:r w:rsidR="00F162BE">
        <w:t>Among FL patients in the updated analysis, 123 patients (99%) had at least 1 adverse event; 107 patients (86%) had worst Grade 3 or higher adverse events, and 65 patients (52%) had serious adverse events.</w:t>
      </w:r>
    </w:p>
    <w:p w14:paraId="35B5BB06" w14:textId="572DAD05" w:rsidR="00E84580" w:rsidRDefault="00E84580" w:rsidP="00406F77">
      <w:pPr>
        <w:pStyle w:val="Caption"/>
      </w:pPr>
      <w:bookmarkStart w:id="18" w:name="_Ref163135266"/>
      <w:r>
        <w:lastRenderedPageBreak/>
        <w:t xml:space="preserve">Table </w:t>
      </w:r>
      <w:r>
        <w:fldChar w:fldCharType="begin"/>
      </w:r>
      <w:r>
        <w:instrText>SEQ Table \* ARABIC</w:instrText>
      </w:r>
      <w:r>
        <w:fldChar w:fldCharType="separate"/>
      </w:r>
      <w:r w:rsidR="0020136D" w:rsidRPr="132E0B0E">
        <w:rPr>
          <w:noProof/>
        </w:rPr>
        <w:t>3</w:t>
      </w:r>
      <w:r>
        <w:fldChar w:fldCharType="end"/>
      </w:r>
      <w:bookmarkEnd w:id="18"/>
      <w:r>
        <w:tab/>
        <w:t>Summary of adverse events</w:t>
      </w:r>
      <w:r w:rsidR="0085393C">
        <w:t xml:space="preserve">: safety analysis set </w:t>
      </w:r>
    </w:p>
    <w:tbl>
      <w:tblPr>
        <w:tblStyle w:val="TableGrid"/>
        <w:tblW w:w="9019" w:type="dxa"/>
        <w:tblLayout w:type="fixed"/>
        <w:tblLook w:val="04A0" w:firstRow="1" w:lastRow="0" w:firstColumn="1" w:lastColumn="0" w:noHBand="0" w:noVBand="1"/>
      </w:tblPr>
      <w:tblGrid>
        <w:gridCol w:w="1837"/>
        <w:gridCol w:w="1794"/>
        <w:gridCol w:w="1795"/>
        <w:gridCol w:w="1797"/>
        <w:gridCol w:w="1796"/>
      </w:tblGrid>
      <w:tr w:rsidR="00807774" w:rsidRPr="00763328" w14:paraId="23AA942B" w14:textId="77777777" w:rsidTr="132E0B0E">
        <w:trPr>
          <w:trHeight w:val="285"/>
        </w:trPr>
        <w:tc>
          <w:tcPr>
            <w:tcW w:w="1838" w:type="dxa"/>
            <w:vMerge w:val="restart"/>
            <w:noWrap/>
          </w:tcPr>
          <w:p w14:paraId="0CC8E4DB" w14:textId="77777777" w:rsidR="00807774" w:rsidRPr="00031AFF" w:rsidRDefault="00807774" w:rsidP="00A762F5">
            <w:pPr>
              <w:pStyle w:val="TableHeading0"/>
              <w:keepNext/>
            </w:pPr>
          </w:p>
        </w:tc>
        <w:tc>
          <w:tcPr>
            <w:tcW w:w="5387" w:type="dxa"/>
            <w:gridSpan w:val="3"/>
            <w:noWrap/>
          </w:tcPr>
          <w:p w14:paraId="12004B2D" w14:textId="77777777" w:rsidR="00807774" w:rsidRPr="00031AFF" w:rsidRDefault="00807774" w:rsidP="00A762F5">
            <w:pPr>
              <w:pStyle w:val="TableHeading0"/>
              <w:keepNext/>
              <w:jc w:val="center"/>
              <w:rPr>
                <w:bCs/>
              </w:rPr>
            </w:pPr>
            <w:r w:rsidRPr="00031AFF">
              <w:rPr>
                <w:bCs/>
              </w:rPr>
              <w:t>Primary (12 month) analysis of ZUMA-5</w:t>
            </w:r>
          </w:p>
        </w:tc>
        <w:tc>
          <w:tcPr>
            <w:tcW w:w="1794" w:type="dxa"/>
          </w:tcPr>
          <w:p w14:paraId="3050B7DE" w14:textId="77777777" w:rsidR="00807774" w:rsidRPr="00031AFF" w:rsidRDefault="2D74129F" w:rsidP="00A762F5">
            <w:pPr>
              <w:pStyle w:val="TableHeading0"/>
              <w:keepNext/>
              <w:jc w:val="center"/>
            </w:pPr>
            <w:r>
              <w:t xml:space="preserve">Updated </w:t>
            </w:r>
            <w:proofErr w:type="gramStart"/>
            <w:r>
              <w:t>48 month</w:t>
            </w:r>
            <w:proofErr w:type="gramEnd"/>
            <w:r>
              <w:t xml:space="preserve"> analysis of ZUMA-5</w:t>
            </w:r>
          </w:p>
        </w:tc>
      </w:tr>
      <w:tr w:rsidR="00705378" w:rsidRPr="00763328" w14:paraId="7B614A7C" w14:textId="77777777" w:rsidTr="132E0B0E">
        <w:trPr>
          <w:trHeight w:val="285"/>
        </w:trPr>
        <w:tc>
          <w:tcPr>
            <w:tcW w:w="1838" w:type="dxa"/>
            <w:vMerge/>
            <w:noWrap/>
            <w:hideMark/>
          </w:tcPr>
          <w:p w14:paraId="62030B43" w14:textId="77777777" w:rsidR="00807774" w:rsidRPr="00031AFF" w:rsidRDefault="00807774" w:rsidP="00A762F5">
            <w:pPr>
              <w:pStyle w:val="TableHeading0"/>
              <w:keepNext/>
            </w:pPr>
          </w:p>
        </w:tc>
        <w:tc>
          <w:tcPr>
            <w:tcW w:w="1795" w:type="dxa"/>
            <w:noWrap/>
            <w:hideMark/>
          </w:tcPr>
          <w:p w14:paraId="29D3FAC8" w14:textId="2369EA3E" w:rsidR="00807774" w:rsidRPr="00031AFF" w:rsidRDefault="2D74129F" w:rsidP="00A762F5">
            <w:pPr>
              <w:pStyle w:val="TableHeading0"/>
              <w:keepNext/>
              <w:jc w:val="center"/>
            </w:pPr>
            <w:r>
              <w:t>FL (N=124), n (%)</w:t>
            </w:r>
          </w:p>
        </w:tc>
        <w:tc>
          <w:tcPr>
            <w:tcW w:w="1795" w:type="dxa"/>
            <w:noWrap/>
            <w:hideMark/>
          </w:tcPr>
          <w:p w14:paraId="4448A4A5" w14:textId="1C75712C" w:rsidR="00807774" w:rsidRPr="00031AFF" w:rsidRDefault="2D74129F" w:rsidP="00A762F5">
            <w:pPr>
              <w:pStyle w:val="TableHeading0"/>
              <w:keepNext/>
              <w:jc w:val="center"/>
            </w:pPr>
            <w:r>
              <w:t>MZL (N=22), n (%)</w:t>
            </w:r>
          </w:p>
        </w:tc>
        <w:tc>
          <w:tcPr>
            <w:tcW w:w="1795" w:type="dxa"/>
            <w:noWrap/>
            <w:hideMark/>
          </w:tcPr>
          <w:p w14:paraId="31E12D8D" w14:textId="0B704927" w:rsidR="00807774" w:rsidRPr="00031AFF" w:rsidRDefault="2D74129F" w:rsidP="00A762F5">
            <w:pPr>
              <w:pStyle w:val="TableHeading0"/>
              <w:keepNext/>
              <w:jc w:val="center"/>
            </w:pPr>
            <w:proofErr w:type="spellStart"/>
            <w:r>
              <w:t>iNHL</w:t>
            </w:r>
            <w:proofErr w:type="spellEnd"/>
            <w:r>
              <w:t xml:space="preserve"> (N=146), n (%)</w:t>
            </w:r>
          </w:p>
        </w:tc>
        <w:tc>
          <w:tcPr>
            <w:tcW w:w="1796" w:type="dxa"/>
          </w:tcPr>
          <w:p w14:paraId="269D4B5F" w14:textId="6DB30D92" w:rsidR="00807774" w:rsidRPr="007D095B" w:rsidRDefault="00807774" w:rsidP="00A762F5">
            <w:pPr>
              <w:pStyle w:val="TableHeading0"/>
              <w:keepNext/>
              <w:jc w:val="center"/>
            </w:pPr>
            <w:r>
              <w:t>FL (N=124), n (%)</w:t>
            </w:r>
          </w:p>
        </w:tc>
      </w:tr>
      <w:tr w:rsidR="00705378" w:rsidRPr="00763328" w14:paraId="2D525EF4" w14:textId="77777777" w:rsidTr="132E0B0E">
        <w:trPr>
          <w:trHeight w:val="285"/>
        </w:trPr>
        <w:tc>
          <w:tcPr>
            <w:tcW w:w="1838" w:type="dxa"/>
            <w:noWrap/>
            <w:hideMark/>
          </w:tcPr>
          <w:p w14:paraId="5E73621E" w14:textId="77777777" w:rsidR="00E84580" w:rsidRPr="00031AFF" w:rsidRDefault="00E84580" w:rsidP="00A762F5">
            <w:pPr>
              <w:pStyle w:val="TableText"/>
              <w:keepNext/>
              <w:keepLines/>
            </w:pPr>
            <w:r w:rsidRPr="00031AFF">
              <w:t>Any TEAE</w:t>
            </w:r>
          </w:p>
        </w:tc>
        <w:tc>
          <w:tcPr>
            <w:tcW w:w="1795" w:type="dxa"/>
            <w:noWrap/>
            <w:hideMark/>
          </w:tcPr>
          <w:p w14:paraId="0B880878" w14:textId="77777777" w:rsidR="00E84580" w:rsidRPr="00031AFF" w:rsidRDefault="00E84580" w:rsidP="00A762F5">
            <w:pPr>
              <w:pStyle w:val="TableText"/>
              <w:keepNext/>
              <w:keepLines/>
              <w:jc w:val="center"/>
            </w:pPr>
            <w:r w:rsidRPr="00031AFF">
              <w:t>123 (99%)</w:t>
            </w:r>
          </w:p>
        </w:tc>
        <w:tc>
          <w:tcPr>
            <w:tcW w:w="1795" w:type="dxa"/>
            <w:noWrap/>
            <w:hideMark/>
          </w:tcPr>
          <w:p w14:paraId="7CB9A8D3" w14:textId="77777777" w:rsidR="00E84580" w:rsidRPr="007D095B" w:rsidRDefault="00E84580" w:rsidP="00A762F5">
            <w:pPr>
              <w:pStyle w:val="TableText"/>
              <w:keepNext/>
              <w:keepLines/>
              <w:jc w:val="center"/>
            </w:pPr>
            <w:r>
              <w:t>22 (100%)</w:t>
            </w:r>
          </w:p>
        </w:tc>
        <w:tc>
          <w:tcPr>
            <w:tcW w:w="1795" w:type="dxa"/>
            <w:noWrap/>
            <w:hideMark/>
          </w:tcPr>
          <w:p w14:paraId="798EA08F" w14:textId="77777777" w:rsidR="00E84580" w:rsidRPr="007D095B" w:rsidRDefault="00E84580" w:rsidP="00A762F5">
            <w:pPr>
              <w:pStyle w:val="TableText"/>
              <w:keepNext/>
              <w:keepLines/>
              <w:jc w:val="center"/>
            </w:pPr>
            <w:r>
              <w:t>145 (99%)</w:t>
            </w:r>
          </w:p>
        </w:tc>
        <w:tc>
          <w:tcPr>
            <w:tcW w:w="1796" w:type="dxa"/>
          </w:tcPr>
          <w:p w14:paraId="6FB27C2B" w14:textId="77777777" w:rsidR="00E84580" w:rsidRPr="007D095B" w:rsidRDefault="00E84580" w:rsidP="00A762F5">
            <w:pPr>
              <w:pStyle w:val="TableText"/>
              <w:keepNext/>
              <w:keepLines/>
              <w:jc w:val="center"/>
            </w:pPr>
            <w:r>
              <w:t>123 (99%)</w:t>
            </w:r>
          </w:p>
        </w:tc>
      </w:tr>
      <w:tr w:rsidR="00705378" w:rsidRPr="00763328" w14:paraId="54BCC51F" w14:textId="77777777" w:rsidTr="132E0B0E">
        <w:trPr>
          <w:trHeight w:val="285"/>
        </w:trPr>
        <w:tc>
          <w:tcPr>
            <w:tcW w:w="1838" w:type="dxa"/>
            <w:noWrap/>
            <w:hideMark/>
          </w:tcPr>
          <w:p w14:paraId="4C118EAE" w14:textId="77777777" w:rsidR="00E84580" w:rsidRPr="00031AFF" w:rsidRDefault="00E84580" w:rsidP="00A762F5">
            <w:pPr>
              <w:pStyle w:val="TableText"/>
              <w:keepNext/>
              <w:keepLines/>
              <w:ind w:left="113"/>
            </w:pPr>
            <w:r w:rsidRPr="00031AFF">
              <w:t>Worst Grade 5</w:t>
            </w:r>
          </w:p>
        </w:tc>
        <w:tc>
          <w:tcPr>
            <w:tcW w:w="1795" w:type="dxa"/>
            <w:noWrap/>
            <w:hideMark/>
          </w:tcPr>
          <w:p w14:paraId="589B9375" w14:textId="45DCAF15" w:rsidR="00E84580" w:rsidRPr="00031AFF" w:rsidRDefault="00E84580" w:rsidP="00A762F5">
            <w:pPr>
              <w:pStyle w:val="TableText"/>
              <w:keepNext/>
              <w:keepLines/>
              <w:ind w:left="284"/>
              <w:jc w:val="center"/>
            </w:pPr>
            <w:r>
              <w:t>3 (2%)</w:t>
            </w:r>
          </w:p>
        </w:tc>
        <w:tc>
          <w:tcPr>
            <w:tcW w:w="1795" w:type="dxa"/>
            <w:noWrap/>
            <w:hideMark/>
          </w:tcPr>
          <w:p w14:paraId="6374DF12" w14:textId="77777777" w:rsidR="00E84580" w:rsidRPr="007D095B" w:rsidRDefault="00E84580" w:rsidP="00A762F5">
            <w:pPr>
              <w:pStyle w:val="TableText"/>
              <w:keepNext/>
              <w:keepLines/>
              <w:ind w:left="284"/>
              <w:jc w:val="center"/>
            </w:pPr>
            <w:r>
              <w:t>1 (5%)</w:t>
            </w:r>
          </w:p>
        </w:tc>
        <w:tc>
          <w:tcPr>
            <w:tcW w:w="1795" w:type="dxa"/>
            <w:noWrap/>
            <w:hideMark/>
          </w:tcPr>
          <w:p w14:paraId="159EA124" w14:textId="77777777" w:rsidR="00E84580" w:rsidRPr="007D095B" w:rsidRDefault="00E84580" w:rsidP="00A762F5">
            <w:pPr>
              <w:pStyle w:val="TableText"/>
              <w:keepNext/>
              <w:keepLines/>
              <w:ind w:left="284"/>
              <w:jc w:val="center"/>
            </w:pPr>
            <w:r>
              <w:t xml:space="preserve">4 (3%) </w:t>
            </w:r>
            <w:r w:rsidRPr="132E0B0E">
              <w:rPr>
                <w:vertAlign w:val="superscript"/>
              </w:rPr>
              <w:t>a</w:t>
            </w:r>
          </w:p>
        </w:tc>
        <w:tc>
          <w:tcPr>
            <w:tcW w:w="1796" w:type="dxa"/>
          </w:tcPr>
          <w:p w14:paraId="01988F44" w14:textId="77777777" w:rsidR="00E84580" w:rsidRPr="007D095B" w:rsidRDefault="00E84580" w:rsidP="00A762F5">
            <w:pPr>
              <w:pStyle w:val="TableText"/>
              <w:keepNext/>
              <w:keepLines/>
              <w:ind w:left="284"/>
              <w:jc w:val="center"/>
            </w:pPr>
            <w:r>
              <w:t>10 (8%)</w:t>
            </w:r>
          </w:p>
        </w:tc>
      </w:tr>
      <w:tr w:rsidR="00705378" w:rsidRPr="00763328" w14:paraId="6B9A1DD7" w14:textId="77777777" w:rsidTr="132E0B0E">
        <w:trPr>
          <w:trHeight w:val="285"/>
        </w:trPr>
        <w:tc>
          <w:tcPr>
            <w:tcW w:w="1838" w:type="dxa"/>
            <w:noWrap/>
            <w:hideMark/>
          </w:tcPr>
          <w:p w14:paraId="68E3108D" w14:textId="77777777" w:rsidR="00E84580" w:rsidRPr="00031AFF" w:rsidRDefault="00E84580" w:rsidP="00A762F5">
            <w:pPr>
              <w:pStyle w:val="TableText"/>
              <w:keepNext/>
              <w:keepLines/>
              <w:ind w:left="113"/>
            </w:pPr>
            <w:r w:rsidRPr="00031AFF">
              <w:t>Worst Grade ≥ 3</w:t>
            </w:r>
          </w:p>
        </w:tc>
        <w:tc>
          <w:tcPr>
            <w:tcW w:w="1795" w:type="dxa"/>
            <w:noWrap/>
            <w:hideMark/>
          </w:tcPr>
          <w:p w14:paraId="69FED1CE" w14:textId="77777777" w:rsidR="00E84580" w:rsidRPr="00031AFF" w:rsidRDefault="00E84580" w:rsidP="00A762F5">
            <w:pPr>
              <w:pStyle w:val="TableText"/>
              <w:keepNext/>
              <w:keepLines/>
              <w:ind w:left="284"/>
              <w:jc w:val="center"/>
            </w:pPr>
            <w:r w:rsidRPr="00031AFF">
              <w:t>105 (85%)</w:t>
            </w:r>
          </w:p>
        </w:tc>
        <w:tc>
          <w:tcPr>
            <w:tcW w:w="1795" w:type="dxa"/>
            <w:noWrap/>
            <w:hideMark/>
          </w:tcPr>
          <w:p w14:paraId="6FC3AAD8" w14:textId="77777777" w:rsidR="00E84580" w:rsidRPr="007D095B" w:rsidRDefault="00E84580" w:rsidP="00A762F5">
            <w:pPr>
              <w:pStyle w:val="TableText"/>
              <w:keepNext/>
              <w:keepLines/>
              <w:ind w:left="284"/>
              <w:jc w:val="center"/>
            </w:pPr>
            <w:r>
              <w:t>21 (95%)</w:t>
            </w:r>
          </w:p>
        </w:tc>
        <w:tc>
          <w:tcPr>
            <w:tcW w:w="1795" w:type="dxa"/>
            <w:noWrap/>
            <w:hideMark/>
          </w:tcPr>
          <w:p w14:paraId="407E0699" w14:textId="77777777" w:rsidR="00E84580" w:rsidRPr="007D095B" w:rsidRDefault="00E84580" w:rsidP="00A762F5">
            <w:pPr>
              <w:pStyle w:val="TableText"/>
              <w:keepNext/>
              <w:keepLines/>
              <w:ind w:left="284"/>
              <w:jc w:val="center"/>
            </w:pPr>
            <w:r>
              <w:t>126 (86%)</w:t>
            </w:r>
          </w:p>
        </w:tc>
        <w:tc>
          <w:tcPr>
            <w:tcW w:w="1796" w:type="dxa"/>
          </w:tcPr>
          <w:p w14:paraId="3DCFE53D" w14:textId="77777777" w:rsidR="00E84580" w:rsidRPr="007D095B" w:rsidRDefault="00E84580" w:rsidP="00A762F5">
            <w:pPr>
              <w:pStyle w:val="TableText"/>
              <w:keepNext/>
              <w:keepLines/>
              <w:ind w:left="284"/>
              <w:jc w:val="center"/>
            </w:pPr>
            <w:r>
              <w:t>107 (86%)</w:t>
            </w:r>
          </w:p>
        </w:tc>
      </w:tr>
      <w:tr w:rsidR="00705378" w:rsidRPr="00763328" w14:paraId="4C22933E" w14:textId="77777777" w:rsidTr="132E0B0E">
        <w:trPr>
          <w:trHeight w:val="285"/>
        </w:trPr>
        <w:tc>
          <w:tcPr>
            <w:tcW w:w="1838" w:type="dxa"/>
            <w:noWrap/>
            <w:hideMark/>
          </w:tcPr>
          <w:p w14:paraId="1277A24A" w14:textId="77777777" w:rsidR="00E84580" w:rsidRPr="00031AFF" w:rsidRDefault="00E84580" w:rsidP="00A762F5">
            <w:pPr>
              <w:pStyle w:val="TableText"/>
              <w:keepNext/>
              <w:keepLines/>
            </w:pPr>
            <w:r w:rsidRPr="00031AFF">
              <w:t>Any Serious TEAE</w:t>
            </w:r>
          </w:p>
        </w:tc>
        <w:tc>
          <w:tcPr>
            <w:tcW w:w="1795" w:type="dxa"/>
            <w:noWrap/>
            <w:hideMark/>
          </w:tcPr>
          <w:p w14:paraId="1299BAFD" w14:textId="77777777" w:rsidR="00E84580" w:rsidRPr="007D095B" w:rsidRDefault="00E84580" w:rsidP="00A762F5">
            <w:pPr>
              <w:pStyle w:val="TableText"/>
              <w:keepNext/>
              <w:keepLines/>
              <w:jc w:val="center"/>
            </w:pPr>
            <w:r>
              <w:t>54 (44%)</w:t>
            </w:r>
          </w:p>
        </w:tc>
        <w:tc>
          <w:tcPr>
            <w:tcW w:w="1795" w:type="dxa"/>
            <w:noWrap/>
            <w:hideMark/>
          </w:tcPr>
          <w:p w14:paraId="2EA7480A" w14:textId="77777777" w:rsidR="00E84580" w:rsidRPr="007D095B" w:rsidRDefault="00E84580" w:rsidP="00A762F5">
            <w:pPr>
              <w:pStyle w:val="TableText"/>
              <w:keepNext/>
              <w:keepLines/>
              <w:jc w:val="center"/>
            </w:pPr>
            <w:r>
              <w:t>16 (73%)</w:t>
            </w:r>
          </w:p>
        </w:tc>
        <w:tc>
          <w:tcPr>
            <w:tcW w:w="1795" w:type="dxa"/>
            <w:noWrap/>
            <w:hideMark/>
          </w:tcPr>
          <w:p w14:paraId="62837016" w14:textId="77777777" w:rsidR="00E84580" w:rsidRPr="007D095B" w:rsidRDefault="00E84580" w:rsidP="00A762F5">
            <w:pPr>
              <w:pStyle w:val="TableText"/>
              <w:keepNext/>
              <w:keepLines/>
              <w:jc w:val="center"/>
            </w:pPr>
            <w:r>
              <w:t>70 (48%)</w:t>
            </w:r>
          </w:p>
        </w:tc>
        <w:tc>
          <w:tcPr>
            <w:tcW w:w="1796" w:type="dxa"/>
          </w:tcPr>
          <w:p w14:paraId="676FEEA1" w14:textId="77777777" w:rsidR="00E84580" w:rsidRPr="007D095B" w:rsidRDefault="00E84580" w:rsidP="00A762F5">
            <w:pPr>
              <w:pStyle w:val="TableText"/>
              <w:keepNext/>
              <w:keepLines/>
              <w:jc w:val="center"/>
            </w:pPr>
            <w:r>
              <w:t>65 (52%)</w:t>
            </w:r>
          </w:p>
        </w:tc>
      </w:tr>
      <w:tr w:rsidR="00705378" w:rsidRPr="00763328" w14:paraId="6DDE086C" w14:textId="77777777" w:rsidTr="132E0B0E">
        <w:trPr>
          <w:trHeight w:val="285"/>
        </w:trPr>
        <w:tc>
          <w:tcPr>
            <w:tcW w:w="1838" w:type="dxa"/>
            <w:noWrap/>
            <w:hideMark/>
          </w:tcPr>
          <w:p w14:paraId="65779BEB" w14:textId="77777777" w:rsidR="00E84580" w:rsidRPr="00031AFF" w:rsidRDefault="00E84580" w:rsidP="00A762F5">
            <w:pPr>
              <w:pStyle w:val="TableText"/>
              <w:keepNext/>
              <w:keepLines/>
              <w:ind w:left="113"/>
            </w:pPr>
            <w:r w:rsidRPr="00031AFF">
              <w:t>Worst Grade 5</w:t>
            </w:r>
          </w:p>
        </w:tc>
        <w:tc>
          <w:tcPr>
            <w:tcW w:w="1795" w:type="dxa"/>
            <w:noWrap/>
            <w:hideMark/>
          </w:tcPr>
          <w:p w14:paraId="38A583E0" w14:textId="77777777" w:rsidR="00E84580" w:rsidRPr="007D095B" w:rsidRDefault="00E84580" w:rsidP="00A762F5">
            <w:pPr>
              <w:pStyle w:val="TableText"/>
              <w:keepNext/>
              <w:keepLines/>
              <w:ind w:left="284"/>
              <w:jc w:val="center"/>
            </w:pPr>
            <w:r>
              <w:t>3 (2%)</w:t>
            </w:r>
          </w:p>
        </w:tc>
        <w:tc>
          <w:tcPr>
            <w:tcW w:w="1795" w:type="dxa"/>
            <w:noWrap/>
            <w:hideMark/>
          </w:tcPr>
          <w:p w14:paraId="40C10BBB" w14:textId="77777777" w:rsidR="00E84580" w:rsidRPr="007D095B" w:rsidRDefault="00E84580" w:rsidP="00A762F5">
            <w:pPr>
              <w:pStyle w:val="TableText"/>
              <w:keepNext/>
              <w:keepLines/>
              <w:ind w:left="284"/>
              <w:jc w:val="center"/>
            </w:pPr>
            <w:r>
              <w:t>1 (5%)</w:t>
            </w:r>
          </w:p>
        </w:tc>
        <w:tc>
          <w:tcPr>
            <w:tcW w:w="1795" w:type="dxa"/>
            <w:noWrap/>
            <w:hideMark/>
          </w:tcPr>
          <w:p w14:paraId="48EBD93A" w14:textId="77777777" w:rsidR="00E84580" w:rsidRPr="007D095B" w:rsidRDefault="00E84580" w:rsidP="00A762F5">
            <w:pPr>
              <w:pStyle w:val="TableText"/>
              <w:keepNext/>
              <w:keepLines/>
              <w:ind w:left="284"/>
              <w:jc w:val="center"/>
            </w:pPr>
            <w:r>
              <w:t>4 (3%)</w:t>
            </w:r>
          </w:p>
        </w:tc>
        <w:tc>
          <w:tcPr>
            <w:tcW w:w="1796" w:type="dxa"/>
          </w:tcPr>
          <w:p w14:paraId="1AF96D2D" w14:textId="77777777" w:rsidR="00E84580" w:rsidRPr="007D095B" w:rsidRDefault="00E84580" w:rsidP="00A762F5">
            <w:pPr>
              <w:pStyle w:val="TableText"/>
              <w:keepNext/>
              <w:keepLines/>
              <w:ind w:left="284"/>
              <w:jc w:val="center"/>
            </w:pPr>
            <w:r>
              <w:t>10 (8%)</w:t>
            </w:r>
          </w:p>
        </w:tc>
      </w:tr>
      <w:tr w:rsidR="00705378" w:rsidRPr="00763328" w14:paraId="2F28EABE" w14:textId="77777777" w:rsidTr="132E0B0E">
        <w:trPr>
          <w:trHeight w:val="285"/>
        </w:trPr>
        <w:tc>
          <w:tcPr>
            <w:tcW w:w="1838" w:type="dxa"/>
            <w:noWrap/>
            <w:hideMark/>
          </w:tcPr>
          <w:p w14:paraId="79F61676" w14:textId="77777777" w:rsidR="00E84580" w:rsidRPr="00031AFF" w:rsidRDefault="00E84580" w:rsidP="00A762F5">
            <w:pPr>
              <w:pStyle w:val="TableText"/>
              <w:keepNext/>
              <w:keepLines/>
              <w:ind w:left="113"/>
            </w:pPr>
            <w:r w:rsidRPr="00031AFF">
              <w:t>Worst Grade ≥ 3</w:t>
            </w:r>
          </w:p>
        </w:tc>
        <w:tc>
          <w:tcPr>
            <w:tcW w:w="1795" w:type="dxa"/>
            <w:noWrap/>
            <w:hideMark/>
          </w:tcPr>
          <w:p w14:paraId="70C89730" w14:textId="77777777" w:rsidR="00E84580" w:rsidRPr="007D095B" w:rsidRDefault="00E84580" w:rsidP="00A762F5">
            <w:pPr>
              <w:pStyle w:val="TableText"/>
              <w:keepNext/>
              <w:keepLines/>
              <w:ind w:left="284"/>
              <w:jc w:val="center"/>
            </w:pPr>
            <w:r>
              <w:t>40 (32%)</w:t>
            </w:r>
          </w:p>
        </w:tc>
        <w:tc>
          <w:tcPr>
            <w:tcW w:w="1795" w:type="dxa"/>
            <w:noWrap/>
            <w:hideMark/>
          </w:tcPr>
          <w:p w14:paraId="5A5D030C" w14:textId="77777777" w:rsidR="00E84580" w:rsidRPr="007D095B" w:rsidRDefault="00E84580" w:rsidP="00A762F5">
            <w:pPr>
              <w:pStyle w:val="TableText"/>
              <w:keepNext/>
              <w:keepLines/>
              <w:ind w:left="284"/>
              <w:jc w:val="center"/>
            </w:pPr>
            <w:r>
              <w:t>14 (64%)</w:t>
            </w:r>
          </w:p>
        </w:tc>
        <w:tc>
          <w:tcPr>
            <w:tcW w:w="1795" w:type="dxa"/>
            <w:noWrap/>
            <w:hideMark/>
          </w:tcPr>
          <w:p w14:paraId="3D4AD1E1" w14:textId="77777777" w:rsidR="00E84580" w:rsidRPr="007D095B" w:rsidRDefault="00E84580" w:rsidP="00A762F5">
            <w:pPr>
              <w:pStyle w:val="TableText"/>
              <w:keepNext/>
              <w:keepLines/>
              <w:ind w:left="284"/>
              <w:jc w:val="center"/>
            </w:pPr>
            <w:r>
              <w:t>54 (37%)</w:t>
            </w:r>
          </w:p>
        </w:tc>
        <w:tc>
          <w:tcPr>
            <w:tcW w:w="1796" w:type="dxa"/>
          </w:tcPr>
          <w:p w14:paraId="7A627B81" w14:textId="77777777" w:rsidR="00E84580" w:rsidRPr="007D095B" w:rsidRDefault="00E84580" w:rsidP="00A762F5">
            <w:pPr>
              <w:pStyle w:val="TableText"/>
              <w:keepNext/>
              <w:keepLines/>
              <w:ind w:left="284"/>
              <w:jc w:val="center"/>
            </w:pPr>
            <w:r>
              <w:t>52 (42%)</w:t>
            </w:r>
          </w:p>
        </w:tc>
      </w:tr>
      <w:tr w:rsidR="00705378" w:rsidRPr="00763328" w14:paraId="09F7CC9C" w14:textId="77777777" w:rsidTr="132E0B0E">
        <w:trPr>
          <w:trHeight w:val="285"/>
        </w:trPr>
        <w:tc>
          <w:tcPr>
            <w:tcW w:w="1838" w:type="dxa"/>
            <w:noWrap/>
            <w:hideMark/>
          </w:tcPr>
          <w:p w14:paraId="4FC23DA2" w14:textId="51DCC98B" w:rsidR="00E84580" w:rsidRPr="00031AFF" w:rsidRDefault="00E84580" w:rsidP="00A762F5">
            <w:pPr>
              <w:pStyle w:val="TableText"/>
              <w:keepNext/>
              <w:keepLines/>
            </w:pPr>
            <w:r w:rsidRPr="00031AFF">
              <w:t xml:space="preserve">Any </w:t>
            </w:r>
            <w:r w:rsidR="00807774" w:rsidRPr="00031AFF">
              <w:t>AXI</w:t>
            </w:r>
            <w:r w:rsidRPr="00031AFF">
              <w:t xml:space="preserve"> </w:t>
            </w:r>
            <w:r w:rsidR="00807774" w:rsidRPr="00031AFF">
              <w:t>r</w:t>
            </w:r>
            <w:r w:rsidRPr="00031AFF">
              <w:t>elated TEAE</w:t>
            </w:r>
          </w:p>
        </w:tc>
        <w:tc>
          <w:tcPr>
            <w:tcW w:w="1795" w:type="dxa"/>
            <w:noWrap/>
            <w:hideMark/>
          </w:tcPr>
          <w:p w14:paraId="69C35C0C" w14:textId="77777777" w:rsidR="00E84580" w:rsidRPr="007D095B" w:rsidRDefault="00E84580" w:rsidP="00A762F5">
            <w:pPr>
              <w:pStyle w:val="TableText"/>
              <w:keepNext/>
              <w:keepLines/>
              <w:jc w:val="center"/>
            </w:pPr>
            <w:r>
              <w:t>118 (95%)</w:t>
            </w:r>
          </w:p>
        </w:tc>
        <w:tc>
          <w:tcPr>
            <w:tcW w:w="1795" w:type="dxa"/>
            <w:noWrap/>
            <w:hideMark/>
          </w:tcPr>
          <w:p w14:paraId="06AF1D4B" w14:textId="77777777" w:rsidR="00E84580" w:rsidRPr="007D095B" w:rsidRDefault="00E84580" w:rsidP="00A762F5">
            <w:pPr>
              <w:pStyle w:val="TableText"/>
              <w:keepNext/>
              <w:keepLines/>
              <w:jc w:val="center"/>
            </w:pPr>
            <w:r>
              <w:t>22 (100%)</w:t>
            </w:r>
          </w:p>
        </w:tc>
        <w:tc>
          <w:tcPr>
            <w:tcW w:w="1795" w:type="dxa"/>
            <w:noWrap/>
            <w:hideMark/>
          </w:tcPr>
          <w:p w14:paraId="07036D10" w14:textId="77777777" w:rsidR="00E84580" w:rsidRPr="007D095B" w:rsidRDefault="00E84580" w:rsidP="00A762F5">
            <w:pPr>
              <w:pStyle w:val="TableText"/>
              <w:keepNext/>
              <w:keepLines/>
              <w:jc w:val="center"/>
            </w:pPr>
            <w:r>
              <w:t>140 (96%)</w:t>
            </w:r>
          </w:p>
        </w:tc>
        <w:tc>
          <w:tcPr>
            <w:tcW w:w="1796" w:type="dxa"/>
          </w:tcPr>
          <w:p w14:paraId="297BB5BD" w14:textId="77777777" w:rsidR="00E84580" w:rsidRPr="007D095B" w:rsidRDefault="00E84580" w:rsidP="00A762F5">
            <w:pPr>
              <w:pStyle w:val="TableText"/>
              <w:keepNext/>
              <w:keepLines/>
              <w:jc w:val="center"/>
            </w:pPr>
            <w:r>
              <w:t>118 (95%)</w:t>
            </w:r>
          </w:p>
        </w:tc>
      </w:tr>
      <w:tr w:rsidR="00705378" w:rsidRPr="00763328" w14:paraId="275CB260" w14:textId="77777777" w:rsidTr="132E0B0E">
        <w:trPr>
          <w:trHeight w:val="285"/>
        </w:trPr>
        <w:tc>
          <w:tcPr>
            <w:tcW w:w="1838" w:type="dxa"/>
            <w:noWrap/>
            <w:hideMark/>
          </w:tcPr>
          <w:p w14:paraId="027131F3" w14:textId="77777777" w:rsidR="00E84580" w:rsidRPr="00031AFF" w:rsidRDefault="00E84580" w:rsidP="00A762F5">
            <w:pPr>
              <w:pStyle w:val="TableText"/>
              <w:keepNext/>
              <w:keepLines/>
              <w:ind w:left="113"/>
            </w:pPr>
            <w:r w:rsidRPr="00031AFF">
              <w:t>Worst Grade 5</w:t>
            </w:r>
          </w:p>
        </w:tc>
        <w:tc>
          <w:tcPr>
            <w:tcW w:w="1795" w:type="dxa"/>
            <w:noWrap/>
            <w:hideMark/>
          </w:tcPr>
          <w:p w14:paraId="4B95F05F" w14:textId="77777777" w:rsidR="00E84580" w:rsidRPr="007D095B" w:rsidRDefault="00E84580" w:rsidP="00A762F5">
            <w:pPr>
              <w:pStyle w:val="TableText"/>
              <w:keepNext/>
              <w:keepLines/>
              <w:ind w:left="284"/>
              <w:jc w:val="center"/>
            </w:pPr>
            <w:r>
              <w:t>1 (1%)</w:t>
            </w:r>
          </w:p>
        </w:tc>
        <w:tc>
          <w:tcPr>
            <w:tcW w:w="1795" w:type="dxa"/>
            <w:noWrap/>
            <w:hideMark/>
          </w:tcPr>
          <w:p w14:paraId="52335616" w14:textId="77777777" w:rsidR="00E84580" w:rsidRPr="007D095B" w:rsidRDefault="00E84580" w:rsidP="00A762F5">
            <w:pPr>
              <w:pStyle w:val="TableText"/>
              <w:keepNext/>
              <w:keepLines/>
              <w:ind w:left="284"/>
              <w:jc w:val="center"/>
            </w:pPr>
            <w:r>
              <w:t>0 (0%)</w:t>
            </w:r>
          </w:p>
        </w:tc>
        <w:tc>
          <w:tcPr>
            <w:tcW w:w="1795" w:type="dxa"/>
            <w:noWrap/>
            <w:hideMark/>
          </w:tcPr>
          <w:p w14:paraId="167A7837" w14:textId="77777777" w:rsidR="00E84580" w:rsidRPr="007D095B" w:rsidRDefault="00E84580" w:rsidP="00A762F5">
            <w:pPr>
              <w:pStyle w:val="TableText"/>
              <w:keepNext/>
              <w:keepLines/>
              <w:ind w:left="284"/>
              <w:jc w:val="center"/>
            </w:pPr>
            <w:r>
              <w:t>1 (1%)</w:t>
            </w:r>
          </w:p>
        </w:tc>
        <w:tc>
          <w:tcPr>
            <w:tcW w:w="1796" w:type="dxa"/>
          </w:tcPr>
          <w:p w14:paraId="736290DF" w14:textId="77777777" w:rsidR="00E84580" w:rsidRPr="007D095B" w:rsidRDefault="00E84580" w:rsidP="00A762F5">
            <w:pPr>
              <w:pStyle w:val="TableText"/>
              <w:keepNext/>
              <w:keepLines/>
              <w:ind w:left="284"/>
              <w:jc w:val="center"/>
            </w:pPr>
            <w:r>
              <w:t>2 (2%)</w:t>
            </w:r>
          </w:p>
        </w:tc>
      </w:tr>
      <w:tr w:rsidR="00705378" w:rsidRPr="00763328" w14:paraId="0066B14D" w14:textId="77777777" w:rsidTr="132E0B0E">
        <w:trPr>
          <w:trHeight w:val="285"/>
        </w:trPr>
        <w:tc>
          <w:tcPr>
            <w:tcW w:w="1838" w:type="dxa"/>
            <w:noWrap/>
            <w:hideMark/>
          </w:tcPr>
          <w:p w14:paraId="2A33CDFD" w14:textId="77777777" w:rsidR="00E84580" w:rsidRPr="00031AFF" w:rsidRDefault="00E84580" w:rsidP="00A762F5">
            <w:pPr>
              <w:pStyle w:val="TableText"/>
              <w:keepNext/>
              <w:keepLines/>
              <w:ind w:left="113"/>
            </w:pPr>
            <w:r w:rsidRPr="00031AFF">
              <w:t>Worst Grade ≥ 3</w:t>
            </w:r>
          </w:p>
        </w:tc>
        <w:tc>
          <w:tcPr>
            <w:tcW w:w="1795" w:type="dxa"/>
            <w:noWrap/>
            <w:hideMark/>
          </w:tcPr>
          <w:p w14:paraId="207236D5" w14:textId="77777777" w:rsidR="00E84580" w:rsidRPr="007D095B" w:rsidRDefault="00E84580" w:rsidP="00A762F5">
            <w:pPr>
              <w:pStyle w:val="TableText"/>
              <w:keepNext/>
              <w:keepLines/>
              <w:ind w:left="284"/>
              <w:jc w:val="center"/>
            </w:pPr>
            <w:r>
              <w:t>70 (56%)</w:t>
            </w:r>
          </w:p>
        </w:tc>
        <w:tc>
          <w:tcPr>
            <w:tcW w:w="1795" w:type="dxa"/>
            <w:noWrap/>
            <w:hideMark/>
          </w:tcPr>
          <w:p w14:paraId="58AE4DA3" w14:textId="77777777" w:rsidR="00E84580" w:rsidRPr="007D095B" w:rsidRDefault="00E84580" w:rsidP="00A762F5">
            <w:pPr>
              <w:pStyle w:val="TableText"/>
              <w:keepNext/>
              <w:keepLines/>
              <w:ind w:left="284"/>
              <w:jc w:val="center"/>
            </w:pPr>
            <w:r>
              <w:t>16 (73%)</w:t>
            </w:r>
          </w:p>
        </w:tc>
        <w:tc>
          <w:tcPr>
            <w:tcW w:w="1795" w:type="dxa"/>
            <w:noWrap/>
            <w:hideMark/>
          </w:tcPr>
          <w:p w14:paraId="31E55243" w14:textId="77777777" w:rsidR="00E84580" w:rsidRPr="007D095B" w:rsidRDefault="00E84580" w:rsidP="00A762F5">
            <w:pPr>
              <w:pStyle w:val="TableText"/>
              <w:keepNext/>
              <w:keepLines/>
              <w:ind w:left="284"/>
              <w:jc w:val="center"/>
            </w:pPr>
            <w:r>
              <w:t>86 (59%)</w:t>
            </w:r>
          </w:p>
        </w:tc>
        <w:tc>
          <w:tcPr>
            <w:tcW w:w="1796" w:type="dxa"/>
          </w:tcPr>
          <w:p w14:paraId="4591AB55" w14:textId="77777777" w:rsidR="00E84580" w:rsidRPr="007D095B" w:rsidRDefault="00E84580" w:rsidP="00A762F5">
            <w:pPr>
              <w:pStyle w:val="TableText"/>
              <w:keepNext/>
              <w:keepLines/>
              <w:ind w:left="284"/>
              <w:jc w:val="center"/>
            </w:pPr>
            <w:r>
              <w:t>72 (58%)</w:t>
            </w:r>
          </w:p>
        </w:tc>
      </w:tr>
      <w:tr w:rsidR="00705378" w:rsidRPr="00763328" w14:paraId="4D8C2508" w14:textId="77777777" w:rsidTr="132E0B0E">
        <w:trPr>
          <w:trHeight w:val="285"/>
        </w:trPr>
        <w:tc>
          <w:tcPr>
            <w:tcW w:w="1838" w:type="dxa"/>
            <w:noWrap/>
            <w:hideMark/>
          </w:tcPr>
          <w:p w14:paraId="7EAC8D24" w14:textId="00CE608C" w:rsidR="00E84580" w:rsidRPr="00031AFF" w:rsidRDefault="00E84580" w:rsidP="00A762F5">
            <w:pPr>
              <w:pStyle w:val="TableText"/>
              <w:keepNext/>
              <w:keepLines/>
            </w:pPr>
            <w:r w:rsidRPr="00031AFF">
              <w:t xml:space="preserve">Any </w:t>
            </w:r>
            <w:r w:rsidR="00807774" w:rsidRPr="00031AFF">
              <w:t>s</w:t>
            </w:r>
            <w:r w:rsidRPr="00031AFF">
              <w:t xml:space="preserve">erious </w:t>
            </w:r>
            <w:r w:rsidR="00807774" w:rsidRPr="00031AFF">
              <w:t>AXI</w:t>
            </w:r>
            <w:r w:rsidRPr="00031AFF">
              <w:t xml:space="preserve"> </w:t>
            </w:r>
            <w:r w:rsidR="00807774" w:rsidRPr="00031AFF">
              <w:t>r</w:t>
            </w:r>
            <w:r w:rsidRPr="00031AFF">
              <w:t>elated TEAE</w:t>
            </w:r>
          </w:p>
        </w:tc>
        <w:tc>
          <w:tcPr>
            <w:tcW w:w="1795" w:type="dxa"/>
            <w:noWrap/>
            <w:hideMark/>
          </w:tcPr>
          <w:p w14:paraId="3CAFAACC" w14:textId="77777777" w:rsidR="00E84580" w:rsidRPr="007D095B" w:rsidRDefault="00E84580" w:rsidP="00A762F5">
            <w:pPr>
              <w:pStyle w:val="TableText"/>
              <w:keepNext/>
              <w:keepLines/>
              <w:jc w:val="center"/>
            </w:pPr>
            <w:r>
              <w:t>37 (30%)</w:t>
            </w:r>
          </w:p>
        </w:tc>
        <w:tc>
          <w:tcPr>
            <w:tcW w:w="1795" w:type="dxa"/>
            <w:noWrap/>
            <w:hideMark/>
          </w:tcPr>
          <w:p w14:paraId="3A381A9E" w14:textId="77777777" w:rsidR="00E84580" w:rsidRPr="007D095B" w:rsidRDefault="00E84580" w:rsidP="00A762F5">
            <w:pPr>
              <w:pStyle w:val="TableText"/>
              <w:keepNext/>
              <w:keepLines/>
              <w:jc w:val="center"/>
            </w:pPr>
            <w:r>
              <w:t>12 (55%)</w:t>
            </w:r>
          </w:p>
        </w:tc>
        <w:tc>
          <w:tcPr>
            <w:tcW w:w="1795" w:type="dxa"/>
            <w:noWrap/>
            <w:hideMark/>
          </w:tcPr>
          <w:p w14:paraId="1561F651" w14:textId="77777777" w:rsidR="00E84580" w:rsidRPr="007D095B" w:rsidRDefault="00E84580" w:rsidP="00A762F5">
            <w:pPr>
              <w:pStyle w:val="TableText"/>
              <w:keepNext/>
              <w:keepLines/>
              <w:jc w:val="center"/>
            </w:pPr>
            <w:r>
              <w:t>49 (34%)</w:t>
            </w:r>
          </w:p>
        </w:tc>
        <w:tc>
          <w:tcPr>
            <w:tcW w:w="1796" w:type="dxa"/>
          </w:tcPr>
          <w:p w14:paraId="6A334FE0" w14:textId="77777777" w:rsidR="00E84580" w:rsidRPr="007D095B" w:rsidRDefault="00E84580" w:rsidP="00A762F5">
            <w:pPr>
              <w:pStyle w:val="TableText"/>
              <w:keepNext/>
              <w:keepLines/>
              <w:jc w:val="center"/>
            </w:pPr>
            <w:r>
              <w:t>41 (33%)</w:t>
            </w:r>
          </w:p>
        </w:tc>
      </w:tr>
      <w:tr w:rsidR="00705378" w:rsidRPr="00763328" w14:paraId="4C4B436F" w14:textId="77777777" w:rsidTr="132E0B0E">
        <w:trPr>
          <w:trHeight w:val="285"/>
        </w:trPr>
        <w:tc>
          <w:tcPr>
            <w:tcW w:w="1838" w:type="dxa"/>
            <w:noWrap/>
            <w:hideMark/>
          </w:tcPr>
          <w:p w14:paraId="147589E3" w14:textId="77777777" w:rsidR="00E84580" w:rsidRPr="00031AFF" w:rsidRDefault="00E84580" w:rsidP="00A762F5">
            <w:pPr>
              <w:pStyle w:val="TableText"/>
              <w:keepNext/>
              <w:keepLines/>
              <w:ind w:left="113"/>
            </w:pPr>
            <w:r w:rsidRPr="00031AFF">
              <w:t>Worst Grade 5</w:t>
            </w:r>
          </w:p>
        </w:tc>
        <w:tc>
          <w:tcPr>
            <w:tcW w:w="1795" w:type="dxa"/>
            <w:noWrap/>
            <w:hideMark/>
          </w:tcPr>
          <w:p w14:paraId="7C37851B" w14:textId="77777777" w:rsidR="00E84580" w:rsidRPr="007D095B" w:rsidRDefault="00E84580" w:rsidP="00A762F5">
            <w:pPr>
              <w:pStyle w:val="TableText"/>
              <w:keepNext/>
              <w:keepLines/>
              <w:ind w:left="284"/>
              <w:jc w:val="center"/>
            </w:pPr>
            <w:r>
              <w:t>1 (1%)</w:t>
            </w:r>
          </w:p>
        </w:tc>
        <w:tc>
          <w:tcPr>
            <w:tcW w:w="1795" w:type="dxa"/>
            <w:noWrap/>
            <w:hideMark/>
          </w:tcPr>
          <w:p w14:paraId="78FA4D1F" w14:textId="77777777" w:rsidR="00E84580" w:rsidRPr="007D095B" w:rsidRDefault="00E84580" w:rsidP="00A762F5">
            <w:pPr>
              <w:pStyle w:val="TableText"/>
              <w:keepNext/>
              <w:keepLines/>
              <w:ind w:left="284"/>
              <w:jc w:val="center"/>
            </w:pPr>
            <w:r>
              <w:t>0 (0%)</w:t>
            </w:r>
          </w:p>
        </w:tc>
        <w:tc>
          <w:tcPr>
            <w:tcW w:w="1795" w:type="dxa"/>
            <w:noWrap/>
            <w:hideMark/>
          </w:tcPr>
          <w:p w14:paraId="356DA941" w14:textId="77777777" w:rsidR="00E84580" w:rsidRPr="007D095B" w:rsidRDefault="00E84580" w:rsidP="00A762F5">
            <w:pPr>
              <w:pStyle w:val="TableText"/>
              <w:keepNext/>
              <w:keepLines/>
              <w:ind w:left="284"/>
              <w:jc w:val="center"/>
            </w:pPr>
            <w:r>
              <w:t>1 (1%)</w:t>
            </w:r>
          </w:p>
        </w:tc>
        <w:tc>
          <w:tcPr>
            <w:tcW w:w="1796" w:type="dxa"/>
          </w:tcPr>
          <w:p w14:paraId="4B02FA5B" w14:textId="77777777" w:rsidR="00E84580" w:rsidRPr="007D095B" w:rsidRDefault="00E84580" w:rsidP="00A762F5">
            <w:pPr>
              <w:pStyle w:val="TableText"/>
              <w:keepNext/>
              <w:keepLines/>
              <w:ind w:left="284"/>
              <w:jc w:val="center"/>
            </w:pPr>
            <w:r>
              <w:t>2 (2%)</w:t>
            </w:r>
          </w:p>
        </w:tc>
      </w:tr>
      <w:tr w:rsidR="00705378" w:rsidRPr="00763328" w14:paraId="055FD377" w14:textId="77777777" w:rsidTr="132E0B0E">
        <w:trPr>
          <w:trHeight w:val="285"/>
        </w:trPr>
        <w:tc>
          <w:tcPr>
            <w:tcW w:w="1838" w:type="dxa"/>
            <w:noWrap/>
            <w:hideMark/>
          </w:tcPr>
          <w:p w14:paraId="7E66D303" w14:textId="77777777" w:rsidR="00E84580" w:rsidRPr="00031AFF" w:rsidRDefault="00E84580" w:rsidP="00A762F5">
            <w:pPr>
              <w:pStyle w:val="TableText"/>
              <w:keepNext/>
              <w:keepLines/>
              <w:ind w:left="113"/>
            </w:pPr>
            <w:r w:rsidRPr="00031AFF">
              <w:t>Worst Grade ≥ 3</w:t>
            </w:r>
          </w:p>
        </w:tc>
        <w:tc>
          <w:tcPr>
            <w:tcW w:w="1795" w:type="dxa"/>
            <w:noWrap/>
            <w:hideMark/>
          </w:tcPr>
          <w:p w14:paraId="49BA0430" w14:textId="77777777" w:rsidR="00E84580" w:rsidRPr="007D095B" w:rsidRDefault="00E84580" w:rsidP="00A762F5">
            <w:pPr>
              <w:pStyle w:val="TableText"/>
              <w:keepNext/>
              <w:keepLines/>
              <w:ind w:left="284"/>
              <w:jc w:val="center"/>
            </w:pPr>
            <w:r>
              <w:t>25 (20%)</w:t>
            </w:r>
          </w:p>
        </w:tc>
        <w:tc>
          <w:tcPr>
            <w:tcW w:w="1795" w:type="dxa"/>
            <w:noWrap/>
            <w:hideMark/>
          </w:tcPr>
          <w:p w14:paraId="003F8713" w14:textId="77777777" w:rsidR="00E84580" w:rsidRPr="007D095B" w:rsidRDefault="00E84580" w:rsidP="00A762F5">
            <w:pPr>
              <w:pStyle w:val="TableText"/>
              <w:keepNext/>
              <w:keepLines/>
              <w:ind w:left="284"/>
              <w:jc w:val="center"/>
            </w:pPr>
            <w:r>
              <w:t>9 (41%)</w:t>
            </w:r>
          </w:p>
        </w:tc>
        <w:tc>
          <w:tcPr>
            <w:tcW w:w="1795" w:type="dxa"/>
            <w:noWrap/>
            <w:hideMark/>
          </w:tcPr>
          <w:p w14:paraId="202D8B04" w14:textId="77777777" w:rsidR="00E84580" w:rsidRPr="007D095B" w:rsidRDefault="00E84580" w:rsidP="00A762F5">
            <w:pPr>
              <w:pStyle w:val="TableText"/>
              <w:keepNext/>
              <w:keepLines/>
              <w:ind w:left="284"/>
              <w:jc w:val="center"/>
            </w:pPr>
            <w:r>
              <w:t>34 (23%)</w:t>
            </w:r>
          </w:p>
        </w:tc>
        <w:tc>
          <w:tcPr>
            <w:tcW w:w="1796" w:type="dxa"/>
          </w:tcPr>
          <w:p w14:paraId="0E3AEB41" w14:textId="5F3AE816" w:rsidR="00E84580" w:rsidRPr="007D095B" w:rsidRDefault="00E84580" w:rsidP="00A762F5">
            <w:pPr>
              <w:pStyle w:val="TableText"/>
              <w:keepNext/>
              <w:keepLines/>
              <w:ind w:left="284"/>
              <w:jc w:val="center"/>
            </w:pPr>
            <w:r>
              <w:t>29 (23%)</w:t>
            </w:r>
          </w:p>
        </w:tc>
      </w:tr>
    </w:tbl>
    <w:p w14:paraId="333C3822" w14:textId="77777777" w:rsidR="00A453B5" w:rsidRPr="00A762F5" w:rsidRDefault="00E84580" w:rsidP="00A762F5">
      <w:pPr>
        <w:pStyle w:val="TableFigNote"/>
        <w:keepNext/>
        <w:rPr>
          <w:rFonts w:ascii="Arial Narrow" w:hAnsi="Arial Narrow"/>
        </w:rPr>
      </w:pPr>
      <w:r w:rsidRPr="00A762F5">
        <w:rPr>
          <w:rFonts w:ascii="Arial Narrow" w:hAnsi="Arial Narrow"/>
        </w:rPr>
        <w:t xml:space="preserve">Abbreviations: TEAE=treatment emergent adverse event; </w:t>
      </w:r>
      <w:proofErr w:type="spellStart"/>
      <w:r w:rsidRPr="00A762F5">
        <w:rPr>
          <w:rFonts w:ascii="Arial Narrow" w:hAnsi="Arial Narrow"/>
        </w:rPr>
        <w:t>iNHL</w:t>
      </w:r>
      <w:proofErr w:type="spellEnd"/>
      <w:r w:rsidRPr="00A762F5">
        <w:rPr>
          <w:rFonts w:ascii="Arial Narrow" w:hAnsi="Arial Narrow"/>
        </w:rPr>
        <w:t>=indolent non-Hodgkin lymphoma</w:t>
      </w:r>
      <w:r w:rsidR="00A453B5" w:rsidRPr="00A762F5">
        <w:rPr>
          <w:rFonts w:ascii="Arial Narrow" w:hAnsi="Arial Narrow"/>
        </w:rPr>
        <w:t xml:space="preserve">; MZL=marginal zone lymphoma </w:t>
      </w:r>
    </w:p>
    <w:p w14:paraId="37375E70" w14:textId="4F19CD48" w:rsidR="00A453B5" w:rsidRPr="00A762F5" w:rsidRDefault="00A453B5" w:rsidP="00A762F5">
      <w:pPr>
        <w:pStyle w:val="TableFigNote"/>
        <w:keepNext/>
        <w:rPr>
          <w:rFonts w:ascii="Arial Narrow" w:hAnsi="Arial Narrow"/>
        </w:rPr>
      </w:pPr>
      <w:r w:rsidRPr="00A762F5">
        <w:rPr>
          <w:rFonts w:ascii="Arial Narrow" w:hAnsi="Arial Narrow"/>
        </w:rPr>
        <w:t>a One patient died due to progressive disease that was listed as an adverse event in the database.</w:t>
      </w:r>
    </w:p>
    <w:p w14:paraId="61398703" w14:textId="19B0360E" w:rsidR="00E84580" w:rsidRPr="00A762F5" w:rsidRDefault="00E84580" w:rsidP="00A762F5">
      <w:pPr>
        <w:pStyle w:val="TableFigNote"/>
        <w:keepNext/>
        <w:rPr>
          <w:rFonts w:ascii="Arial Narrow" w:hAnsi="Arial Narrow"/>
        </w:rPr>
      </w:pPr>
      <w:r w:rsidRPr="00A762F5">
        <w:rPr>
          <w:rFonts w:ascii="Arial Narrow" w:hAnsi="Arial Narrow"/>
        </w:rPr>
        <w:t xml:space="preserve">Source: </w:t>
      </w:r>
      <w:r w:rsidR="009163A7" w:rsidRPr="00A762F5">
        <w:rPr>
          <w:rFonts w:ascii="Arial Narrow" w:hAnsi="Arial Narrow"/>
        </w:rPr>
        <w:t xml:space="preserve">Table 26 of MSAC 1771 </w:t>
      </w:r>
      <w:proofErr w:type="spellStart"/>
      <w:r w:rsidR="009163A7" w:rsidRPr="00A762F5">
        <w:rPr>
          <w:rFonts w:ascii="Arial Narrow" w:hAnsi="Arial Narrow"/>
        </w:rPr>
        <w:t>ADAR+in-line</w:t>
      </w:r>
      <w:proofErr w:type="spellEnd"/>
      <w:r w:rsidR="009163A7" w:rsidRPr="00A762F5">
        <w:rPr>
          <w:rFonts w:ascii="Arial Narrow" w:hAnsi="Arial Narrow"/>
        </w:rPr>
        <w:t xml:space="preserve"> commentary</w:t>
      </w:r>
    </w:p>
    <w:p w14:paraId="1400667F" w14:textId="026CA64F" w:rsidR="00437B9C" w:rsidRPr="00031AFF" w:rsidRDefault="00686749" w:rsidP="00717D86">
      <w:r>
        <w:t xml:space="preserve">In the </w:t>
      </w:r>
      <w:r w:rsidRPr="00031AFF">
        <w:t xml:space="preserve">updated </w:t>
      </w:r>
      <w:r w:rsidR="00222446" w:rsidRPr="00031AFF">
        <w:t>48-month</w:t>
      </w:r>
      <w:r w:rsidR="00746953" w:rsidRPr="00031AFF">
        <w:t xml:space="preserve"> </w:t>
      </w:r>
      <w:r w:rsidRPr="00031AFF">
        <w:t>analysis, f</w:t>
      </w:r>
      <w:r w:rsidR="004C07FB" w:rsidRPr="00031AFF">
        <w:t>or patients with FL treated with AXI</w:t>
      </w:r>
      <w:r w:rsidR="00437B9C" w:rsidRPr="00031AFF">
        <w:t>:</w:t>
      </w:r>
    </w:p>
    <w:p w14:paraId="53AB37E9" w14:textId="049D09AB" w:rsidR="00437B9C" w:rsidRPr="00031AFF" w:rsidRDefault="00437B9C" w:rsidP="00717D86">
      <w:pPr>
        <w:pStyle w:val="ListParagraph"/>
        <w:numPr>
          <w:ilvl w:val="0"/>
          <w:numId w:val="36"/>
        </w:numPr>
      </w:pPr>
      <w:r>
        <w:t>T</w:t>
      </w:r>
      <w:r w:rsidR="004C07FB">
        <w:t>he most frequently reported adverse events were pyrexia (83%), hypotension (48%), headache (45%), fatigue (41%) and neutropenia (38%)</w:t>
      </w:r>
      <w:r w:rsidR="1BE88F0C">
        <w:t>.</w:t>
      </w:r>
    </w:p>
    <w:p w14:paraId="6CF25B97" w14:textId="1D0AA0DA" w:rsidR="00E75AA6" w:rsidRPr="00031AFF" w:rsidRDefault="00437B9C" w:rsidP="00717D86">
      <w:pPr>
        <w:pStyle w:val="ListParagraph"/>
        <w:numPr>
          <w:ilvl w:val="0"/>
          <w:numId w:val="36"/>
        </w:numPr>
      </w:pPr>
      <w:r>
        <w:t>The most frequently reported adverse events assessed as being related to AXI were pyrexia (80%), hypotension (38%), headache (33%), tremor (27%) and</w:t>
      </w:r>
      <w:r w:rsidR="00686749">
        <w:t xml:space="preserve"> </w:t>
      </w:r>
      <w:r>
        <w:t>neutropenia (27%)</w:t>
      </w:r>
      <w:r w:rsidR="00686749">
        <w:t xml:space="preserve">. </w:t>
      </w:r>
    </w:p>
    <w:p w14:paraId="3C0E8CBC" w14:textId="4959C044" w:rsidR="00C071B5" w:rsidRDefault="145C9EB6" w:rsidP="00717D86">
      <w:r>
        <w:t xml:space="preserve">Identified risks related to the use of </w:t>
      </w:r>
      <w:r w:rsidR="4EB5EAC8">
        <w:t>AXI</w:t>
      </w:r>
      <w:r>
        <w:t xml:space="preserve"> </w:t>
      </w:r>
      <w:r w:rsidR="18E5D983">
        <w:t xml:space="preserve">were presented by the ADAR; these </w:t>
      </w:r>
      <w:r>
        <w:t xml:space="preserve">include cytokine release syndrome, neurological events, </w:t>
      </w:r>
      <w:proofErr w:type="spellStart"/>
      <w:r>
        <w:t>cytopenias</w:t>
      </w:r>
      <w:proofErr w:type="spellEnd"/>
      <w:r>
        <w:t xml:space="preserve">, infections, hypogammaglobulinemia and secondary malignancies. A summary of the rate and </w:t>
      </w:r>
      <w:r w:rsidR="1597C4EA">
        <w:t>g</w:t>
      </w:r>
      <w:r>
        <w:t xml:space="preserve">rade of these adverse events of special interest is provided in </w:t>
      </w:r>
      <w:r>
        <w:fldChar w:fldCharType="begin"/>
      </w:r>
      <w:r>
        <w:instrText xml:space="preserve"> REF _Ref163137055 \h  \* MERGEFORMAT </w:instrText>
      </w:r>
      <w:r>
        <w:fldChar w:fldCharType="separate"/>
      </w:r>
      <w:r w:rsidR="5C48AE3D">
        <w:t xml:space="preserve">Table </w:t>
      </w:r>
      <w:r w:rsidR="5C48AE3D" w:rsidRPr="132E0B0E">
        <w:rPr>
          <w:noProof/>
        </w:rPr>
        <w:t>4</w:t>
      </w:r>
      <w:r>
        <w:fldChar w:fldCharType="end"/>
      </w:r>
      <w:r>
        <w:t xml:space="preserve">. </w:t>
      </w:r>
    </w:p>
    <w:p w14:paraId="3083F8D9" w14:textId="1092454C" w:rsidR="00716BCF" w:rsidRDefault="00716BCF" w:rsidP="00717D86">
      <w:r>
        <w:t xml:space="preserve">The applicant’s pre-ESC response </w:t>
      </w:r>
      <w:r w:rsidR="00C625BF">
        <w:t>stated</w:t>
      </w:r>
      <w:r w:rsidR="00EA5C1A">
        <w:t xml:space="preserve"> </w:t>
      </w:r>
      <w:r w:rsidR="009001C1">
        <w:t>that</w:t>
      </w:r>
      <w:r w:rsidR="00FB518A">
        <w:t xml:space="preserve"> despite being TEAEs of special interest, neither persistent hypogammaglobulinemia nor persistent cytopenia were </w:t>
      </w:r>
      <w:r w:rsidR="00CF5F52">
        <w:t>considered of</w:t>
      </w:r>
      <w:r w:rsidR="00FB518A">
        <w:t xml:space="preserve"> particular concern for patients treated with AXI </w:t>
      </w:r>
      <w:r w:rsidR="000E5D1A">
        <w:t xml:space="preserve">for r/r FL. </w:t>
      </w:r>
      <w:r w:rsidR="003336FB">
        <w:t>The pre-ESC response highlighted</w:t>
      </w:r>
      <w:r w:rsidR="00C71A35">
        <w:t xml:space="preserve"> that</w:t>
      </w:r>
      <w:r w:rsidR="003336FB">
        <w:t xml:space="preserve"> </w:t>
      </w:r>
      <w:r w:rsidR="001655B6">
        <w:t>at the updated</w:t>
      </w:r>
      <w:r w:rsidR="00FD6524">
        <w:t xml:space="preserve"> 48-month analysis of ZUMA-5, of the 91 cytopenia events reported, 79 were reported as resolved</w:t>
      </w:r>
      <w:r w:rsidR="00672981">
        <w:t xml:space="preserve"> a</w:t>
      </w:r>
      <w:r w:rsidR="002146CD">
        <w:t>t</w:t>
      </w:r>
      <w:r w:rsidR="00672981">
        <w:t xml:space="preserve"> the data cutoff date</w:t>
      </w:r>
      <w:r w:rsidR="001F36DF">
        <w:t xml:space="preserve">, with just 12/91 (13%) remaining ongoing. Similarly, </w:t>
      </w:r>
      <w:r w:rsidR="00222446">
        <w:t>at the 48-month follow-up analysis data cutoff date</w:t>
      </w:r>
      <w:r w:rsidR="001F36DF">
        <w:t xml:space="preserve"> </w:t>
      </w:r>
      <w:r w:rsidR="00203D49">
        <w:t xml:space="preserve">of the 25 patients reporting </w:t>
      </w:r>
      <w:proofErr w:type="spellStart"/>
      <w:r w:rsidR="00203D49">
        <w:t>hypogammaglobulinaemia</w:t>
      </w:r>
      <w:proofErr w:type="spellEnd"/>
      <w:r w:rsidR="00203D49">
        <w:t xml:space="preserve"> in ZUMA-5, 9/25 (36%) were ongoing and </w:t>
      </w:r>
      <w:proofErr w:type="gramStart"/>
      <w:r w:rsidR="00203D49">
        <w:t>the majority of</w:t>
      </w:r>
      <w:proofErr w:type="gramEnd"/>
      <w:r w:rsidR="00203D49">
        <w:t xml:space="preserve"> events were Grade 2 severity, with none reported as serious adverse events.</w:t>
      </w:r>
      <w:r w:rsidR="00305C6F">
        <w:t xml:space="preserve"> </w:t>
      </w:r>
    </w:p>
    <w:p w14:paraId="651E92FE" w14:textId="46EFEA4D" w:rsidR="00C071B5" w:rsidRPr="00031AFF" w:rsidRDefault="00C071B5" w:rsidP="00406F77">
      <w:pPr>
        <w:pStyle w:val="Caption"/>
      </w:pPr>
      <w:bookmarkStart w:id="19" w:name="_Ref163137055"/>
      <w:r>
        <w:lastRenderedPageBreak/>
        <w:t xml:space="preserve">Table </w:t>
      </w:r>
      <w:r>
        <w:fldChar w:fldCharType="begin"/>
      </w:r>
      <w:r>
        <w:instrText>SEQ Table \* ARABIC</w:instrText>
      </w:r>
      <w:r>
        <w:fldChar w:fldCharType="separate"/>
      </w:r>
      <w:r w:rsidR="0020136D" w:rsidRPr="132E0B0E">
        <w:rPr>
          <w:noProof/>
        </w:rPr>
        <w:t>4</w:t>
      </w:r>
      <w:r>
        <w:fldChar w:fldCharType="end"/>
      </w:r>
      <w:bookmarkEnd w:id="19"/>
      <w:r>
        <w:tab/>
        <w:t>Adverse events of special interest: safety analysis set</w:t>
      </w: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AB35B8" w:rsidRPr="00031AFF" w14:paraId="675C89E2" w14:textId="77777777" w:rsidTr="132E0B0E">
        <w:trPr>
          <w:trHeight w:val="285"/>
          <w:tblHeader/>
        </w:trPr>
        <w:tc>
          <w:tcPr>
            <w:tcW w:w="1803" w:type="dxa"/>
            <w:vMerge w:val="restart"/>
            <w:noWrap/>
          </w:tcPr>
          <w:p w14:paraId="752CBF07" w14:textId="77777777" w:rsidR="00AB35B8" w:rsidRPr="00031AFF" w:rsidRDefault="00AB35B8" w:rsidP="00A762F5">
            <w:pPr>
              <w:pStyle w:val="TableHeading0"/>
              <w:keepNext/>
            </w:pPr>
          </w:p>
        </w:tc>
        <w:tc>
          <w:tcPr>
            <w:tcW w:w="5409" w:type="dxa"/>
            <w:gridSpan w:val="3"/>
            <w:noWrap/>
          </w:tcPr>
          <w:p w14:paraId="50A95645" w14:textId="77777777" w:rsidR="00AB35B8" w:rsidRPr="00031AFF" w:rsidRDefault="00AB35B8" w:rsidP="00A762F5">
            <w:pPr>
              <w:pStyle w:val="TableHeading0"/>
              <w:keepNext/>
              <w:jc w:val="center"/>
            </w:pPr>
            <w:r w:rsidRPr="00031AFF">
              <w:t xml:space="preserve">Primary </w:t>
            </w:r>
            <w:r w:rsidRPr="00031AFF">
              <w:rPr>
                <w:bCs/>
              </w:rPr>
              <w:t xml:space="preserve">(12 month) </w:t>
            </w:r>
            <w:r w:rsidRPr="00031AFF">
              <w:t>analysis</w:t>
            </w:r>
            <w:r w:rsidRPr="00031AFF">
              <w:rPr>
                <w:bCs/>
              </w:rPr>
              <w:t xml:space="preserve"> </w:t>
            </w:r>
            <w:r w:rsidRPr="00031AFF">
              <w:t>of ZUMA-5</w:t>
            </w:r>
          </w:p>
        </w:tc>
        <w:tc>
          <w:tcPr>
            <w:tcW w:w="1804" w:type="dxa"/>
          </w:tcPr>
          <w:p w14:paraId="0B5F701C" w14:textId="77777777" w:rsidR="00AB35B8" w:rsidRPr="00031AFF" w:rsidRDefault="00AB35B8" w:rsidP="00A762F5">
            <w:pPr>
              <w:pStyle w:val="TableHeading0"/>
              <w:keepNext/>
              <w:jc w:val="center"/>
            </w:pPr>
            <w:r>
              <w:t xml:space="preserve">Updated </w:t>
            </w:r>
            <w:proofErr w:type="gramStart"/>
            <w:r>
              <w:t>48 month</w:t>
            </w:r>
            <w:proofErr w:type="gramEnd"/>
            <w:r>
              <w:t xml:space="preserve"> analysis of ZUMA-5</w:t>
            </w:r>
          </w:p>
        </w:tc>
      </w:tr>
      <w:tr w:rsidR="00AB35B8" w:rsidRPr="00031AFF" w14:paraId="4575AC60" w14:textId="77777777" w:rsidTr="132E0B0E">
        <w:trPr>
          <w:trHeight w:val="285"/>
          <w:tblHeader/>
        </w:trPr>
        <w:tc>
          <w:tcPr>
            <w:tcW w:w="1803" w:type="dxa"/>
            <w:vMerge/>
            <w:noWrap/>
            <w:hideMark/>
          </w:tcPr>
          <w:p w14:paraId="64228747" w14:textId="77777777" w:rsidR="00AB35B8" w:rsidRPr="00031AFF" w:rsidRDefault="00AB35B8" w:rsidP="00A762F5">
            <w:pPr>
              <w:pStyle w:val="TableHeading0"/>
              <w:keepNext/>
            </w:pPr>
          </w:p>
        </w:tc>
        <w:tc>
          <w:tcPr>
            <w:tcW w:w="1803" w:type="dxa"/>
            <w:noWrap/>
            <w:vAlign w:val="center"/>
            <w:hideMark/>
          </w:tcPr>
          <w:p w14:paraId="49EAA802" w14:textId="1E38E608" w:rsidR="00AB35B8" w:rsidRPr="00031AFF" w:rsidRDefault="00AB35B8" w:rsidP="00A762F5">
            <w:pPr>
              <w:pStyle w:val="TableHeading0"/>
              <w:keepNext/>
              <w:jc w:val="center"/>
            </w:pPr>
            <w:r w:rsidRPr="00031AFF">
              <w:t>FL (N=124), n (%)</w:t>
            </w:r>
          </w:p>
        </w:tc>
        <w:tc>
          <w:tcPr>
            <w:tcW w:w="1803" w:type="dxa"/>
            <w:noWrap/>
            <w:vAlign w:val="center"/>
            <w:hideMark/>
          </w:tcPr>
          <w:p w14:paraId="02155F61" w14:textId="3C0B4212" w:rsidR="00AB35B8" w:rsidRPr="007D095B" w:rsidRDefault="00AB35B8" w:rsidP="00A762F5">
            <w:pPr>
              <w:pStyle w:val="TableHeading0"/>
              <w:keepNext/>
              <w:jc w:val="center"/>
            </w:pPr>
            <w:r>
              <w:t>MZL (N=22), n (%)</w:t>
            </w:r>
          </w:p>
        </w:tc>
        <w:tc>
          <w:tcPr>
            <w:tcW w:w="1803" w:type="dxa"/>
            <w:noWrap/>
            <w:vAlign w:val="center"/>
            <w:hideMark/>
          </w:tcPr>
          <w:p w14:paraId="4719A119" w14:textId="4EF91BBF" w:rsidR="00AB35B8" w:rsidRPr="007D095B" w:rsidRDefault="00AB35B8" w:rsidP="00A762F5">
            <w:pPr>
              <w:pStyle w:val="TableHeading0"/>
              <w:keepNext/>
              <w:jc w:val="center"/>
            </w:pPr>
            <w:proofErr w:type="spellStart"/>
            <w:r>
              <w:t>iNHL</w:t>
            </w:r>
            <w:proofErr w:type="spellEnd"/>
            <w:r>
              <w:t xml:space="preserve"> (N=146), n (%)</w:t>
            </w:r>
          </w:p>
        </w:tc>
        <w:tc>
          <w:tcPr>
            <w:tcW w:w="1804" w:type="dxa"/>
            <w:vAlign w:val="center"/>
          </w:tcPr>
          <w:p w14:paraId="3D461A8F" w14:textId="41012D23" w:rsidR="00AB35B8" w:rsidRPr="007D095B" w:rsidRDefault="00AB35B8" w:rsidP="00A762F5">
            <w:pPr>
              <w:pStyle w:val="TableHeading0"/>
              <w:keepNext/>
              <w:jc w:val="center"/>
            </w:pPr>
            <w:r>
              <w:t>FL (N=124), n (%)</w:t>
            </w:r>
          </w:p>
        </w:tc>
      </w:tr>
      <w:tr w:rsidR="00B92DAF" w:rsidRPr="00031AFF" w14:paraId="09B5F154" w14:textId="77777777" w:rsidTr="132E0B0E">
        <w:trPr>
          <w:trHeight w:val="285"/>
        </w:trPr>
        <w:tc>
          <w:tcPr>
            <w:tcW w:w="1803" w:type="dxa"/>
            <w:noWrap/>
          </w:tcPr>
          <w:p w14:paraId="4E62C334" w14:textId="77777777" w:rsidR="00B92DAF" w:rsidRPr="00031AFF" w:rsidRDefault="00B92DAF" w:rsidP="00A762F5">
            <w:pPr>
              <w:pStyle w:val="TableText"/>
              <w:keepNext/>
              <w:keepLines/>
            </w:pPr>
            <w:r w:rsidRPr="00031AFF">
              <w:t xml:space="preserve">Any TE CRS </w:t>
            </w:r>
            <w:r w:rsidRPr="00031AFF">
              <w:rPr>
                <w:vertAlign w:val="superscript"/>
              </w:rPr>
              <w:t>a</w:t>
            </w:r>
          </w:p>
        </w:tc>
        <w:tc>
          <w:tcPr>
            <w:tcW w:w="1803" w:type="dxa"/>
            <w:noWrap/>
            <w:vAlign w:val="center"/>
          </w:tcPr>
          <w:p w14:paraId="3DE7840C" w14:textId="77777777" w:rsidR="00B92DAF" w:rsidRPr="00031AFF" w:rsidRDefault="00B92DAF" w:rsidP="00A762F5">
            <w:pPr>
              <w:pStyle w:val="TableText"/>
              <w:keepNext/>
              <w:keepLines/>
              <w:jc w:val="center"/>
            </w:pPr>
            <w:r w:rsidRPr="00031AFF">
              <w:t>97 (78%)</w:t>
            </w:r>
          </w:p>
        </w:tc>
        <w:tc>
          <w:tcPr>
            <w:tcW w:w="1803" w:type="dxa"/>
            <w:noWrap/>
            <w:vAlign w:val="center"/>
          </w:tcPr>
          <w:p w14:paraId="75C1983F" w14:textId="77777777" w:rsidR="00B92DAF" w:rsidRPr="007D095B" w:rsidRDefault="00B92DAF" w:rsidP="00A762F5">
            <w:pPr>
              <w:pStyle w:val="TableText"/>
              <w:keepNext/>
              <w:keepLines/>
              <w:jc w:val="center"/>
            </w:pPr>
            <w:r>
              <w:t>22 (100%)</w:t>
            </w:r>
          </w:p>
        </w:tc>
        <w:tc>
          <w:tcPr>
            <w:tcW w:w="1803" w:type="dxa"/>
            <w:noWrap/>
            <w:vAlign w:val="center"/>
          </w:tcPr>
          <w:p w14:paraId="1EFAAB90" w14:textId="77777777" w:rsidR="00B92DAF" w:rsidRPr="007D095B" w:rsidRDefault="00B92DAF" w:rsidP="00A762F5">
            <w:pPr>
              <w:pStyle w:val="TableText"/>
              <w:keepNext/>
              <w:keepLines/>
              <w:jc w:val="center"/>
            </w:pPr>
            <w:r>
              <w:t>119 (82%)</w:t>
            </w:r>
          </w:p>
        </w:tc>
        <w:tc>
          <w:tcPr>
            <w:tcW w:w="1804" w:type="dxa"/>
            <w:vAlign w:val="center"/>
          </w:tcPr>
          <w:p w14:paraId="119484C3" w14:textId="77777777" w:rsidR="00B92DAF" w:rsidRPr="007D095B" w:rsidRDefault="00B92DAF" w:rsidP="00A762F5">
            <w:pPr>
              <w:pStyle w:val="TableText"/>
              <w:keepNext/>
              <w:keepLines/>
              <w:jc w:val="center"/>
            </w:pPr>
            <w:r>
              <w:t>97 (78%)</w:t>
            </w:r>
          </w:p>
        </w:tc>
      </w:tr>
      <w:tr w:rsidR="00B92DAF" w:rsidRPr="00031AFF" w14:paraId="0C998D1D" w14:textId="77777777" w:rsidTr="132E0B0E">
        <w:trPr>
          <w:trHeight w:val="285"/>
        </w:trPr>
        <w:tc>
          <w:tcPr>
            <w:tcW w:w="1803" w:type="dxa"/>
            <w:noWrap/>
          </w:tcPr>
          <w:p w14:paraId="23F7D7BE" w14:textId="77777777" w:rsidR="00B92DAF" w:rsidRPr="00031AFF" w:rsidRDefault="00B92DAF" w:rsidP="00A762F5">
            <w:pPr>
              <w:pStyle w:val="TableText"/>
              <w:keepNext/>
              <w:keepLines/>
              <w:ind w:left="113"/>
            </w:pPr>
            <w:r w:rsidRPr="00031AFF">
              <w:t>Grade 5</w:t>
            </w:r>
          </w:p>
        </w:tc>
        <w:tc>
          <w:tcPr>
            <w:tcW w:w="1803" w:type="dxa"/>
            <w:noWrap/>
            <w:vAlign w:val="center"/>
          </w:tcPr>
          <w:p w14:paraId="761C5EA6" w14:textId="77777777" w:rsidR="00B92DAF" w:rsidRPr="00031AFF" w:rsidRDefault="00B92DAF" w:rsidP="00A762F5">
            <w:pPr>
              <w:pStyle w:val="TableText"/>
              <w:keepNext/>
              <w:keepLines/>
              <w:ind w:left="284"/>
              <w:jc w:val="center"/>
            </w:pPr>
            <w:r>
              <w:t>1 (1%)</w:t>
            </w:r>
          </w:p>
        </w:tc>
        <w:tc>
          <w:tcPr>
            <w:tcW w:w="1803" w:type="dxa"/>
            <w:noWrap/>
            <w:vAlign w:val="center"/>
          </w:tcPr>
          <w:p w14:paraId="39680336" w14:textId="77777777" w:rsidR="00B92DAF" w:rsidRPr="007D095B" w:rsidRDefault="00B92DAF" w:rsidP="00A762F5">
            <w:pPr>
              <w:pStyle w:val="TableText"/>
              <w:keepNext/>
              <w:keepLines/>
              <w:ind w:left="284"/>
              <w:jc w:val="center"/>
            </w:pPr>
            <w:r>
              <w:t>0 (0%)</w:t>
            </w:r>
          </w:p>
        </w:tc>
        <w:tc>
          <w:tcPr>
            <w:tcW w:w="1803" w:type="dxa"/>
            <w:noWrap/>
            <w:vAlign w:val="center"/>
          </w:tcPr>
          <w:p w14:paraId="665000A9" w14:textId="77777777" w:rsidR="00B92DAF" w:rsidRPr="007D095B" w:rsidRDefault="00B92DAF" w:rsidP="00A762F5">
            <w:pPr>
              <w:pStyle w:val="TableText"/>
              <w:keepNext/>
              <w:keepLines/>
              <w:ind w:left="284"/>
              <w:jc w:val="center"/>
            </w:pPr>
            <w:r>
              <w:t>1 (1%)</w:t>
            </w:r>
          </w:p>
        </w:tc>
        <w:tc>
          <w:tcPr>
            <w:tcW w:w="1804" w:type="dxa"/>
            <w:vAlign w:val="center"/>
          </w:tcPr>
          <w:p w14:paraId="26364FA1" w14:textId="77777777" w:rsidR="00B92DAF" w:rsidRPr="007D095B" w:rsidRDefault="00B92DAF" w:rsidP="00A762F5">
            <w:pPr>
              <w:pStyle w:val="TableText"/>
              <w:keepNext/>
              <w:keepLines/>
              <w:ind w:left="284"/>
              <w:jc w:val="center"/>
            </w:pPr>
            <w:r>
              <w:t>1 (1%)</w:t>
            </w:r>
          </w:p>
        </w:tc>
      </w:tr>
      <w:tr w:rsidR="00B92DAF" w:rsidRPr="00031AFF" w14:paraId="75052D1F" w14:textId="77777777" w:rsidTr="132E0B0E">
        <w:trPr>
          <w:trHeight w:val="285"/>
        </w:trPr>
        <w:tc>
          <w:tcPr>
            <w:tcW w:w="1803" w:type="dxa"/>
            <w:noWrap/>
          </w:tcPr>
          <w:p w14:paraId="79C738CB" w14:textId="77777777" w:rsidR="00B92DAF" w:rsidRPr="00031AFF" w:rsidRDefault="00B92DAF" w:rsidP="00A762F5">
            <w:pPr>
              <w:pStyle w:val="TableText"/>
              <w:keepNext/>
              <w:keepLines/>
              <w:ind w:left="113"/>
            </w:pPr>
            <w:r w:rsidRPr="00031AFF">
              <w:t>Grade ≥3</w:t>
            </w:r>
          </w:p>
        </w:tc>
        <w:tc>
          <w:tcPr>
            <w:tcW w:w="1803" w:type="dxa"/>
            <w:noWrap/>
            <w:vAlign w:val="center"/>
          </w:tcPr>
          <w:p w14:paraId="6ADACAD7" w14:textId="77777777" w:rsidR="00B92DAF" w:rsidRPr="00031AFF" w:rsidRDefault="00B92DAF" w:rsidP="00A762F5">
            <w:pPr>
              <w:pStyle w:val="TableText"/>
              <w:keepNext/>
              <w:keepLines/>
              <w:ind w:left="284"/>
              <w:jc w:val="center"/>
            </w:pPr>
            <w:r w:rsidRPr="00031AFF">
              <w:t>8 (6%)</w:t>
            </w:r>
          </w:p>
        </w:tc>
        <w:tc>
          <w:tcPr>
            <w:tcW w:w="1803" w:type="dxa"/>
            <w:noWrap/>
            <w:vAlign w:val="center"/>
          </w:tcPr>
          <w:p w14:paraId="66A48720" w14:textId="77777777" w:rsidR="00B92DAF" w:rsidRPr="007D095B" w:rsidRDefault="00B92DAF" w:rsidP="00A762F5">
            <w:pPr>
              <w:pStyle w:val="TableText"/>
              <w:keepNext/>
              <w:keepLines/>
              <w:ind w:left="284"/>
              <w:jc w:val="center"/>
            </w:pPr>
            <w:r>
              <w:t>2 (9%)</w:t>
            </w:r>
          </w:p>
        </w:tc>
        <w:tc>
          <w:tcPr>
            <w:tcW w:w="1803" w:type="dxa"/>
            <w:noWrap/>
            <w:vAlign w:val="center"/>
          </w:tcPr>
          <w:p w14:paraId="50E0BB8D" w14:textId="77777777" w:rsidR="00B92DAF" w:rsidRPr="007D095B" w:rsidRDefault="00B92DAF" w:rsidP="00A762F5">
            <w:pPr>
              <w:pStyle w:val="TableText"/>
              <w:keepNext/>
              <w:keepLines/>
              <w:ind w:left="284"/>
              <w:jc w:val="center"/>
            </w:pPr>
            <w:r>
              <w:t>10 (7%)</w:t>
            </w:r>
          </w:p>
        </w:tc>
        <w:tc>
          <w:tcPr>
            <w:tcW w:w="1804" w:type="dxa"/>
            <w:vAlign w:val="center"/>
          </w:tcPr>
          <w:p w14:paraId="588803C3" w14:textId="77777777" w:rsidR="00B92DAF" w:rsidRPr="007D095B" w:rsidRDefault="00B92DAF" w:rsidP="00A762F5">
            <w:pPr>
              <w:pStyle w:val="TableText"/>
              <w:keepNext/>
              <w:keepLines/>
              <w:ind w:left="284"/>
              <w:jc w:val="center"/>
            </w:pPr>
            <w:r>
              <w:t>8 (6%)</w:t>
            </w:r>
          </w:p>
        </w:tc>
      </w:tr>
      <w:tr w:rsidR="00B92DAF" w:rsidRPr="00031AFF" w14:paraId="38520158" w14:textId="77777777" w:rsidTr="132E0B0E">
        <w:trPr>
          <w:trHeight w:val="285"/>
        </w:trPr>
        <w:tc>
          <w:tcPr>
            <w:tcW w:w="1803" w:type="dxa"/>
            <w:noWrap/>
          </w:tcPr>
          <w:p w14:paraId="62A103EF" w14:textId="77777777" w:rsidR="00B92DAF" w:rsidRPr="00031AFF" w:rsidRDefault="00B92DAF" w:rsidP="00A762F5">
            <w:pPr>
              <w:pStyle w:val="TableText"/>
              <w:keepNext/>
              <w:keepLines/>
            </w:pPr>
            <w:r w:rsidRPr="00031AFF">
              <w:t>Any TE neurological event</w:t>
            </w:r>
          </w:p>
        </w:tc>
        <w:tc>
          <w:tcPr>
            <w:tcW w:w="1803" w:type="dxa"/>
            <w:noWrap/>
            <w:vAlign w:val="center"/>
          </w:tcPr>
          <w:p w14:paraId="5620C376" w14:textId="77777777" w:rsidR="00B92DAF" w:rsidRPr="00031AFF" w:rsidRDefault="00B92DAF" w:rsidP="00A762F5">
            <w:pPr>
              <w:pStyle w:val="TableText"/>
              <w:keepNext/>
              <w:keepLines/>
              <w:jc w:val="center"/>
            </w:pPr>
            <w:r w:rsidRPr="00031AFF">
              <w:t>70 (56%)</w:t>
            </w:r>
          </w:p>
        </w:tc>
        <w:tc>
          <w:tcPr>
            <w:tcW w:w="1803" w:type="dxa"/>
            <w:noWrap/>
            <w:vAlign w:val="center"/>
          </w:tcPr>
          <w:p w14:paraId="41F76553" w14:textId="77777777" w:rsidR="00B92DAF" w:rsidRPr="007D095B" w:rsidRDefault="00B92DAF" w:rsidP="00A762F5">
            <w:pPr>
              <w:pStyle w:val="TableText"/>
              <w:keepNext/>
              <w:keepLines/>
              <w:jc w:val="center"/>
            </w:pPr>
            <w:r>
              <w:t>17 (77%)</w:t>
            </w:r>
          </w:p>
        </w:tc>
        <w:tc>
          <w:tcPr>
            <w:tcW w:w="1803" w:type="dxa"/>
            <w:noWrap/>
            <w:vAlign w:val="center"/>
          </w:tcPr>
          <w:p w14:paraId="4AF70ABA" w14:textId="77777777" w:rsidR="00B92DAF" w:rsidRPr="007D095B" w:rsidRDefault="00B92DAF" w:rsidP="00A762F5">
            <w:pPr>
              <w:pStyle w:val="TableText"/>
              <w:keepNext/>
              <w:keepLines/>
              <w:jc w:val="center"/>
            </w:pPr>
            <w:r>
              <w:t>87 (60%)</w:t>
            </w:r>
          </w:p>
        </w:tc>
        <w:tc>
          <w:tcPr>
            <w:tcW w:w="1804" w:type="dxa"/>
            <w:vAlign w:val="center"/>
          </w:tcPr>
          <w:p w14:paraId="026358CA" w14:textId="77777777" w:rsidR="00B92DAF" w:rsidRPr="007D095B" w:rsidRDefault="00B92DAF" w:rsidP="00A762F5">
            <w:pPr>
              <w:pStyle w:val="TableText"/>
              <w:keepNext/>
              <w:keepLines/>
              <w:jc w:val="center"/>
            </w:pPr>
            <w:r>
              <w:t>70 (56%)</w:t>
            </w:r>
          </w:p>
        </w:tc>
      </w:tr>
      <w:tr w:rsidR="00B92DAF" w:rsidRPr="00031AFF" w14:paraId="6A89B5FD" w14:textId="77777777" w:rsidTr="132E0B0E">
        <w:trPr>
          <w:trHeight w:val="285"/>
        </w:trPr>
        <w:tc>
          <w:tcPr>
            <w:tcW w:w="1803" w:type="dxa"/>
            <w:noWrap/>
          </w:tcPr>
          <w:p w14:paraId="3D0A5D25" w14:textId="77777777" w:rsidR="00B92DAF" w:rsidRPr="00031AFF" w:rsidRDefault="00B92DAF" w:rsidP="00A762F5">
            <w:pPr>
              <w:pStyle w:val="TableText"/>
              <w:keepNext/>
              <w:keepLines/>
              <w:ind w:left="113"/>
            </w:pPr>
            <w:r w:rsidRPr="00031AFF">
              <w:t>Grade 5</w:t>
            </w:r>
          </w:p>
        </w:tc>
        <w:tc>
          <w:tcPr>
            <w:tcW w:w="1803" w:type="dxa"/>
            <w:noWrap/>
            <w:vAlign w:val="center"/>
          </w:tcPr>
          <w:p w14:paraId="51A42C8E" w14:textId="77777777" w:rsidR="00B92DAF" w:rsidRPr="00031AFF" w:rsidRDefault="00B92DAF" w:rsidP="00A762F5">
            <w:pPr>
              <w:pStyle w:val="TableText"/>
              <w:keepNext/>
              <w:keepLines/>
              <w:ind w:left="284"/>
              <w:jc w:val="center"/>
            </w:pPr>
            <w:r>
              <w:t>0 (0%)</w:t>
            </w:r>
          </w:p>
        </w:tc>
        <w:tc>
          <w:tcPr>
            <w:tcW w:w="1803" w:type="dxa"/>
            <w:noWrap/>
            <w:vAlign w:val="center"/>
          </w:tcPr>
          <w:p w14:paraId="224E34CE" w14:textId="77777777" w:rsidR="00B92DAF" w:rsidRPr="007D095B" w:rsidRDefault="00B92DAF" w:rsidP="00A762F5">
            <w:pPr>
              <w:pStyle w:val="TableText"/>
              <w:keepNext/>
              <w:keepLines/>
              <w:ind w:left="284"/>
              <w:jc w:val="center"/>
            </w:pPr>
            <w:r>
              <w:t>0 (0%)</w:t>
            </w:r>
          </w:p>
        </w:tc>
        <w:tc>
          <w:tcPr>
            <w:tcW w:w="1803" w:type="dxa"/>
            <w:noWrap/>
            <w:vAlign w:val="center"/>
          </w:tcPr>
          <w:p w14:paraId="2D4C87EC" w14:textId="77777777" w:rsidR="00B92DAF" w:rsidRPr="007D095B" w:rsidRDefault="00B92DAF" w:rsidP="00A762F5">
            <w:pPr>
              <w:pStyle w:val="TableText"/>
              <w:keepNext/>
              <w:keepLines/>
              <w:ind w:left="284"/>
              <w:jc w:val="center"/>
            </w:pPr>
            <w:r>
              <w:t>0 (0%)</w:t>
            </w:r>
          </w:p>
        </w:tc>
        <w:tc>
          <w:tcPr>
            <w:tcW w:w="1804" w:type="dxa"/>
            <w:vAlign w:val="center"/>
          </w:tcPr>
          <w:p w14:paraId="6C072E57" w14:textId="77777777" w:rsidR="00B92DAF" w:rsidRPr="007D095B" w:rsidRDefault="00B92DAF" w:rsidP="00A762F5">
            <w:pPr>
              <w:pStyle w:val="TableText"/>
              <w:keepNext/>
              <w:keepLines/>
              <w:ind w:left="284"/>
              <w:jc w:val="center"/>
            </w:pPr>
            <w:r>
              <w:t>0 (0%)</w:t>
            </w:r>
          </w:p>
        </w:tc>
      </w:tr>
      <w:tr w:rsidR="00B92DAF" w:rsidRPr="00031AFF" w14:paraId="1E0B9F4E" w14:textId="77777777" w:rsidTr="132E0B0E">
        <w:trPr>
          <w:trHeight w:val="285"/>
        </w:trPr>
        <w:tc>
          <w:tcPr>
            <w:tcW w:w="1803" w:type="dxa"/>
            <w:noWrap/>
          </w:tcPr>
          <w:p w14:paraId="4017AAD0" w14:textId="77777777" w:rsidR="00B92DAF" w:rsidRPr="00031AFF" w:rsidRDefault="00B92DAF" w:rsidP="00A762F5">
            <w:pPr>
              <w:pStyle w:val="TableText"/>
              <w:keepNext/>
              <w:keepLines/>
              <w:ind w:left="113"/>
            </w:pPr>
            <w:r w:rsidRPr="00031AFF">
              <w:t>Grade ≥3</w:t>
            </w:r>
          </w:p>
        </w:tc>
        <w:tc>
          <w:tcPr>
            <w:tcW w:w="1803" w:type="dxa"/>
            <w:noWrap/>
            <w:vAlign w:val="center"/>
          </w:tcPr>
          <w:p w14:paraId="6700C9B9" w14:textId="77777777" w:rsidR="00B92DAF" w:rsidRPr="00031AFF" w:rsidRDefault="00B92DAF" w:rsidP="00A762F5">
            <w:pPr>
              <w:pStyle w:val="TableText"/>
              <w:keepNext/>
              <w:keepLines/>
              <w:ind w:left="284"/>
              <w:jc w:val="center"/>
            </w:pPr>
            <w:r w:rsidRPr="00031AFF">
              <w:t>19 (15%)</w:t>
            </w:r>
          </w:p>
        </w:tc>
        <w:tc>
          <w:tcPr>
            <w:tcW w:w="1803" w:type="dxa"/>
            <w:noWrap/>
            <w:vAlign w:val="center"/>
          </w:tcPr>
          <w:p w14:paraId="2447A815" w14:textId="77777777" w:rsidR="00B92DAF" w:rsidRPr="007D095B" w:rsidRDefault="00B92DAF" w:rsidP="00A762F5">
            <w:pPr>
              <w:pStyle w:val="TableText"/>
              <w:keepNext/>
              <w:keepLines/>
              <w:ind w:left="284"/>
              <w:jc w:val="center"/>
            </w:pPr>
            <w:r>
              <w:t>9 (41%)</w:t>
            </w:r>
          </w:p>
        </w:tc>
        <w:tc>
          <w:tcPr>
            <w:tcW w:w="1803" w:type="dxa"/>
            <w:noWrap/>
            <w:vAlign w:val="center"/>
          </w:tcPr>
          <w:p w14:paraId="6C07FA5A" w14:textId="77777777" w:rsidR="00B92DAF" w:rsidRPr="007D095B" w:rsidRDefault="00B92DAF" w:rsidP="00A762F5">
            <w:pPr>
              <w:pStyle w:val="TableText"/>
              <w:keepNext/>
              <w:keepLines/>
              <w:ind w:left="284"/>
              <w:jc w:val="center"/>
            </w:pPr>
            <w:r>
              <w:t>28 (19%)</w:t>
            </w:r>
          </w:p>
        </w:tc>
        <w:tc>
          <w:tcPr>
            <w:tcW w:w="1804" w:type="dxa"/>
            <w:vAlign w:val="center"/>
          </w:tcPr>
          <w:p w14:paraId="091C4EE7" w14:textId="77777777" w:rsidR="00B92DAF" w:rsidRPr="007D095B" w:rsidRDefault="00B92DAF" w:rsidP="00A762F5">
            <w:pPr>
              <w:pStyle w:val="TableText"/>
              <w:keepNext/>
              <w:keepLines/>
              <w:ind w:left="284"/>
              <w:jc w:val="center"/>
            </w:pPr>
            <w:r>
              <w:t>19 (15%)</w:t>
            </w:r>
          </w:p>
        </w:tc>
      </w:tr>
      <w:tr w:rsidR="00B92DAF" w:rsidRPr="00031AFF" w14:paraId="19B0606E" w14:textId="77777777" w:rsidTr="132E0B0E">
        <w:trPr>
          <w:trHeight w:val="285"/>
        </w:trPr>
        <w:tc>
          <w:tcPr>
            <w:tcW w:w="1803" w:type="dxa"/>
            <w:noWrap/>
          </w:tcPr>
          <w:p w14:paraId="3EEB2D55" w14:textId="77777777" w:rsidR="00B92DAF" w:rsidRPr="00031AFF" w:rsidRDefault="00B92DAF" w:rsidP="00A762F5">
            <w:pPr>
              <w:pStyle w:val="TableText"/>
              <w:keepNext/>
              <w:keepLines/>
            </w:pPr>
            <w:r w:rsidRPr="00031AFF">
              <w:t>Any TE cytopenia</w:t>
            </w:r>
          </w:p>
        </w:tc>
        <w:tc>
          <w:tcPr>
            <w:tcW w:w="1803" w:type="dxa"/>
            <w:noWrap/>
            <w:vAlign w:val="center"/>
          </w:tcPr>
          <w:p w14:paraId="5F36DFFB" w14:textId="77777777" w:rsidR="00B92DAF" w:rsidRPr="007D095B" w:rsidRDefault="00B92DAF" w:rsidP="00A762F5">
            <w:pPr>
              <w:pStyle w:val="TableText"/>
              <w:keepNext/>
              <w:keepLines/>
              <w:jc w:val="center"/>
            </w:pPr>
            <w:r>
              <w:t>91 (73%)</w:t>
            </w:r>
          </w:p>
        </w:tc>
        <w:tc>
          <w:tcPr>
            <w:tcW w:w="1803" w:type="dxa"/>
            <w:noWrap/>
            <w:vAlign w:val="center"/>
          </w:tcPr>
          <w:p w14:paraId="573B92AC" w14:textId="77777777" w:rsidR="00B92DAF" w:rsidRPr="007D095B" w:rsidRDefault="00B92DAF" w:rsidP="00A762F5">
            <w:pPr>
              <w:pStyle w:val="TableText"/>
              <w:keepNext/>
              <w:keepLines/>
              <w:jc w:val="center"/>
            </w:pPr>
            <w:r>
              <w:t>18 (82%)</w:t>
            </w:r>
          </w:p>
        </w:tc>
        <w:tc>
          <w:tcPr>
            <w:tcW w:w="1803" w:type="dxa"/>
            <w:noWrap/>
            <w:vAlign w:val="center"/>
          </w:tcPr>
          <w:p w14:paraId="2376BF4E" w14:textId="77777777" w:rsidR="00B92DAF" w:rsidRPr="007D095B" w:rsidRDefault="00B92DAF" w:rsidP="00A762F5">
            <w:pPr>
              <w:pStyle w:val="TableText"/>
              <w:keepNext/>
              <w:keepLines/>
              <w:jc w:val="center"/>
            </w:pPr>
            <w:r>
              <w:t>109 (75%)</w:t>
            </w:r>
          </w:p>
        </w:tc>
        <w:tc>
          <w:tcPr>
            <w:tcW w:w="1804" w:type="dxa"/>
            <w:vAlign w:val="center"/>
          </w:tcPr>
          <w:p w14:paraId="1D95DF9E" w14:textId="77777777" w:rsidR="00B92DAF" w:rsidRPr="007D095B" w:rsidRDefault="00B92DAF" w:rsidP="00A762F5">
            <w:pPr>
              <w:pStyle w:val="TableText"/>
              <w:keepNext/>
              <w:keepLines/>
              <w:jc w:val="center"/>
            </w:pPr>
            <w:r>
              <w:t>91 (73%)</w:t>
            </w:r>
          </w:p>
        </w:tc>
      </w:tr>
      <w:tr w:rsidR="00B92DAF" w:rsidRPr="00031AFF" w14:paraId="44D84204" w14:textId="77777777" w:rsidTr="132E0B0E">
        <w:trPr>
          <w:trHeight w:val="285"/>
        </w:trPr>
        <w:tc>
          <w:tcPr>
            <w:tcW w:w="1803" w:type="dxa"/>
            <w:noWrap/>
          </w:tcPr>
          <w:p w14:paraId="1E702000" w14:textId="77777777" w:rsidR="00B92DAF" w:rsidRPr="00031AFF" w:rsidRDefault="00B92DAF" w:rsidP="00A762F5">
            <w:pPr>
              <w:pStyle w:val="TableText"/>
              <w:keepNext/>
              <w:keepLines/>
              <w:ind w:left="113"/>
            </w:pPr>
            <w:r w:rsidRPr="00031AFF">
              <w:t>Grade 5</w:t>
            </w:r>
          </w:p>
        </w:tc>
        <w:tc>
          <w:tcPr>
            <w:tcW w:w="1803" w:type="dxa"/>
            <w:noWrap/>
            <w:vAlign w:val="center"/>
          </w:tcPr>
          <w:p w14:paraId="4E8850C7" w14:textId="77777777" w:rsidR="00B92DAF" w:rsidRPr="007D095B" w:rsidRDefault="00B92DAF" w:rsidP="00A762F5">
            <w:pPr>
              <w:pStyle w:val="TableText"/>
              <w:keepNext/>
              <w:keepLines/>
              <w:ind w:left="284"/>
              <w:jc w:val="center"/>
            </w:pPr>
            <w:r>
              <w:t>NR</w:t>
            </w:r>
          </w:p>
        </w:tc>
        <w:tc>
          <w:tcPr>
            <w:tcW w:w="1803" w:type="dxa"/>
            <w:noWrap/>
            <w:vAlign w:val="center"/>
          </w:tcPr>
          <w:p w14:paraId="5E8FC5A5" w14:textId="77777777" w:rsidR="00B92DAF" w:rsidRPr="007D095B" w:rsidRDefault="00B92DAF" w:rsidP="00A762F5">
            <w:pPr>
              <w:pStyle w:val="TableText"/>
              <w:keepNext/>
              <w:keepLines/>
              <w:ind w:left="284"/>
              <w:jc w:val="center"/>
            </w:pPr>
            <w:r>
              <w:t>NR</w:t>
            </w:r>
          </w:p>
        </w:tc>
        <w:tc>
          <w:tcPr>
            <w:tcW w:w="1803" w:type="dxa"/>
            <w:noWrap/>
            <w:vAlign w:val="center"/>
          </w:tcPr>
          <w:p w14:paraId="4C9E4599" w14:textId="77777777" w:rsidR="00B92DAF" w:rsidRPr="007D095B" w:rsidRDefault="00B92DAF" w:rsidP="00A762F5">
            <w:pPr>
              <w:pStyle w:val="TableText"/>
              <w:keepNext/>
              <w:keepLines/>
              <w:ind w:left="284"/>
              <w:jc w:val="center"/>
            </w:pPr>
            <w:r>
              <w:t>NR</w:t>
            </w:r>
          </w:p>
        </w:tc>
        <w:tc>
          <w:tcPr>
            <w:tcW w:w="1804" w:type="dxa"/>
            <w:vAlign w:val="center"/>
          </w:tcPr>
          <w:p w14:paraId="6EE0E5AE" w14:textId="77777777" w:rsidR="00B92DAF" w:rsidRPr="007D095B" w:rsidRDefault="00B92DAF" w:rsidP="00A762F5">
            <w:pPr>
              <w:pStyle w:val="TableText"/>
              <w:keepNext/>
              <w:keepLines/>
              <w:ind w:left="284"/>
              <w:jc w:val="center"/>
            </w:pPr>
            <w:r>
              <w:t>NR</w:t>
            </w:r>
          </w:p>
        </w:tc>
      </w:tr>
      <w:tr w:rsidR="00B92DAF" w:rsidRPr="00031AFF" w14:paraId="05681491" w14:textId="77777777" w:rsidTr="132E0B0E">
        <w:trPr>
          <w:trHeight w:val="285"/>
        </w:trPr>
        <w:tc>
          <w:tcPr>
            <w:tcW w:w="1803" w:type="dxa"/>
            <w:noWrap/>
          </w:tcPr>
          <w:p w14:paraId="37696C65" w14:textId="77777777" w:rsidR="00B92DAF" w:rsidRPr="00031AFF" w:rsidRDefault="00B92DAF" w:rsidP="00A762F5">
            <w:pPr>
              <w:pStyle w:val="TableText"/>
              <w:keepNext/>
              <w:keepLines/>
              <w:ind w:left="113"/>
            </w:pPr>
            <w:r w:rsidRPr="00031AFF">
              <w:t>Grade ≥3</w:t>
            </w:r>
          </w:p>
        </w:tc>
        <w:tc>
          <w:tcPr>
            <w:tcW w:w="1803" w:type="dxa"/>
            <w:noWrap/>
            <w:vAlign w:val="center"/>
          </w:tcPr>
          <w:p w14:paraId="62702978" w14:textId="77777777" w:rsidR="00B92DAF" w:rsidRPr="007D095B" w:rsidRDefault="00B92DAF" w:rsidP="00A762F5">
            <w:pPr>
              <w:pStyle w:val="TableText"/>
              <w:keepNext/>
              <w:keepLines/>
              <w:ind w:left="284"/>
              <w:jc w:val="center"/>
            </w:pPr>
            <w:r>
              <w:t>86 (69%)</w:t>
            </w:r>
          </w:p>
        </w:tc>
        <w:tc>
          <w:tcPr>
            <w:tcW w:w="1803" w:type="dxa"/>
            <w:noWrap/>
            <w:vAlign w:val="center"/>
          </w:tcPr>
          <w:p w14:paraId="03F3C514" w14:textId="77777777" w:rsidR="00B92DAF" w:rsidRPr="007D095B" w:rsidRDefault="00B92DAF" w:rsidP="00A762F5">
            <w:pPr>
              <w:pStyle w:val="TableText"/>
              <w:keepNext/>
              <w:keepLines/>
              <w:ind w:left="284"/>
              <w:jc w:val="center"/>
            </w:pPr>
            <w:r>
              <w:t>16 (73%)</w:t>
            </w:r>
          </w:p>
        </w:tc>
        <w:tc>
          <w:tcPr>
            <w:tcW w:w="1803" w:type="dxa"/>
            <w:noWrap/>
            <w:vAlign w:val="center"/>
          </w:tcPr>
          <w:p w14:paraId="39DC33A2" w14:textId="77777777" w:rsidR="00B92DAF" w:rsidRPr="007D095B" w:rsidRDefault="00B92DAF" w:rsidP="00A762F5">
            <w:pPr>
              <w:pStyle w:val="TableText"/>
              <w:keepNext/>
              <w:keepLines/>
              <w:ind w:left="284"/>
              <w:jc w:val="center"/>
            </w:pPr>
            <w:r>
              <w:t>102 (70%)</w:t>
            </w:r>
          </w:p>
        </w:tc>
        <w:tc>
          <w:tcPr>
            <w:tcW w:w="1804" w:type="dxa"/>
            <w:vAlign w:val="center"/>
          </w:tcPr>
          <w:p w14:paraId="4FB59D80" w14:textId="77777777" w:rsidR="00B92DAF" w:rsidRPr="007D095B" w:rsidRDefault="00B92DAF" w:rsidP="00A762F5">
            <w:pPr>
              <w:pStyle w:val="TableText"/>
              <w:keepNext/>
              <w:keepLines/>
              <w:ind w:left="284"/>
              <w:jc w:val="center"/>
            </w:pPr>
            <w:r>
              <w:t>86 (69%)</w:t>
            </w:r>
          </w:p>
        </w:tc>
      </w:tr>
      <w:tr w:rsidR="00B92DAF" w:rsidRPr="00031AFF" w14:paraId="43C2B062" w14:textId="77777777" w:rsidTr="132E0B0E">
        <w:trPr>
          <w:trHeight w:val="285"/>
        </w:trPr>
        <w:tc>
          <w:tcPr>
            <w:tcW w:w="1803" w:type="dxa"/>
            <w:noWrap/>
          </w:tcPr>
          <w:p w14:paraId="04E9A2B8" w14:textId="77777777" w:rsidR="00B92DAF" w:rsidRPr="00031AFF" w:rsidRDefault="00B92DAF" w:rsidP="00A762F5">
            <w:pPr>
              <w:pStyle w:val="TableText"/>
              <w:keepNext/>
              <w:keepLines/>
            </w:pPr>
            <w:r w:rsidRPr="00031AFF">
              <w:t>Any TE infection</w:t>
            </w:r>
          </w:p>
        </w:tc>
        <w:tc>
          <w:tcPr>
            <w:tcW w:w="1803" w:type="dxa"/>
            <w:noWrap/>
            <w:vAlign w:val="center"/>
          </w:tcPr>
          <w:p w14:paraId="12142E7C" w14:textId="77777777" w:rsidR="00B92DAF" w:rsidRPr="007D095B" w:rsidRDefault="00B92DAF" w:rsidP="00A762F5">
            <w:pPr>
              <w:pStyle w:val="TableText"/>
              <w:keepNext/>
              <w:keepLines/>
              <w:jc w:val="center"/>
            </w:pPr>
            <w:r>
              <w:t>65 (52%)</w:t>
            </w:r>
          </w:p>
        </w:tc>
        <w:tc>
          <w:tcPr>
            <w:tcW w:w="1803" w:type="dxa"/>
            <w:noWrap/>
            <w:vAlign w:val="center"/>
          </w:tcPr>
          <w:p w14:paraId="2B480305" w14:textId="77777777" w:rsidR="00B92DAF" w:rsidRPr="007D095B" w:rsidRDefault="00B92DAF" w:rsidP="00A762F5">
            <w:pPr>
              <w:pStyle w:val="TableText"/>
              <w:keepNext/>
              <w:keepLines/>
              <w:jc w:val="center"/>
            </w:pPr>
            <w:r>
              <w:t>13 (59%)</w:t>
            </w:r>
          </w:p>
        </w:tc>
        <w:tc>
          <w:tcPr>
            <w:tcW w:w="1803" w:type="dxa"/>
            <w:noWrap/>
            <w:vAlign w:val="center"/>
          </w:tcPr>
          <w:p w14:paraId="04A8A499" w14:textId="77777777" w:rsidR="00B92DAF" w:rsidRPr="007D095B" w:rsidRDefault="00B92DAF" w:rsidP="00A762F5">
            <w:pPr>
              <w:pStyle w:val="TableText"/>
              <w:keepNext/>
              <w:keepLines/>
              <w:jc w:val="center"/>
            </w:pPr>
            <w:r>
              <w:t>78 (53%)</w:t>
            </w:r>
          </w:p>
        </w:tc>
        <w:tc>
          <w:tcPr>
            <w:tcW w:w="1804" w:type="dxa"/>
            <w:vAlign w:val="center"/>
          </w:tcPr>
          <w:p w14:paraId="54BF2386" w14:textId="77777777" w:rsidR="00B92DAF" w:rsidRPr="007D095B" w:rsidRDefault="00B92DAF" w:rsidP="00A762F5">
            <w:pPr>
              <w:pStyle w:val="TableText"/>
              <w:keepNext/>
              <w:keepLines/>
              <w:jc w:val="center"/>
            </w:pPr>
            <w:r>
              <w:t>69 (56%)</w:t>
            </w:r>
          </w:p>
        </w:tc>
      </w:tr>
      <w:tr w:rsidR="00B92DAF" w:rsidRPr="00031AFF" w14:paraId="212B18B5" w14:textId="77777777" w:rsidTr="132E0B0E">
        <w:trPr>
          <w:trHeight w:val="285"/>
        </w:trPr>
        <w:tc>
          <w:tcPr>
            <w:tcW w:w="1803" w:type="dxa"/>
            <w:noWrap/>
          </w:tcPr>
          <w:p w14:paraId="1EF57E3D" w14:textId="77777777" w:rsidR="00B92DAF" w:rsidRPr="00031AFF" w:rsidRDefault="00B92DAF" w:rsidP="00A762F5">
            <w:pPr>
              <w:pStyle w:val="TableText"/>
              <w:keepNext/>
              <w:keepLines/>
              <w:ind w:left="113"/>
            </w:pPr>
            <w:r w:rsidRPr="00031AFF">
              <w:t>Grade 5</w:t>
            </w:r>
          </w:p>
        </w:tc>
        <w:tc>
          <w:tcPr>
            <w:tcW w:w="1803" w:type="dxa"/>
            <w:noWrap/>
            <w:vAlign w:val="center"/>
          </w:tcPr>
          <w:p w14:paraId="4AF8AD72" w14:textId="77777777" w:rsidR="00B92DAF" w:rsidRPr="007D095B" w:rsidRDefault="00B92DAF" w:rsidP="00A762F5">
            <w:pPr>
              <w:pStyle w:val="TableText"/>
              <w:keepNext/>
              <w:keepLines/>
              <w:ind w:left="284"/>
              <w:jc w:val="center"/>
            </w:pPr>
            <w:r>
              <w:t>0 (0%)</w:t>
            </w:r>
          </w:p>
        </w:tc>
        <w:tc>
          <w:tcPr>
            <w:tcW w:w="1803" w:type="dxa"/>
            <w:noWrap/>
            <w:vAlign w:val="center"/>
          </w:tcPr>
          <w:p w14:paraId="4122CC99" w14:textId="77777777" w:rsidR="00B92DAF" w:rsidRPr="007D095B" w:rsidRDefault="00B92DAF" w:rsidP="00A762F5">
            <w:pPr>
              <w:pStyle w:val="TableText"/>
              <w:keepNext/>
              <w:keepLines/>
              <w:ind w:left="284"/>
              <w:jc w:val="center"/>
            </w:pPr>
            <w:r>
              <w:t>1 (5%)</w:t>
            </w:r>
          </w:p>
        </w:tc>
        <w:tc>
          <w:tcPr>
            <w:tcW w:w="1803" w:type="dxa"/>
            <w:noWrap/>
            <w:vAlign w:val="center"/>
          </w:tcPr>
          <w:p w14:paraId="6F0FEFC8" w14:textId="77777777" w:rsidR="00B92DAF" w:rsidRPr="007D095B" w:rsidRDefault="00B92DAF" w:rsidP="00A762F5">
            <w:pPr>
              <w:pStyle w:val="TableText"/>
              <w:keepNext/>
              <w:keepLines/>
              <w:ind w:left="284"/>
              <w:jc w:val="center"/>
            </w:pPr>
            <w:r>
              <w:t>1 (1%)</w:t>
            </w:r>
          </w:p>
        </w:tc>
        <w:tc>
          <w:tcPr>
            <w:tcW w:w="1804" w:type="dxa"/>
            <w:vAlign w:val="center"/>
          </w:tcPr>
          <w:p w14:paraId="516EC291" w14:textId="77777777" w:rsidR="00B92DAF" w:rsidRPr="007D095B" w:rsidRDefault="00B92DAF" w:rsidP="00A762F5">
            <w:pPr>
              <w:pStyle w:val="TableText"/>
              <w:keepNext/>
              <w:keepLines/>
              <w:ind w:left="284"/>
              <w:jc w:val="center"/>
            </w:pPr>
            <w:r>
              <w:t>3 (2%)</w:t>
            </w:r>
          </w:p>
        </w:tc>
      </w:tr>
      <w:tr w:rsidR="00B92DAF" w:rsidRPr="00031AFF" w14:paraId="026CC84C" w14:textId="77777777" w:rsidTr="132E0B0E">
        <w:trPr>
          <w:trHeight w:val="285"/>
        </w:trPr>
        <w:tc>
          <w:tcPr>
            <w:tcW w:w="1803" w:type="dxa"/>
            <w:noWrap/>
          </w:tcPr>
          <w:p w14:paraId="0D5F9E0A" w14:textId="77777777" w:rsidR="00B92DAF" w:rsidRPr="00031AFF" w:rsidRDefault="00B92DAF" w:rsidP="00A762F5">
            <w:pPr>
              <w:pStyle w:val="TableText"/>
              <w:keepNext/>
              <w:keepLines/>
              <w:ind w:left="113"/>
            </w:pPr>
            <w:r w:rsidRPr="00031AFF">
              <w:t>Grade ≥3</w:t>
            </w:r>
          </w:p>
        </w:tc>
        <w:tc>
          <w:tcPr>
            <w:tcW w:w="1803" w:type="dxa"/>
            <w:noWrap/>
            <w:vAlign w:val="center"/>
          </w:tcPr>
          <w:p w14:paraId="283EA7A5" w14:textId="77777777" w:rsidR="00B92DAF" w:rsidRPr="007D095B" w:rsidRDefault="00B92DAF" w:rsidP="00A762F5">
            <w:pPr>
              <w:pStyle w:val="TableText"/>
              <w:keepNext/>
              <w:keepLines/>
              <w:ind w:left="284"/>
              <w:jc w:val="center"/>
            </w:pPr>
            <w:r>
              <w:t>18 (15%)</w:t>
            </w:r>
          </w:p>
        </w:tc>
        <w:tc>
          <w:tcPr>
            <w:tcW w:w="1803" w:type="dxa"/>
            <w:noWrap/>
            <w:vAlign w:val="center"/>
          </w:tcPr>
          <w:p w14:paraId="06B23FC2" w14:textId="77777777" w:rsidR="00B92DAF" w:rsidRPr="007D095B" w:rsidRDefault="00B92DAF" w:rsidP="00A762F5">
            <w:pPr>
              <w:pStyle w:val="TableText"/>
              <w:keepNext/>
              <w:keepLines/>
              <w:ind w:left="284"/>
              <w:jc w:val="center"/>
            </w:pPr>
            <w:r>
              <w:t>5 (23%)</w:t>
            </w:r>
          </w:p>
        </w:tc>
        <w:tc>
          <w:tcPr>
            <w:tcW w:w="1803" w:type="dxa"/>
            <w:noWrap/>
            <w:vAlign w:val="center"/>
          </w:tcPr>
          <w:p w14:paraId="7F44AEA5" w14:textId="77777777" w:rsidR="00B92DAF" w:rsidRPr="007D095B" w:rsidRDefault="00B92DAF" w:rsidP="00A762F5">
            <w:pPr>
              <w:pStyle w:val="TableText"/>
              <w:keepNext/>
              <w:keepLines/>
              <w:ind w:left="284"/>
              <w:jc w:val="center"/>
            </w:pPr>
            <w:r>
              <w:t>23 (16%)</w:t>
            </w:r>
          </w:p>
        </w:tc>
        <w:tc>
          <w:tcPr>
            <w:tcW w:w="1804" w:type="dxa"/>
            <w:vAlign w:val="center"/>
          </w:tcPr>
          <w:p w14:paraId="08ECE07D" w14:textId="77777777" w:rsidR="00B92DAF" w:rsidRPr="007D095B" w:rsidRDefault="00B92DAF" w:rsidP="00A762F5">
            <w:pPr>
              <w:pStyle w:val="TableText"/>
              <w:keepNext/>
              <w:keepLines/>
              <w:ind w:left="284"/>
              <w:jc w:val="center"/>
            </w:pPr>
            <w:r>
              <w:t>24 (19%)</w:t>
            </w:r>
          </w:p>
        </w:tc>
      </w:tr>
      <w:tr w:rsidR="00B92DAF" w:rsidRPr="00031AFF" w14:paraId="442616D5" w14:textId="77777777" w:rsidTr="132E0B0E">
        <w:trPr>
          <w:trHeight w:val="285"/>
        </w:trPr>
        <w:tc>
          <w:tcPr>
            <w:tcW w:w="1803" w:type="dxa"/>
            <w:noWrap/>
          </w:tcPr>
          <w:p w14:paraId="224CB785" w14:textId="77777777" w:rsidR="00B92DAF" w:rsidRPr="00031AFF" w:rsidRDefault="00B92DAF" w:rsidP="00A762F5">
            <w:pPr>
              <w:pStyle w:val="TableText"/>
              <w:keepNext/>
              <w:keepLines/>
            </w:pPr>
            <w:r w:rsidRPr="00031AFF">
              <w:t>Any TE hypogammaglobulinemia</w:t>
            </w:r>
          </w:p>
        </w:tc>
        <w:tc>
          <w:tcPr>
            <w:tcW w:w="1803" w:type="dxa"/>
            <w:noWrap/>
            <w:vAlign w:val="center"/>
          </w:tcPr>
          <w:p w14:paraId="74292DBA" w14:textId="77777777" w:rsidR="00B92DAF" w:rsidRPr="007D095B" w:rsidRDefault="00B92DAF" w:rsidP="00A762F5">
            <w:pPr>
              <w:pStyle w:val="TableText"/>
              <w:keepNext/>
              <w:keepLines/>
              <w:jc w:val="center"/>
            </w:pPr>
            <w:r>
              <w:t>22 (18%)</w:t>
            </w:r>
          </w:p>
        </w:tc>
        <w:tc>
          <w:tcPr>
            <w:tcW w:w="1803" w:type="dxa"/>
            <w:noWrap/>
            <w:vAlign w:val="center"/>
          </w:tcPr>
          <w:p w14:paraId="6ACC2331" w14:textId="77777777" w:rsidR="00B92DAF" w:rsidRPr="007D095B" w:rsidRDefault="00B92DAF" w:rsidP="00A762F5">
            <w:pPr>
              <w:pStyle w:val="TableText"/>
              <w:keepNext/>
              <w:keepLines/>
              <w:jc w:val="center"/>
            </w:pPr>
            <w:r>
              <w:t>4 (18%)</w:t>
            </w:r>
          </w:p>
        </w:tc>
        <w:tc>
          <w:tcPr>
            <w:tcW w:w="1803" w:type="dxa"/>
            <w:noWrap/>
            <w:vAlign w:val="center"/>
          </w:tcPr>
          <w:p w14:paraId="346EFAEC" w14:textId="77777777" w:rsidR="00B92DAF" w:rsidRPr="007D095B" w:rsidRDefault="00B92DAF" w:rsidP="00A762F5">
            <w:pPr>
              <w:pStyle w:val="TableText"/>
              <w:keepNext/>
              <w:keepLines/>
              <w:jc w:val="center"/>
            </w:pPr>
            <w:r>
              <w:t>26 (18%)</w:t>
            </w:r>
          </w:p>
        </w:tc>
        <w:tc>
          <w:tcPr>
            <w:tcW w:w="1804" w:type="dxa"/>
            <w:vAlign w:val="center"/>
          </w:tcPr>
          <w:p w14:paraId="209D0DC6" w14:textId="77777777" w:rsidR="00B92DAF" w:rsidRPr="007D095B" w:rsidRDefault="00B92DAF" w:rsidP="00A762F5">
            <w:pPr>
              <w:pStyle w:val="TableText"/>
              <w:keepNext/>
              <w:keepLines/>
              <w:jc w:val="center"/>
            </w:pPr>
            <w:r>
              <w:t>25 (20%)</w:t>
            </w:r>
          </w:p>
        </w:tc>
      </w:tr>
      <w:tr w:rsidR="00B92DAF" w:rsidRPr="00031AFF" w14:paraId="3CB42729" w14:textId="77777777" w:rsidTr="132E0B0E">
        <w:trPr>
          <w:trHeight w:val="285"/>
        </w:trPr>
        <w:tc>
          <w:tcPr>
            <w:tcW w:w="1803" w:type="dxa"/>
            <w:noWrap/>
          </w:tcPr>
          <w:p w14:paraId="0446C22C" w14:textId="77777777" w:rsidR="00B92DAF" w:rsidRPr="00031AFF" w:rsidRDefault="00B92DAF" w:rsidP="00A762F5">
            <w:pPr>
              <w:pStyle w:val="TableText"/>
              <w:keepNext/>
              <w:keepLines/>
              <w:ind w:left="113"/>
            </w:pPr>
            <w:r w:rsidRPr="00031AFF">
              <w:t>Grade 5</w:t>
            </w:r>
          </w:p>
        </w:tc>
        <w:tc>
          <w:tcPr>
            <w:tcW w:w="1803" w:type="dxa"/>
            <w:noWrap/>
            <w:vAlign w:val="center"/>
          </w:tcPr>
          <w:p w14:paraId="2993CED4" w14:textId="77777777" w:rsidR="00B92DAF" w:rsidRPr="007D095B" w:rsidRDefault="00B92DAF" w:rsidP="00A762F5">
            <w:pPr>
              <w:pStyle w:val="TableText"/>
              <w:keepNext/>
              <w:keepLines/>
              <w:ind w:left="284"/>
              <w:jc w:val="center"/>
            </w:pPr>
            <w:r>
              <w:t>0 (0%)</w:t>
            </w:r>
          </w:p>
        </w:tc>
        <w:tc>
          <w:tcPr>
            <w:tcW w:w="1803" w:type="dxa"/>
            <w:noWrap/>
            <w:vAlign w:val="center"/>
          </w:tcPr>
          <w:p w14:paraId="26726160" w14:textId="77777777" w:rsidR="00B92DAF" w:rsidRPr="007D095B" w:rsidRDefault="00B92DAF" w:rsidP="00A762F5">
            <w:pPr>
              <w:pStyle w:val="TableText"/>
              <w:keepNext/>
              <w:keepLines/>
              <w:ind w:left="284"/>
              <w:jc w:val="center"/>
            </w:pPr>
            <w:r>
              <w:t>0 (0%)</w:t>
            </w:r>
          </w:p>
        </w:tc>
        <w:tc>
          <w:tcPr>
            <w:tcW w:w="1803" w:type="dxa"/>
            <w:noWrap/>
            <w:vAlign w:val="center"/>
          </w:tcPr>
          <w:p w14:paraId="0D0E68DC" w14:textId="77777777" w:rsidR="00B92DAF" w:rsidRPr="007D095B" w:rsidRDefault="00B92DAF" w:rsidP="00A762F5">
            <w:pPr>
              <w:pStyle w:val="TableText"/>
              <w:keepNext/>
              <w:keepLines/>
              <w:ind w:left="284"/>
              <w:jc w:val="center"/>
            </w:pPr>
            <w:r>
              <w:t>0 (0%)</w:t>
            </w:r>
          </w:p>
        </w:tc>
        <w:tc>
          <w:tcPr>
            <w:tcW w:w="1804" w:type="dxa"/>
            <w:vAlign w:val="center"/>
          </w:tcPr>
          <w:p w14:paraId="7CD9703F" w14:textId="77777777" w:rsidR="00B92DAF" w:rsidRPr="007D095B" w:rsidRDefault="00B92DAF" w:rsidP="00A762F5">
            <w:pPr>
              <w:pStyle w:val="TableText"/>
              <w:keepNext/>
              <w:keepLines/>
              <w:ind w:left="284"/>
              <w:jc w:val="center"/>
            </w:pPr>
            <w:r>
              <w:t>0 (0%)</w:t>
            </w:r>
          </w:p>
        </w:tc>
      </w:tr>
      <w:tr w:rsidR="00B92DAF" w:rsidRPr="00031AFF" w14:paraId="6E43384C" w14:textId="77777777" w:rsidTr="132E0B0E">
        <w:trPr>
          <w:trHeight w:val="285"/>
        </w:trPr>
        <w:tc>
          <w:tcPr>
            <w:tcW w:w="1803" w:type="dxa"/>
            <w:noWrap/>
          </w:tcPr>
          <w:p w14:paraId="664F168D" w14:textId="77777777" w:rsidR="00B92DAF" w:rsidRPr="00031AFF" w:rsidRDefault="00B92DAF" w:rsidP="00A762F5">
            <w:pPr>
              <w:pStyle w:val="TableText"/>
              <w:keepNext/>
              <w:keepLines/>
              <w:ind w:left="113"/>
            </w:pPr>
            <w:r w:rsidRPr="00031AFF">
              <w:t>Grade ≥3</w:t>
            </w:r>
          </w:p>
        </w:tc>
        <w:tc>
          <w:tcPr>
            <w:tcW w:w="1803" w:type="dxa"/>
            <w:noWrap/>
            <w:vAlign w:val="center"/>
          </w:tcPr>
          <w:p w14:paraId="03210415" w14:textId="77777777" w:rsidR="00B92DAF" w:rsidRPr="007D095B" w:rsidRDefault="00B92DAF" w:rsidP="00A762F5">
            <w:pPr>
              <w:pStyle w:val="TableText"/>
              <w:keepNext/>
              <w:keepLines/>
              <w:ind w:left="284"/>
              <w:jc w:val="center"/>
            </w:pPr>
            <w:r>
              <w:t>1 (1%)</w:t>
            </w:r>
          </w:p>
        </w:tc>
        <w:tc>
          <w:tcPr>
            <w:tcW w:w="1803" w:type="dxa"/>
            <w:noWrap/>
            <w:vAlign w:val="center"/>
          </w:tcPr>
          <w:p w14:paraId="24A6397A" w14:textId="77777777" w:rsidR="00B92DAF" w:rsidRPr="007D095B" w:rsidRDefault="00B92DAF" w:rsidP="00A762F5">
            <w:pPr>
              <w:pStyle w:val="TableText"/>
              <w:keepNext/>
              <w:keepLines/>
              <w:ind w:left="284"/>
              <w:jc w:val="center"/>
            </w:pPr>
            <w:r>
              <w:t>0 (0%)</w:t>
            </w:r>
          </w:p>
        </w:tc>
        <w:tc>
          <w:tcPr>
            <w:tcW w:w="1803" w:type="dxa"/>
            <w:noWrap/>
            <w:vAlign w:val="center"/>
          </w:tcPr>
          <w:p w14:paraId="17F7B85E" w14:textId="3CB2718E" w:rsidR="00B92DAF" w:rsidRPr="007D095B" w:rsidRDefault="00B92DAF" w:rsidP="00A762F5">
            <w:pPr>
              <w:pStyle w:val="TableText"/>
              <w:keepNext/>
              <w:keepLines/>
              <w:ind w:left="284"/>
              <w:jc w:val="center"/>
              <w:rPr>
                <w:strike/>
              </w:rPr>
            </w:pPr>
            <w:r>
              <w:t>1(1%)</w:t>
            </w:r>
          </w:p>
        </w:tc>
        <w:tc>
          <w:tcPr>
            <w:tcW w:w="1804" w:type="dxa"/>
            <w:vAlign w:val="center"/>
          </w:tcPr>
          <w:p w14:paraId="1568BDBA" w14:textId="16E38EAB" w:rsidR="00B92DAF" w:rsidRPr="007D095B" w:rsidRDefault="00B92DAF" w:rsidP="00A762F5">
            <w:pPr>
              <w:pStyle w:val="TableText"/>
              <w:keepNext/>
              <w:keepLines/>
              <w:ind w:left="284"/>
              <w:jc w:val="center"/>
            </w:pPr>
            <w:r>
              <w:t>1 (1%)</w:t>
            </w:r>
          </w:p>
        </w:tc>
      </w:tr>
      <w:tr w:rsidR="00B92DAF" w:rsidRPr="000753B1" w14:paraId="495EFD91" w14:textId="77777777" w:rsidTr="132E0B0E">
        <w:trPr>
          <w:trHeight w:val="285"/>
        </w:trPr>
        <w:tc>
          <w:tcPr>
            <w:tcW w:w="1803" w:type="dxa"/>
            <w:noWrap/>
          </w:tcPr>
          <w:p w14:paraId="23D3B080" w14:textId="77777777" w:rsidR="00B92DAF" w:rsidRPr="00031AFF" w:rsidRDefault="00B92DAF" w:rsidP="00A762F5">
            <w:pPr>
              <w:pStyle w:val="TableText"/>
              <w:keepNext/>
              <w:keepLines/>
            </w:pPr>
            <w:r w:rsidRPr="00031AFF">
              <w:t>Any TE secondary malignancies</w:t>
            </w:r>
          </w:p>
        </w:tc>
        <w:tc>
          <w:tcPr>
            <w:tcW w:w="1803" w:type="dxa"/>
            <w:noWrap/>
            <w:vAlign w:val="center"/>
          </w:tcPr>
          <w:p w14:paraId="0B26DFC4" w14:textId="77777777" w:rsidR="00B92DAF" w:rsidRPr="00031AFF" w:rsidRDefault="00B92DAF" w:rsidP="00A762F5">
            <w:pPr>
              <w:pStyle w:val="TableText"/>
              <w:keepNext/>
              <w:keepLines/>
              <w:jc w:val="center"/>
            </w:pPr>
            <w:r w:rsidRPr="00031AFF">
              <w:t>NR</w:t>
            </w:r>
          </w:p>
        </w:tc>
        <w:tc>
          <w:tcPr>
            <w:tcW w:w="1803" w:type="dxa"/>
            <w:noWrap/>
            <w:vAlign w:val="center"/>
          </w:tcPr>
          <w:p w14:paraId="6D631DB2" w14:textId="77777777" w:rsidR="00B92DAF" w:rsidRPr="007D095B" w:rsidRDefault="00B92DAF" w:rsidP="00A762F5">
            <w:pPr>
              <w:pStyle w:val="TableText"/>
              <w:keepNext/>
              <w:keepLines/>
              <w:jc w:val="center"/>
            </w:pPr>
            <w:r>
              <w:t>NR</w:t>
            </w:r>
          </w:p>
        </w:tc>
        <w:tc>
          <w:tcPr>
            <w:tcW w:w="1803" w:type="dxa"/>
            <w:noWrap/>
            <w:vAlign w:val="center"/>
          </w:tcPr>
          <w:p w14:paraId="0E77180C" w14:textId="77777777" w:rsidR="00B92DAF" w:rsidRPr="007D095B" w:rsidRDefault="00B92DAF" w:rsidP="00A762F5">
            <w:pPr>
              <w:pStyle w:val="TableText"/>
              <w:keepNext/>
              <w:keepLines/>
              <w:jc w:val="center"/>
            </w:pPr>
            <w:r>
              <w:t>8 (5%)</w:t>
            </w:r>
          </w:p>
        </w:tc>
        <w:tc>
          <w:tcPr>
            <w:tcW w:w="1804" w:type="dxa"/>
            <w:vAlign w:val="center"/>
          </w:tcPr>
          <w:p w14:paraId="09E24ADF" w14:textId="77777777" w:rsidR="00B92DAF" w:rsidRPr="007D095B" w:rsidRDefault="00B92DAF" w:rsidP="00A762F5">
            <w:pPr>
              <w:pStyle w:val="TableText"/>
              <w:keepNext/>
              <w:keepLines/>
              <w:jc w:val="center"/>
            </w:pPr>
            <w:r>
              <w:t>NR</w:t>
            </w:r>
          </w:p>
        </w:tc>
      </w:tr>
    </w:tbl>
    <w:p w14:paraId="602D4AD0" w14:textId="4DED4716" w:rsidR="00C071B5" w:rsidRPr="00A762F5" w:rsidRDefault="00C071B5" w:rsidP="00A762F5">
      <w:pPr>
        <w:pStyle w:val="TableFigNote"/>
        <w:keepNext/>
        <w:rPr>
          <w:rFonts w:ascii="Arial Narrow" w:hAnsi="Arial Narrow"/>
        </w:rPr>
      </w:pPr>
      <w:r w:rsidRPr="00A762F5">
        <w:rPr>
          <w:rFonts w:ascii="Arial Narrow" w:hAnsi="Arial Narrow"/>
        </w:rPr>
        <w:t xml:space="preserve">Abbreviations: CRS=cytokine release syndrome; TE=treatment emergent; </w:t>
      </w:r>
      <w:proofErr w:type="spellStart"/>
      <w:r w:rsidRPr="00A762F5">
        <w:rPr>
          <w:rFonts w:ascii="Arial Narrow" w:hAnsi="Arial Narrow"/>
        </w:rPr>
        <w:t>iNHL</w:t>
      </w:r>
      <w:proofErr w:type="spellEnd"/>
      <w:r w:rsidRPr="00A762F5">
        <w:rPr>
          <w:rFonts w:ascii="Arial Narrow" w:hAnsi="Arial Narrow"/>
        </w:rPr>
        <w:t>=indolent non-Hodgkin lymphoma</w:t>
      </w:r>
      <w:r w:rsidR="00313C82" w:rsidRPr="00A762F5">
        <w:rPr>
          <w:rFonts w:ascii="Arial Narrow" w:hAnsi="Arial Narrow"/>
        </w:rPr>
        <w:t xml:space="preserve">; </w:t>
      </w:r>
      <w:r w:rsidR="00E81CEE" w:rsidRPr="00A762F5">
        <w:rPr>
          <w:rFonts w:ascii="Arial Narrow" w:hAnsi="Arial Narrow"/>
        </w:rPr>
        <w:t>MZL=marginal zone lymphoma</w:t>
      </w:r>
    </w:p>
    <w:p w14:paraId="73E30AF7" w14:textId="51556BA4" w:rsidR="00CA1723" w:rsidRPr="00A762F5" w:rsidRDefault="00CA1723" w:rsidP="00A762F5">
      <w:pPr>
        <w:pStyle w:val="TableFigNote"/>
        <w:keepNext/>
        <w:rPr>
          <w:rFonts w:ascii="Arial Narrow" w:hAnsi="Arial Narrow"/>
        </w:rPr>
      </w:pPr>
      <w:r w:rsidRPr="00A762F5">
        <w:rPr>
          <w:rFonts w:ascii="Arial Narrow" w:hAnsi="Arial Narrow"/>
        </w:rPr>
        <w:t>a CRS events are graded according to a modification of the criteria of Lee and colleagues.</w:t>
      </w:r>
    </w:p>
    <w:p w14:paraId="449C0047" w14:textId="03D29FF5" w:rsidR="00C071B5" w:rsidRPr="00A762F5" w:rsidRDefault="00C071B5" w:rsidP="00A762F5">
      <w:pPr>
        <w:pStyle w:val="TableFigNote"/>
        <w:keepNext/>
        <w:rPr>
          <w:rFonts w:ascii="Arial Narrow" w:hAnsi="Arial Narrow"/>
        </w:rPr>
      </w:pPr>
      <w:r w:rsidRPr="00A762F5">
        <w:rPr>
          <w:rFonts w:ascii="Arial Narrow" w:hAnsi="Arial Narrow"/>
        </w:rPr>
        <w:t xml:space="preserve">Source: </w:t>
      </w:r>
      <w:r w:rsidR="00E71D2B" w:rsidRPr="00A762F5">
        <w:rPr>
          <w:rFonts w:ascii="Arial Narrow" w:hAnsi="Arial Narrow"/>
        </w:rPr>
        <w:t xml:space="preserve">Table 29 of MSAC 1771 </w:t>
      </w:r>
      <w:proofErr w:type="spellStart"/>
      <w:r w:rsidR="00E71D2B" w:rsidRPr="00A762F5">
        <w:rPr>
          <w:rFonts w:ascii="Arial Narrow" w:hAnsi="Arial Narrow"/>
        </w:rPr>
        <w:t>ADAR+in-line</w:t>
      </w:r>
      <w:proofErr w:type="spellEnd"/>
      <w:r w:rsidR="00E71D2B" w:rsidRPr="00A762F5">
        <w:rPr>
          <w:rFonts w:ascii="Arial Narrow" w:hAnsi="Arial Narrow"/>
        </w:rPr>
        <w:t xml:space="preserve"> commentary</w:t>
      </w:r>
      <w:r w:rsidRPr="00A762F5">
        <w:rPr>
          <w:rFonts w:ascii="Arial Narrow" w:hAnsi="Arial Narrow"/>
        </w:rPr>
        <w:t xml:space="preserve"> </w:t>
      </w:r>
    </w:p>
    <w:p w14:paraId="774F51BB" w14:textId="2CBC2517" w:rsidR="0073019C" w:rsidRDefault="003D693B" w:rsidP="00717D86">
      <w:r>
        <w:t>As ZUMA-5 was a single-arm study, for comparative safety, th</w:t>
      </w:r>
      <w:r w:rsidR="00CC7634">
        <w:t>e</w:t>
      </w:r>
      <w:r w:rsidR="0073019C" w:rsidRPr="0073019C">
        <w:t xml:space="preserve"> adverse events reported in ZUMA-5 w</w:t>
      </w:r>
      <w:r w:rsidR="688A9399">
        <w:t>ere</w:t>
      </w:r>
      <w:r w:rsidR="0073019C" w:rsidRPr="0073019C">
        <w:t xml:space="preserve"> compared with adverse events reported in clinical </w:t>
      </w:r>
      <w:r w:rsidR="00170CF0">
        <w:t>studie</w:t>
      </w:r>
      <w:r w:rsidR="0073019C" w:rsidRPr="0073019C">
        <w:t>s of anti CD20 (rituximab) monotherapy, anti CD20 therapy in combination with chemotherapy (</w:t>
      </w:r>
      <w:proofErr w:type="spellStart"/>
      <w:r w:rsidR="0073019C" w:rsidRPr="0073019C">
        <w:t>obinutuzumab</w:t>
      </w:r>
      <w:proofErr w:type="spellEnd"/>
      <w:r w:rsidR="0073019C" w:rsidRPr="0073019C">
        <w:t xml:space="preserve"> plus </w:t>
      </w:r>
      <w:proofErr w:type="spellStart"/>
      <w:r w:rsidR="0073019C" w:rsidRPr="0073019C">
        <w:t>bendamustine</w:t>
      </w:r>
      <w:proofErr w:type="spellEnd"/>
      <w:r w:rsidR="0073019C" w:rsidRPr="0073019C">
        <w:t xml:space="preserve"> and rituximab plus bortezomib), chemotherapy (</w:t>
      </w:r>
      <w:proofErr w:type="spellStart"/>
      <w:r w:rsidR="0073019C" w:rsidRPr="0073019C">
        <w:t>bendamustine</w:t>
      </w:r>
      <w:proofErr w:type="spellEnd"/>
      <w:r w:rsidR="0073019C" w:rsidRPr="0073019C">
        <w:t xml:space="preserve"> or bortezomib) </w:t>
      </w:r>
      <w:r w:rsidR="7B0B716E">
        <w:t xml:space="preserve">and </w:t>
      </w:r>
      <w:r w:rsidR="0073019C" w:rsidRPr="0073019C">
        <w:t>PI3Kδ inhibitor (</w:t>
      </w:r>
      <w:proofErr w:type="spellStart"/>
      <w:r w:rsidR="0073019C" w:rsidRPr="0073019C">
        <w:t>idelalisib</w:t>
      </w:r>
      <w:proofErr w:type="spellEnd"/>
      <w:r w:rsidR="0073019C" w:rsidRPr="0073019C">
        <w:t>) regimens.</w:t>
      </w:r>
    </w:p>
    <w:p w14:paraId="6D6AB21B" w14:textId="7475A503" w:rsidR="00310432" w:rsidRDefault="7DDEBE36" w:rsidP="00717D86">
      <w:r>
        <w:t xml:space="preserve">A summary of </w:t>
      </w:r>
      <w:r w:rsidR="461CB602">
        <w:t xml:space="preserve">the </w:t>
      </w:r>
      <w:r w:rsidR="6182BC68">
        <w:t>population</w:t>
      </w:r>
      <w:r w:rsidR="736751AC">
        <w:t>s</w:t>
      </w:r>
      <w:r w:rsidR="6182BC68">
        <w:t xml:space="preserve"> and </w:t>
      </w:r>
      <w:r>
        <w:t>adverse events reported</w:t>
      </w:r>
      <w:r w:rsidR="6182BC68">
        <w:t xml:space="preserve"> in the included studies </w:t>
      </w:r>
      <w:r w:rsidR="3632D2C9">
        <w:t>are</w:t>
      </w:r>
      <w:r w:rsidR="47AFE106">
        <w:t xml:space="preserve"> provided in </w:t>
      </w:r>
      <w:r w:rsidR="00310432">
        <w:fldChar w:fldCharType="begin"/>
      </w:r>
      <w:r w:rsidR="00310432">
        <w:instrText xml:space="preserve"> REF _Ref163139277 \h  \* MERGEFORMAT </w:instrText>
      </w:r>
      <w:r w:rsidR="00310432">
        <w:fldChar w:fldCharType="separate"/>
      </w:r>
      <w:r w:rsidR="47AFE106">
        <w:t xml:space="preserve">Table </w:t>
      </w:r>
      <w:r w:rsidR="47AFE106" w:rsidRPr="23728776">
        <w:rPr>
          <w:noProof/>
        </w:rPr>
        <w:t>5</w:t>
      </w:r>
      <w:r w:rsidR="00310432">
        <w:fldChar w:fldCharType="end"/>
      </w:r>
      <w:r w:rsidR="47AFE106">
        <w:t xml:space="preserve">. </w:t>
      </w:r>
      <w:r>
        <w:t xml:space="preserve">A higher proportion of patients treated with </w:t>
      </w:r>
      <w:r w:rsidR="3A931CC6">
        <w:t>AXI</w:t>
      </w:r>
      <w:r>
        <w:t xml:space="preserve"> (86%) were assessed as having adverse events Grade ≥3 compared with patients treated </w:t>
      </w:r>
      <w:r w:rsidR="3A931CC6">
        <w:t xml:space="preserve">with </w:t>
      </w:r>
      <w:r w:rsidR="52DF6125">
        <w:t>SOC</w:t>
      </w:r>
      <w:r w:rsidR="3A931CC6">
        <w:t xml:space="preserve"> </w:t>
      </w:r>
      <w:r>
        <w:t>regimens (21%</w:t>
      </w:r>
      <w:r w:rsidR="3C552200">
        <w:t xml:space="preserve"> – </w:t>
      </w:r>
      <w:r w:rsidR="3A931CC6">
        <w:t>62</w:t>
      </w:r>
      <w:r>
        <w:t>%)</w:t>
      </w:r>
      <w:r w:rsidR="3C552200">
        <w:t xml:space="preserve">. </w:t>
      </w:r>
    </w:p>
    <w:p w14:paraId="1D8F5908" w14:textId="08C4DC47" w:rsidR="00FF3F72" w:rsidRDefault="00DC4D5B" w:rsidP="00406F77">
      <w:pPr>
        <w:pStyle w:val="Caption"/>
      </w:pPr>
      <w:bookmarkStart w:id="20" w:name="_Ref163139277"/>
      <w:r>
        <w:lastRenderedPageBreak/>
        <w:t xml:space="preserve">Table </w:t>
      </w:r>
      <w:r>
        <w:fldChar w:fldCharType="begin"/>
      </w:r>
      <w:r>
        <w:instrText>SEQ Table \* ARABIC</w:instrText>
      </w:r>
      <w:r>
        <w:fldChar w:fldCharType="separate"/>
      </w:r>
      <w:r w:rsidR="0020136D" w:rsidRPr="132E0B0E">
        <w:rPr>
          <w:noProof/>
        </w:rPr>
        <w:t>5</w:t>
      </w:r>
      <w:r>
        <w:fldChar w:fldCharType="end"/>
      </w:r>
      <w:bookmarkEnd w:id="20"/>
      <w:r>
        <w:tab/>
        <w:t xml:space="preserve">Summary of </w:t>
      </w:r>
      <w:r w:rsidR="00FC797C">
        <w:t>population</w:t>
      </w:r>
      <w:r w:rsidR="00655A85">
        <w:t>s</w:t>
      </w:r>
      <w:r w:rsidR="00FC797C">
        <w:t xml:space="preserve"> and </w:t>
      </w:r>
      <w:r>
        <w:t>adverse events of the included clinical studies</w:t>
      </w:r>
    </w:p>
    <w:tbl>
      <w:tblPr>
        <w:tblStyle w:val="TableGrid"/>
        <w:tblW w:w="0" w:type="auto"/>
        <w:tblLayout w:type="fixed"/>
        <w:tblLook w:val="04A0" w:firstRow="1" w:lastRow="0" w:firstColumn="1" w:lastColumn="0" w:noHBand="0" w:noVBand="1"/>
      </w:tblPr>
      <w:tblGrid>
        <w:gridCol w:w="1129"/>
        <w:gridCol w:w="1276"/>
        <w:gridCol w:w="1134"/>
        <w:gridCol w:w="1276"/>
        <w:gridCol w:w="1417"/>
        <w:gridCol w:w="1418"/>
        <w:gridCol w:w="1366"/>
      </w:tblGrid>
      <w:tr w:rsidR="00D9019E" w14:paraId="44914C97" w14:textId="77777777" w:rsidTr="132E0B0E">
        <w:tc>
          <w:tcPr>
            <w:tcW w:w="1129" w:type="dxa"/>
            <w:vMerge w:val="restart"/>
          </w:tcPr>
          <w:p w14:paraId="705DD43B" w14:textId="1FB981BF" w:rsidR="00D9019E" w:rsidRPr="00031AFF" w:rsidRDefault="00D9019E" w:rsidP="00A762F5">
            <w:pPr>
              <w:pStyle w:val="TableHeading0"/>
              <w:keepNext/>
            </w:pPr>
            <w:bookmarkStart w:id="21" w:name="_Hlk155281255"/>
          </w:p>
        </w:tc>
        <w:tc>
          <w:tcPr>
            <w:tcW w:w="1276" w:type="dxa"/>
          </w:tcPr>
          <w:p w14:paraId="5AA3BF16" w14:textId="77777777" w:rsidR="00D9019E" w:rsidRPr="007D095B" w:rsidRDefault="375AF326" w:rsidP="00A762F5">
            <w:pPr>
              <w:pStyle w:val="TableHeading0"/>
              <w:keepNext/>
              <w:jc w:val="center"/>
            </w:pPr>
            <w:r>
              <w:t xml:space="preserve">Updated </w:t>
            </w:r>
            <w:proofErr w:type="gramStart"/>
            <w:r>
              <w:t>48 month</w:t>
            </w:r>
            <w:proofErr w:type="gramEnd"/>
            <w:r>
              <w:t xml:space="preserve"> analysis of ZUMA-5</w:t>
            </w:r>
          </w:p>
        </w:tc>
        <w:tc>
          <w:tcPr>
            <w:tcW w:w="2410" w:type="dxa"/>
            <w:gridSpan w:val="2"/>
          </w:tcPr>
          <w:p w14:paraId="56E69F4F" w14:textId="0FFB7532" w:rsidR="00D9019E" w:rsidRPr="00031AFF" w:rsidRDefault="00D9019E" w:rsidP="00A762F5">
            <w:pPr>
              <w:pStyle w:val="TableHeading0"/>
              <w:keepNext/>
              <w:jc w:val="center"/>
            </w:pPr>
            <w:r w:rsidRPr="00031AFF">
              <w:t>LYM-3001:</w:t>
            </w:r>
            <w:r w:rsidR="00A34CF3" w:rsidRPr="00031AFF">
              <w:t xml:space="preserve"> (</w:t>
            </w:r>
            <w:proofErr w:type="spellStart"/>
            <w:r w:rsidR="00A34CF3" w:rsidRPr="00031AFF">
              <w:t>Coiffier</w:t>
            </w:r>
            <w:proofErr w:type="spellEnd"/>
            <w:r w:rsidR="00A34CF3" w:rsidRPr="00031AFF">
              <w:t xml:space="preserve"> et al. 2011)</w:t>
            </w:r>
          </w:p>
        </w:tc>
        <w:tc>
          <w:tcPr>
            <w:tcW w:w="2835" w:type="dxa"/>
            <w:gridSpan w:val="2"/>
          </w:tcPr>
          <w:p w14:paraId="687A7E40" w14:textId="5A6D2363" w:rsidR="00D9019E" w:rsidRPr="00031AFF" w:rsidRDefault="00D9019E" w:rsidP="00A762F5">
            <w:pPr>
              <w:pStyle w:val="TableHeading0"/>
              <w:keepNext/>
              <w:jc w:val="center"/>
            </w:pPr>
            <w:r w:rsidRPr="00031AFF">
              <w:t xml:space="preserve">GADOLIN: </w:t>
            </w:r>
            <w:r w:rsidR="00A34CF3" w:rsidRPr="00031AFF">
              <w:t>(</w:t>
            </w:r>
            <w:proofErr w:type="spellStart"/>
            <w:r w:rsidR="00A34CF3" w:rsidRPr="00031AFF">
              <w:t>Sehn</w:t>
            </w:r>
            <w:proofErr w:type="spellEnd"/>
            <w:r w:rsidR="00A34CF3" w:rsidRPr="00031AFF">
              <w:t xml:space="preserve"> et al. 2016)</w:t>
            </w:r>
            <w:r w:rsidRPr="00031AFF">
              <w:fldChar w:fldCharType="begin"/>
            </w:r>
            <w:r w:rsidRPr="00031AFF">
              <w:instrText xml:space="preserve"> ADDIN EN.CITE &lt;EndNote&gt;&lt;Cite&gt;&lt;Author&gt;Sehn&lt;/Author&gt;&lt;Year&gt;2016&lt;/Year&gt;&lt;RecNum&gt;1332&lt;/RecNum&gt;&lt;DisplayText&gt;(Sehn et al. 2016)&lt;/DisplayText&gt;&lt;record&gt;&lt;rec-number&gt;1332&lt;/rec-number&gt;&lt;foreign-keys&gt;&lt;key app="EN" db-id="ezvspvpphdrt93e9asepdx5etr9rf5rptvp0" timestamp="1704345937"&gt;1332&lt;/key&gt;&lt;/foreign-keys&gt;&lt;ref-type name="Journal Article"&gt;17&lt;/ref-type&gt;&lt;contributors&gt;&lt;authors&gt;&lt;author&gt;Sehn, Laurie H&lt;/author&gt;&lt;author&gt;Chua, Neil&lt;/author&gt;&lt;author&gt;Mayer, Jiri&lt;/author&gt;&lt;author&gt;Dueck, Gregg&lt;/author&gt;&lt;author&gt;Trněný, Marek&lt;/author&gt;&lt;author&gt;Bouabdallah, Kamal&lt;/author&gt;&lt;author&gt;Fowler, Nathan&lt;/author&gt;&lt;author&gt;Delwail, Vincent&lt;/author&gt;&lt;author&gt;Press, Oliver&lt;/author&gt;&lt;author&gt;Salles, Gilles&lt;/author&gt;&lt;/authors&gt;&lt;/contributors&gt;&lt;titles&gt;&lt;title&gt;Obinutuzumab plus bendamustine versus bendamustine monotherapy in patients with rituximab-refractory indolent non-Hodgkin lymphoma (GADOLIN): a randomised, controlled, open-label, multicentre, phase 3 trial&lt;/title&gt;&lt;secondary-title&gt;The Lancet Oncology&lt;/secondary-title&gt;&lt;/titles&gt;&lt;periodical&gt;&lt;full-title&gt;The Lancet Oncology&lt;/full-title&gt;&lt;/periodical&gt;&lt;pages&gt;1081-1093&lt;/pages&gt;&lt;volume&gt;17&lt;/volume&gt;&lt;number&gt;8&lt;/number&gt;&lt;dates&gt;&lt;year&gt;2016&lt;/year&gt;&lt;/dates&gt;&lt;isbn&gt;1470-2045&lt;/isbn&gt;&lt;urls&gt;&lt;/urls&gt;&lt;/record&gt;&lt;/Cite&gt;&lt;/EndNote&gt;</w:instrText>
            </w:r>
            <w:r w:rsidR="001D2518">
              <w:fldChar w:fldCharType="separate"/>
            </w:r>
            <w:r w:rsidRPr="00031AFF">
              <w:fldChar w:fldCharType="end"/>
            </w:r>
          </w:p>
        </w:tc>
        <w:tc>
          <w:tcPr>
            <w:tcW w:w="1366" w:type="dxa"/>
          </w:tcPr>
          <w:p w14:paraId="3E4A5450" w14:textId="212E7808" w:rsidR="00D9019E" w:rsidRDefault="00D9019E" w:rsidP="00A762F5">
            <w:pPr>
              <w:pStyle w:val="TableHeading0"/>
              <w:keepNext/>
              <w:jc w:val="center"/>
            </w:pPr>
            <w:r>
              <w:t xml:space="preserve">DELTA: </w:t>
            </w:r>
            <w:r w:rsidR="00A34CF3" w:rsidRPr="00A34CF3">
              <w:t>(Gopal et al. 2014)</w:t>
            </w:r>
            <w:r w:rsidR="00A34CF3">
              <w:t xml:space="preserve"> </w:t>
            </w:r>
            <w:r>
              <w:fldChar w:fldCharType="begin"/>
            </w:r>
            <w:r>
              <w:instrText xml:space="preserve"> ADDIN EN.CITE &lt;EndNote&gt;&lt;Cite&gt;&lt;Author&gt;Gopal&lt;/Author&gt;&lt;Year&gt;2014&lt;/Year&gt;&lt;RecNum&gt;1333&lt;/RecNum&gt;&lt;DisplayText&gt;(Gopal et al. 2014)&lt;/DisplayText&gt;&lt;record&gt;&lt;rec-number&gt;1333&lt;/rec-number&gt;&lt;foreign-keys&gt;&lt;key app="EN" db-id="ezvspvpphdrt93e9asepdx5etr9rf5rptvp0" timestamp="1704346017"&gt;1333&lt;/key&gt;&lt;/foreign-keys&gt;&lt;ref-type name="Journal Article"&gt;17&lt;/ref-type&gt;&lt;contributors&gt;&lt;authors&gt;&lt;author&gt;Gopal, Ajay K&lt;/author&gt;&lt;author&gt;Kahl, Brad S&lt;/author&gt;&lt;author&gt;De Vos, Sven&lt;/author&gt;&lt;author&gt;Wagner-Johnston, Nina D&lt;/author&gt;&lt;author&gt;Schuster, Stephen J&lt;/author&gt;&lt;author&gt;Jurczak, Wojciech J&lt;/author&gt;&lt;author&gt;Flinn, Ian W&lt;/author&gt;&lt;author&gt;Flowers, Christopher R&lt;/author&gt;&lt;author&gt;Martin, Peter&lt;/author&gt;&lt;author&gt;Viardot, Andreas&lt;/author&gt;&lt;/authors&gt;&lt;/contributors&gt;&lt;titles&gt;&lt;title&gt;PI3Kδ inhibition by idelalisib in patients with relapsed indolent lymphoma&lt;/title&gt;&lt;secondary-title&gt;New England Journal of Medicine&lt;/secondary-title&gt;&lt;/titles&gt;&lt;periodical&gt;&lt;full-title&gt;New England Journal of Medicine&lt;/full-title&gt;&lt;/periodical&gt;&lt;pages&gt;1008-1018&lt;/pages&gt;&lt;volume&gt;370&lt;/volume&gt;&lt;number&gt;11&lt;/number&gt;&lt;dates&gt;&lt;year&gt;2014&lt;/year&gt;&lt;/dates&gt;&lt;isbn&gt;0028-4793&lt;/isbn&gt;&lt;urls&gt;&lt;/urls&gt;&lt;/record&gt;&lt;/Cite&gt;&lt;/EndNote&gt;</w:instrText>
            </w:r>
            <w:r w:rsidR="001D2518">
              <w:fldChar w:fldCharType="separate"/>
            </w:r>
            <w:r>
              <w:fldChar w:fldCharType="end"/>
            </w:r>
          </w:p>
        </w:tc>
      </w:tr>
      <w:bookmarkEnd w:id="21"/>
      <w:tr w:rsidR="00642B63" w14:paraId="18277B52" w14:textId="77777777" w:rsidTr="132E0B0E">
        <w:tc>
          <w:tcPr>
            <w:tcW w:w="1129" w:type="dxa"/>
            <w:vMerge/>
          </w:tcPr>
          <w:p w14:paraId="15341A4B" w14:textId="77777777" w:rsidR="00642B63" w:rsidRPr="00031AFF" w:rsidRDefault="00642B63" w:rsidP="00A762F5">
            <w:pPr>
              <w:pStyle w:val="TableHeading0"/>
              <w:keepNext/>
            </w:pPr>
          </w:p>
        </w:tc>
        <w:tc>
          <w:tcPr>
            <w:tcW w:w="1276" w:type="dxa"/>
          </w:tcPr>
          <w:p w14:paraId="0AE17622" w14:textId="4AE97D87" w:rsidR="00642B63" w:rsidRPr="007D095B" w:rsidRDefault="00642B63" w:rsidP="00A762F5">
            <w:pPr>
              <w:pStyle w:val="TableHeading0"/>
              <w:keepNext/>
              <w:jc w:val="center"/>
            </w:pPr>
            <w:r>
              <w:t>AXI (N=124)</w:t>
            </w:r>
          </w:p>
        </w:tc>
        <w:tc>
          <w:tcPr>
            <w:tcW w:w="1134" w:type="dxa"/>
          </w:tcPr>
          <w:p w14:paraId="067DA363" w14:textId="77777777" w:rsidR="00642B63" w:rsidRPr="00031AFF" w:rsidRDefault="00642B63" w:rsidP="00A762F5">
            <w:pPr>
              <w:pStyle w:val="TableHeading0"/>
              <w:keepNext/>
              <w:jc w:val="center"/>
            </w:pPr>
            <w:r w:rsidRPr="00031AFF">
              <w:t>Rituximab (N=339)</w:t>
            </w:r>
          </w:p>
        </w:tc>
        <w:tc>
          <w:tcPr>
            <w:tcW w:w="1276" w:type="dxa"/>
          </w:tcPr>
          <w:p w14:paraId="1CF1C6D0" w14:textId="2BC866FD" w:rsidR="00642B63" w:rsidRPr="00031AFF" w:rsidRDefault="00642B63" w:rsidP="00A762F5">
            <w:pPr>
              <w:pStyle w:val="TableHeading0"/>
              <w:keepNext/>
              <w:jc w:val="center"/>
            </w:pPr>
            <w:r w:rsidRPr="00031AFF">
              <w:t>Rituximab+</w:t>
            </w:r>
            <w:r w:rsidR="00985CF6" w:rsidRPr="00031AFF">
              <w:t xml:space="preserve"> </w:t>
            </w:r>
            <w:r w:rsidRPr="00031AFF">
              <w:t>bortezomib (N=334)</w:t>
            </w:r>
          </w:p>
        </w:tc>
        <w:tc>
          <w:tcPr>
            <w:tcW w:w="1417" w:type="dxa"/>
          </w:tcPr>
          <w:p w14:paraId="0264D5BC" w14:textId="5FCF1EF7" w:rsidR="00642B63" w:rsidRPr="00031AFF" w:rsidRDefault="00642B63" w:rsidP="00A762F5">
            <w:pPr>
              <w:pStyle w:val="TableHeading0"/>
              <w:keepNext/>
              <w:jc w:val="center"/>
            </w:pPr>
            <w:proofErr w:type="spellStart"/>
            <w:r w:rsidRPr="00031AFF">
              <w:t>Obinut</w:t>
            </w:r>
            <w:r w:rsidR="00FD5A64" w:rsidRPr="00031AFF">
              <w:t>u</w:t>
            </w:r>
            <w:r w:rsidRPr="00031AFF">
              <w:t>zumab+bendamustine</w:t>
            </w:r>
            <w:proofErr w:type="spellEnd"/>
            <w:r w:rsidRPr="00031AFF">
              <w:t xml:space="preserve"> (N=194)</w:t>
            </w:r>
          </w:p>
        </w:tc>
        <w:tc>
          <w:tcPr>
            <w:tcW w:w="1418" w:type="dxa"/>
          </w:tcPr>
          <w:p w14:paraId="71683B4D" w14:textId="77777777" w:rsidR="00642B63" w:rsidRPr="00031AFF" w:rsidRDefault="00642B63" w:rsidP="00A762F5">
            <w:pPr>
              <w:pStyle w:val="TableHeading0"/>
              <w:keepNext/>
              <w:jc w:val="center"/>
            </w:pPr>
            <w:proofErr w:type="spellStart"/>
            <w:r w:rsidRPr="00031AFF">
              <w:t>Bendamustine</w:t>
            </w:r>
            <w:proofErr w:type="spellEnd"/>
            <w:r w:rsidRPr="00031AFF">
              <w:t xml:space="preserve"> (N=202)</w:t>
            </w:r>
          </w:p>
        </w:tc>
        <w:tc>
          <w:tcPr>
            <w:tcW w:w="1366" w:type="dxa"/>
          </w:tcPr>
          <w:p w14:paraId="46B7E70B" w14:textId="77777777" w:rsidR="00642B63" w:rsidRDefault="00642B63" w:rsidP="00A762F5">
            <w:pPr>
              <w:pStyle w:val="TableHeading0"/>
              <w:keepNext/>
              <w:jc w:val="center"/>
            </w:pPr>
            <w:proofErr w:type="spellStart"/>
            <w:r>
              <w:t>Idelalisib</w:t>
            </w:r>
            <w:proofErr w:type="spellEnd"/>
            <w:r>
              <w:t xml:space="preserve"> (N=125)</w:t>
            </w:r>
          </w:p>
        </w:tc>
      </w:tr>
      <w:tr w:rsidR="00D9019E" w14:paraId="3AF7736C" w14:textId="77777777" w:rsidTr="132E0B0E">
        <w:tc>
          <w:tcPr>
            <w:tcW w:w="1129" w:type="dxa"/>
          </w:tcPr>
          <w:p w14:paraId="59904D76" w14:textId="03F59EE3" w:rsidR="00D9019E" w:rsidRPr="00031AFF" w:rsidRDefault="00D9019E" w:rsidP="00A762F5">
            <w:pPr>
              <w:pStyle w:val="TableText"/>
              <w:keepNext/>
            </w:pPr>
            <w:r w:rsidRPr="00031AFF">
              <w:t>Population</w:t>
            </w:r>
          </w:p>
        </w:tc>
        <w:tc>
          <w:tcPr>
            <w:tcW w:w="1276" w:type="dxa"/>
            <w:shd w:val="clear" w:color="auto" w:fill="auto"/>
          </w:tcPr>
          <w:p w14:paraId="0FF8993D" w14:textId="31A5BDDB" w:rsidR="00D9019E" w:rsidRPr="007D095B" w:rsidRDefault="00D9019E" w:rsidP="00A762F5">
            <w:pPr>
              <w:pStyle w:val="TableText"/>
              <w:keepNext/>
              <w:jc w:val="center"/>
            </w:pPr>
            <w:r>
              <w:t xml:space="preserve">Adult patients with </w:t>
            </w:r>
            <w:proofErr w:type="spellStart"/>
            <w:r>
              <w:t>iNHL</w:t>
            </w:r>
            <w:proofErr w:type="spellEnd"/>
            <w:r>
              <w:t xml:space="preserve"> and relapsed or refractory disease after two or more lines of therapy</w:t>
            </w:r>
          </w:p>
        </w:tc>
        <w:tc>
          <w:tcPr>
            <w:tcW w:w="2410" w:type="dxa"/>
            <w:gridSpan w:val="2"/>
          </w:tcPr>
          <w:p w14:paraId="691DE6A7" w14:textId="7365F228" w:rsidR="00D9019E" w:rsidRPr="00031AFF" w:rsidRDefault="00D9019E" w:rsidP="00A762F5">
            <w:pPr>
              <w:pStyle w:val="TableText"/>
              <w:keepNext/>
              <w:jc w:val="center"/>
            </w:pPr>
            <w:r w:rsidRPr="00031AFF">
              <w:t xml:space="preserve">Adult patients with relapsed Grade 1 or 2 </w:t>
            </w:r>
            <w:r w:rsidR="00CC6F18" w:rsidRPr="00031AFF">
              <w:t>FL</w:t>
            </w:r>
          </w:p>
        </w:tc>
        <w:tc>
          <w:tcPr>
            <w:tcW w:w="2835" w:type="dxa"/>
            <w:gridSpan w:val="2"/>
          </w:tcPr>
          <w:p w14:paraId="50CE3055" w14:textId="23EC3F71" w:rsidR="00D9019E" w:rsidRPr="00031AFF" w:rsidRDefault="00D9019E" w:rsidP="00A762F5">
            <w:pPr>
              <w:pStyle w:val="TableText"/>
              <w:keepNext/>
              <w:jc w:val="center"/>
            </w:pPr>
            <w:r w:rsidRPr="00031AFF">
              <w:t xml:space="preserve">Adult patients with relapsed </w:t>
            </w:r>
            <w:proofErr w:type="spellStart"/>
            <w:r w:rsidRPr="00031AFF">
              <w:t>iNHL</w:t>
            </w:r>
            <w:proofErr w:type="spellEnd"/>
            <w:r w:rsidRPr="00031AFF">
              <w:t xml:space="preserve"> refractory to rituximab</w:t>
            </w:r>
          </w:p>
        </w:tc>
        <w:tc>
          <w:tcPr>
            <w:tcW w:w="1366" w:type="dxa"/>
          </w:tcPr>
          <w:p w14:paraId="11210632" w14:textId="461B3030" w:rsidR="00D9019E" w:rsidRPr="00D46294" w:rsidRDefault="00D9019E" w:rsidP="00A762F5">
            <w:pPr>
              <w:pStyle w:val="TableText"/>
              <w:keepNext/>
              <w:jc w:val="center"/>
            </w:pPr>
            <w:r w:rsidRPr="00D46294">
              <w:t xml:space="preserve">Adult patients with </w:t>
            </w:r>
            <w:proofErr w:type="spellStart"/>
            <w:r w:rsidRPr="00D46294">
              <w:t>iNHL</w:t>
            </w:r>
            <w:proofErr w:type="spellEnd"/>
            <w:r w:rsidRPr="00D46294">
              <w:t xml:space="preserve"> who had no response to </w:t>
            </w:r>
            <w:proofErr w:type="spellStart"/>
            <w:r w:rsidRPr="00D46294">
              <w:t>rituximab+alkylating</w:t>
            </w:r>
            <w:proofErr w:type="spellEnd"/>
            <w:r w:rsidRPr="00D46294">
              <w:t xml:space="preserve"> agent or relapsed ≤6 months of these therapies</w:t>
            </w:r>
          </w:p>
        </w:tc>
      </w:tr>
      <w:tr w:rsidR="00D9019E" w14:paraId="334A1C58" w14:textId="77777777" w:rsidTr="132E0B0E">
        <w:tc>
          <w:tcPr>
            <w:tcW w:w="1129" w:type="dxa"/>
          </w:tcPr>
          <w:p w14:paraId="5A551724" w14:textId="2E74FBA3" w:rsidR="00D9019E" w:rsidRPr="00031AFF" w:rsidRDefault="00D9019E" w:rsidP="00A762F5">
            <w:pPr>
              <w:pStyle w:val="TableText"/>
              <w:keepNext/>
            </w:pPr>
            <w:r w:rsidRPr="00031AFF">
              <w:t>FL population</w:t>
            </w:r>
          </w:p>
        </w:tc>
        <w:tc>
          <w:tcPr>
            <w:tcW w:w="1276" w:type="dxa"/>
            <w:shd w:val="clear" w:color="auto" w:fill="auto"/>
          </w:tcPr>
          <w:p w14:paraId="0D65B57F" w14:textId="2BF4F97C" w:rsidR="00D9019E" w:rsidRPr="007D095B" w:rsidRDefault="00D9019E" w:rsidP="00A762F5">
            <w:pPr>
              <w:pStyle w:val="TableText"/>
              <w:keepNext/>
              <w:jc w:val="center"/>
            </w:pPr>
            <w:r>
              <w:t xml:space="preserve">100% </w:t>
            </w:r>
          </w:p>
        </w:tc>
        <w:tc>
          <w:tcPr>
            <w:tcW w:w="2410" w:type="dxa"/>
            <w:gridSpan w:val="2"/>
          </w:tcPr>
          <w:p w14:paraId="11F06E74" w14:textId="02C68D97" w:rsidR="00D9019E" w:rsidRPr="00031AFF" w:rsidRDefault="00D9019E" w:rsidP="00A762F5">
            <w:pPr>
              <w:pStyle w:val="TableText"/>
              <w:keepNext/>
              <w:jc w:val="center"/>
            </w:pPr>
            <w:r w:rsidRPr="00031AFF">
              <w:t>100% (inclusion criteria)</w:t>
            </w:r>
          </w:p>
        </w:tc>
        <w:tc>
          <w:tcPr>
            <w:tcW w:w="1417" w:type="dxa"/>
          </w:tcPr>
          <w:p w14:paraId="135663D1" w14:textId="6F43565A" w:rsidR="00D9019E" w:rsidRPr="00031AFF" w:rsidRDefault="00D9019E" w:rsidP="00A762F5">
            <w:pPr>
              <w:pStyle w:val="TableText"/>
              <w:keepNext/>
              <w:jc w:val="center"/>
            </w:pPr>
            <w:r w:rsidRPr="00031AFF">
              <w:t>155 (80%)</w:t>
            </w:r>
          </w:p>
        </w:tc>
        <w:tc>
          <w:tcPr>
            <w:tcW w:w="1418" w:type="dxa"/>
          </w:tcPr>
          <w:p w14:paraId="4FCA1D26" w14:textId="0554AB77" w:rsidR="00D9019E" w:rsidRPr="00031AFF" w:rsidRDefault="00D9019E" w:rsidP="00A762F5">
            <w:pPr>
              <w:pStyle w:val="TableText"/>
              <w:keepNext/>
              <w:jc w:val="center"/>
            </w:pPr>
            <w:r w:rsidRPr="00031AFF">
              <w:t>166 (82%)</w:t>
            </w:r>
          </w:p>
        </w:tc>
        <w:tc>
          <w:tcPr>
            <w:tcW w:w="1366" w:type="dxa"/>
          </w:tcPr>
          <w:p w14:paraId="17CD1FD0" w14:textId="1C42B5F2" w:rsidR="00D9019E" w:rsidRPr="00D46294" w:rsidRDefault="00D9019E" w:rsidP="00A762F5">
            <w:pPr>
              <w:pStyle w:val="TableText"/>
              <w:keepNext/>
              <w:jc w:val="center"/>
            </w:pPr>
            <w:r w:rsidRPr="00D46294">
              <w:t>72 (58%)</w:t>
            </w:r>
          </w:p>
        </w:tc>
      </w:tr>
      <w:tr w:rsidR="00167F08" w14:paraId="5F350088" w14:textId="77777777" w:rsidTr="132E0B0E">
        <w:tc>
          <w:tcPr>
            <w:tcW w:w="1129" w:type="dxa"/>
          </w:tcPr>
          <w:p w14:paraId="3DB2C8F6" w14:textId="77777777" w:rsidR="00167F08" w:rsidRPr="00031AFF" w:rsidRDefault="00167F08" w:rsidP="00A762F5">
            <w:pPr>
              <w:pStyle w:val="TableText"/>
              <w:keepNext/>
            </w:pPr>
            <w:r w:rsidRPr="00031AFF">
              <w:t>Any adverse event, n (%)</w:t>
            </w:r>
          </w:p>
        </w:tc>
        <w:tc>
          <w:tcPr>
            <w:tcW w:w="1276" w:type="dxa"/>
            <w:shd w:val="clear" w:color="auto" w:fill="auto"/>
          </w:tcPr>
          <w:p w14:paraId="0ED46CD9" w14:textId="77777777" w:rsidR="00167F08" w:rsidRPr="007D095B" w:rsidRDefault="00167F08" w:rsidP="00A762F5">
            <w:pPr>
              <w:pStyle w:val="TableText"/>
              <w:keepNext/>
              <w:jc w:val="center"/>
            </w:pPr>
            <w:r>
              <w:t>123 (99%)</w:t>
            </w:r>
          </w:p>
        </w:tc>
        <w:tc>
          <w:tcPr>
            <w:tcW w:w="1134" w:type="dxa"/>
          </w:tcPr>
          <w:p w14:paraId="06606E64" w14:textId="77777777" w:rsidR="00167F08" w:rsidRPr="00031AFF" w:rsidRDefault="00167F08" w:rsidP="00A762F5">
            <w:pPr>
              <w:pStyle w:val="TableText"/>
              <w:keepNext/>
              <w:jc w:val="center"/>
            </w:pPr>
            <w:r w:rsidRPr="00031AFF">
              <w:t>265 (78%)</w:t>
            </w:r>
          </w:p>
        </w:tc>
        <w:tc>
          <w:tcPr>
            <w:tcW w:w="1276" w:type="dxa"/>
          </w:tcPr>
          <w:p w14:paraId="3C77B697" w14:textId="77777777" w:rsidR="00167F08" w:rsidRPr="00031AFF" w:rsidRDefault="00167F08" w:rsidP="00A762F5">
            <w:pPr>
              <w:pStyle w:val="TableText"/>
              <w:keepNext/>
              <w:jc w:val="center"/>
            </w:pPr>
            <w:r w:rsidRPr="00031AFF">
              <w:t>316 (95%)</w:t>
            </w:r>
          </w:p>
        </w:tc>
        <w:tc>
          <w:tcPr>
            <w:tcW w:w="1417" w:type="dxa"/>
          </w:tcPr>
          <w:p w14:paraId="57A4848A" w14:textId="77777777" w:rsidR="00167F08" w:rsidRPr="00031AFF" w:rsidRDefault="00167F08" w:rsidP="00A762F5">
            <w:pPr>
              <w:pStyle w:val="TableText"/>
              <w:keepNext/>
              <w:jc w:val="center"/>
            </w:pPr>
            <w:r w:rsidRPr="00031AFF">
              <w:t>191 (98%)</w:t>
            </w:r>
          </w:p>
        </w:tc>
        <w:tc>
          <w:tcPr>
            <w:tcW w:w="1418" w:type="dxa"/>
          </w:tcPr>
          <w:p w14:paraId="5D7D7920" w14:textId="77777777" w:rsidR="00167F08" w:rsidRPr="00031AFF" w:rsidRDefault="00167F08" w:rsidP="00A762F5">
            <w:pPr>
              <w:pStyle w:val="TableText"/>
              <w:keepNext/>
              <w:jc w:val="center"/>
            </w:pPr>
            <w:r w:rsidRPr="00031AFF">
              <w:t>194 (98%)</w:t>
            </w:r>
          </w:p>
        </w:tc>
        <w:tc>
          <w:tcPr>
            <w:tcW w:w="1366" w:type="dxa"/>
          </w:tcPr>
          <w:p w14:paraId="319C960B" w14:textId="77777777" w:rsidR="00167F08" w:rsidRPr="00D46294" w:rsidRDefault="00167F08" w:rsidP="00A762F5">
            <w:pPr>
              <w:pStyle w:val="TableText"/>
              <w:keepNext/>
              <w:jc w:val="center"/>
            </w:pPr>
            <w:r w:rsidRPr="00D46294">
              <w:t>103 (82%)</w:t>
            </w:r>
          </w:p>
        </w:tc>
      </w:tr>
      <w:tr w:rsidR="00167F08" w14:paraId="0996812D" w14:textId="77777777" w:rsidTr="132E0B0E">
        <w:tc>
          <w:tcPr>
            <w:tcW w:w="1129" w:type="dxa"/>
          </w:tcPr>
          <w:p w14:paraId="0F6247C3" w14:textId="77777777" w:rsidR="00167F08" w:rsidRPr="00031AFF" w:rsidRDefault="00167F08" w:rsidP="00A762F5">
            <w:pPr>
              <w:pStyle w:val="TableText"/>
              <w:keepNext/>
            </w:pPr>
            <w:r w:rsidRPr="00031AFF">
              <w:t>Any treatment related adverse event, n (%)</w:t>
            </w:r>
          </w:p>
        </w:tc>
        <w:tc>
          <w:tcPr>
            <w:tcW w:w="1276" w:type="dxa"/>
            <w:shd w:val="clear" w:color="auto" w:fill="auto"/>
          </w:tcPr>
          <w:p w14:paraId="4867BBF6" w14:textId="77777777" w:rsidR="00167F08" w:rsidRPr="007D095B" w:rsidRDefault="00167F08" w:rsidP="00A762F5">
            <w:pPr>
              <w:pStyle w:val="TableText"/>
              <w:keepNext/>
              <w:jc w:val="center"/>
            </w:pPr>
            <w:r>
              <w:t>118 (95%)</w:t>
            </w:r>
          </w:p>
        </w:tc>
        <w:tc>
          <w:tcPr>
            <w:tcW w:w="1134" w:type="dxa"/>
          </w:tcPr>
          <w:p w14:paraId="4EA2A814" w14:textId="77777777" w:rsidR="00167F08" w:rsidRPr="00031AFF" w:rsidRDefault="00167F08" w:rsidP="00A762F5">
            <w:pPr>
              <w:pStyle w:val="TableText"/>
              <w:keepNext/>
              <w:jc w:val="center"/>
            </w:pPr>
            <w:r w:rsidRPr="00031AFF">
              <w:t>156 (46%)</w:t>
            </w:r>
          </w:p>
        </w:tc>
        <w:tc>
          <w:tcPr>
            <w:tcW w:w="1276" w:type="dxa"/>
          </w:tcPr>
          <w:p w14:paraId="5116EDB1" w14:textId="002358F9" w:rsidR="00167F08" w:rsidRPr="00031AFF" w:rsidRDefault="00167F08" w:rsidP="00A762F5">
            <w:pPr>
              <w:pStyle w:val="TableText"/>
              <w:keepNext/>
              <w:jc w:val="center"/>
            </w:pPr>
            <w:r w:rsidRPr="00031AFF">
              <w:t>Related to rituximab: 206 (62%)</w:t>
            </w:r>
          </w:p>
          <w:p w14:paraId="77A984C0" w14:textId="77777777" w:rsidR="00167F08" w:rsidRPr="00031AFF" w:rsidRDefault="00167F08" w:rsidP="00A762F5">
            <w:pPr>
              <w:pStyle w:val="TableText"/>
              <w:keepNext/>
              <w:jc w:val="center"/>
            </w:pPr>
            <w:r w:rsidRPr="00031AFF">
              <w:t>Related to bortezomib: 276 (83%)</w:t>
            </w:r>
          </w:p>
        </w:tc>
        <w:tc>
          <w:tcPr>
            <w:tcW w:w="1417" w:type="dxa"/>
          </w:tcPr>
          <w:p w14:paraId="3D56B7B4" w14:textId="77777777" w:rsidR="00167F08" w:rsidRPr="00031AFF" w:rsidRDefault="00167F08" w:rsidP="00A762F5">
            <w:pPr>
              <w:pStyle w:val="TableText"/>
              <w:keepNext/>
              <w:jc w:val="center"/>
            </w:pPr>
            <w:r w:rsidRPr="00031AFF">
              <w:t>NR</w:t>
            </w:r>
          </w:p>
        </w:tc>
        <w:tc>
          <w:tcPr>
            <w:tcW w:w="1418" w:type="dxa"/>
          </w:tcPr>
          <w:p w14:paraId="42D25B44" w14:textId="77777777" w:rsidR="00167F08" w:rsidRPr="00031AFF" w:rsidRDefault="00167F08" w:rsidP="00A762F5">
            <w:pPr>
              <w:pStyle w:val="TableText"/>
              <w:keepNext/>
              <w:jc w:val="center"/>
            </w:pPr>
            <w:r w:rsidRPr="00031AFF">
              <w:t>NR</w:t>
            </w:r>
          </w:p>
        </w:tc>
        <w:tc>
          <w:tcPr>
            <w:tcW w:w="1366" w:type="dxa"/>
          </w:tcPr>
          <w:p w14:paraId="1B04289B" w14:textId="77777777" w:rsidR="00167F08" w:rsidRPr="00D46294" w:rsidRDefault="00167F08" w:rsidP="00A762F5">
            <w:pPr>
              <w:pStyle w:val="TableText"/>
              <w:keepNext/>
              <w:jc w:val="center"/>
            </w:pPr>
            <w:r w:rsidRPr="00D46294">
              <w:t>NR</w:t>
            </w:r>
          </w:p>
        </w:tc>
      </w:tr>
      <w:tr w:rsidR="00167F08" w14:paraId="727C2402" w14:textId="77777777" w:rsidTr="132E0B0E">
        <w:tc>
          <w:tcPr>
            <w:tcW w:w="1129" w:type="dxa"/>
          </w:tcPr>
          <w:p w14:paraId="6DE65E08" w14:textId="77777777" w:rsidR="00167F08" w:rsidRPr="00031AFF" w:rsidRDefault="00167F08" w:rsidP="00A762F5">
            <w:pPr>
              <w:pStyle w:val="TableText"/>
              <w:keepNext/>
            </w:pPr>
            <w:r w:rsidRPr="00031AFF">
              <w:t>Any adverse event Grade ≥ 3, n (%)</w:t>
            </w:r>
          </w:p>
        </w:tc>
        <w:tc>
          <w:tcPr>
            <w:tcW w:w="1276" w:type="dxa"/>
            <w:shd w:val="clear" w:color="auto" w:fill="auto"/>
          </w:tcPr>
          <w:p w14:paraId="39B24C12" w14:textId="77777777" w:rsidR="00167F08" w:rsidRPr="007D095B" w:rsidRDefault="00167F08" w:rsidP="00A762F5">
            <w:pPr>
              <w:pStyle w:val="TableText"/>
              <w:keepNext/>
              <w:jc w:val="center"/>
            </w:pPr>
            <w:r>
              <w:t>107 (86%)</w:t>
            </w:r>
          </w:p>
        </w:tc>
        <w:tc>
          <w:tcPr>
            <w:tcW w:w="1134" w:type="dxa"/>
          </w:tcPr>
          <w:p w14:paraId="081D2F6D" w14:textId="77777777" w:rsidR="00167F08" w:rsidRPr="00031AFF" w:rsidRDefault="00167F08" w:rsidP="00A762F5">
            <w:pPr>
              <w:pStyle w:val="TableText"/>
              <w:keepNext/>
              <w:jc w:val="center"/>
            </w:pPr>
            <w:r w:rsidRPr="00031AFF">
              <w:t>70 (21%)</w:t>
            </w:r>
          </w:p>
        </w:tc>
        <w:tc>
          <w:tcPr>
            <w:tcW w:w="1276" w:type="dxa"/>
          </w:tcPr>
          <w:p w14:paraId="62B116C0" w14:textId="77777777" w:rsidR="00167F08" w:rsidRPr="00031AFF" w:rsidRDefault="00167F08" w:rsidP="00A762F5">
            <w:pPr>
              <w:pStyle w:val="TableText"/>
              <w:keepNext/>
              <w:jc w:val="center"/>
            </w:pPr>
            <w:r w:rsidRPr="00031AFF">
              <w:t>152 (46%)</w:t>
            </w:r>
          </w:p>
        </w:tc>
        <w:tc>
          <w:tcPr>
            <w:tcW w:w="1417" w:type="dxa"/>
          </w:tcPr>
          <w:p w14:paraId="3EC2BFC2" w14:textId="77777777" w:rsidR="00167F08" w:rsidRPr="00031AFF" w:rsidRDefault="00167F08" w:rsidP="00A762F5">
            <w:pPr>
              <w:pStyle w:val="TableText"/>
              <w:keepNext/>
              <w:jc w:val="center"/>
            </w:pPr>
            <w:r w:rsidRPr="00031AFF">
              <w:t>132 (68%)</w:t>
            </w:r>
          </w:p>
        </w:tc>
        <w:tc>
          <w:tcPr>
            <w:tcW w:w="1418" w:type="dxa"/>
          </w:tcPr>
          <w:p w14:paraId="5043408E" w14:textId="77777777" w:rsidR="00167F08" w:rsidRPr="00031AFF" w:rsidRDefault="00167F08" w:rsidP="00A762F5">
            <w:pPr>
              <w:pStyle w:val="TableText"/>
              <w:keepNext/>
              <w:jc w:val="center"/>
            </w:pPr>
            <w:r w:rsidRPr="00031AFF">
              <w:t>123 (62%)</w:t>
            </w:r>
          </w:p>
        </w:tc>
        <w:tc>
          <w:tcPr>
            <w:tcW w:w="1366" w:type="dxa"/>
          </w:tcPr>
          <w:p w14:paraId="3F106193" w14:textId="77777777" w:rsidR="00167F08" w:rsidRPr="00D46294" w:rsidRDefault="00167F08" w:rsidP="00A762F5">
            <w:pPr>
              <w:pStyle w:val="TableText"/>
              <w:keepNext/>
              <w:jc w:val="center"/>
            </w:pPr>
            <w:r w:rsidRPr="00D46294">
              <w:t>68 (54%)</w:t>
            </w:r>
          </w:p>
        </w:tc>
      </w:tr>
      <w:tr w:rsidR="00167F08" w14:paraId="7C31F800" w14:textId="77777777" w:rsidTr="132E0B0E">
        <w:tc>
          <w:tcPr>
            <w:tcW w:w="1129" w:type="dxa"/>
          </w:tcPr>
          <w:p w14:paraId="1F7E583D" w14:textId="77777777" w:rsidR="00167F08" w:rsidRPr="00031AFF" w:rsidRDefault="00167F08" w:rsidP="00A762F5">
            <w:pPr>
              <w:pStyle w:val="TableText"/>
              <w:keepNext/>
            </w:pPr>
            <w:r w:rsidRPr="00031AFF">
              <w:t>Any serious adverse event, n (%)</w:t>
            </w:r>
          </w:p>
        </w:tc>
        <w:tc>
          <w:tcPr>
            <w:tcW w:w="1276" w:type="dxa"/>
            <w:shd w:val="clear" w:color="auto" w:fill="auto"/>
          </w:tcPr>
          <w:p w14:paraId="4D0BEB36" w14:textId="77777777" w:rsidR="00167F08" w:rsidRPr="007D095B" w:rsidRDefault="00167F08" w:rsidP="00A762F5">
            <w:pPr>
              <w:pStyle w:val="TableText"/>
              <w:keepNext/>
              <w:jc w:val="center"/>
            </w:pPr>
            <w:r>
              <w:t>41 (33%)</w:t>
            </w:r>
          </w:p>
        </w:tc>
        <w:tc>
          <w:tcPr>
            <w:tcW w:w="1134" w:type="dxa"/>
          </w:tcPr>
          <w:p w14:paraId="5D4B424B" w14:textId="77777777" w:rsidR="00167F08" w:rsidRPr="00031AFF" w:rsidRDefault="00167F08" w:rsidP="00A762F5">
            <w:pPr>
              <w:pStyle w:val="TableText"/>
              <w:keepNext/>
              <w:jc w:val="center"/>
            </w:pPr>
            <w:r w:rsidRPr="00031AFF">
              <w:t>37 (11%)</w:t>
            </w:r>
          </w:p>
        </w:tc>
        <w:tc>
          <w:tcPr>
            <w:tcW w:w="1276" w:type="dxa"/>
          </w:tcPr>
          <w:p w14:paraId="2B3B229F" w14:textId="77777777" w:rsidR="00167F08" w:rsidRPr="00031AFF" w:rsidRDefault="00167F08" w:rsidP="00A762F5">
            <w:pPr>
              <w:pStyle w:val="TableText"/>
              <w:keepNext/>
              <w:jc w:val="center"/>
            </w:pPr>
            <w:r w:rsidRPr="00031AFF">
              <w:t>59 (18%)</w:t>
            </w:r>
          </w:p>
        </w:tc>
        <w:tc>
          <w:tcPr>
            <w:tcW w:w="1417" w:type="dxa"/>
          </w:tcPr>
          <w:p w14:paraId="16ABEC68" w14:textId="77777777" w:rsidR="00167F08" w:rsidRPr="00031AFF" w:rsidRDefault="00167F08" w:rsidP="00A762F5">
            <w:pPr>
              <w:pStyle w:val="TableText"/>
              <w:keepNext/>
              <w:jc w:val="center"/>
            </w:pPr>
            <w:r w:rsidRPr="00031AFF">
              <w:t>74 (38%)</w:t>
            </w:r>
          </w:p>
        </w:tc>
        <w:tc>
          <w:tcPr>
            <w:tcW w:w="1418" w:type="dxa"/>
          </w:tcPr>
          <w:p w14:paraId="5C98FF90" w14:textId="77777777" w:rsidR="00167F08" w:rsidRPr="00031AFF" w:rsidRDefault="00167F08" w:rsidP="00A762F5">
            <w:pPr>
              <w:pStyle w:val="TableText"/>
              <w:keepNext/>
              <w:jc w:val="center"/>
            </w:pPr>
            <w:r w:rsidRPr="00031AFF">
              <w:t>65 (33%)</w:t>
            </w:r>
          </w:p>
        </w:tc>
        <w:tc>
          <w:tcPr>
            <w:tcW w:w="1366" w:type="dxa"/>
          </w:tcPr>
          <w:p w14:paraId="74911079" w14:textId="77777777" w:rsidR="00167F08" w:rsidRPr="00D46294" w:rsidRDefault="00167F08" w:rsidP="00A762F5">
            <w:pPr>
              <w:pStyle w:val="TableText"/>
              <w:keepNext/>
              <w:jc w:val="center"/>
            </w:pPr>
            <w:r w:rsidRPr="00D46294">
              <w:t>NR</w:t>
            </w:r>
          </w:p>
        </w:tc>
      </w:tr>
    </w:tbl>
    <w:p w14:paraId="2404168E" w14:textId="0CF7CCB6" w:rsidR="00167F08" w:rsidRPr="00A762F5" w:rsidRDefault="00167F08" w:rsidP="00A762F5">
      <w:pPr>
        <w:pStyle w:val="TableFigNote"/>
        <w:keepNext/>
        <w:rPr>
          <w:rFonts w:ascii="Arial Narrow" w:hAnsi="Arial Narrow"/>
        </w:rPr>
      </w:pPr>
      <w:r w:rsidRPr="00A762F5">
        <w:rPr>
          <w:rFonts w:ascii="Arial Narrow" w:hAnsi="Arial Narrow"/>
        </w:rPr>
        <w:t>Abbreviation:</w:t>
      </w:r>
      <w:r w:rsidR="005E3B57" w:rsidRPr="00A762F5">
        <w:rPr>
          <w:rFonts w:ascii="Arial Narrow" w:hAnsi="Arial Narrow"/>
        </w:rPr>
        <w:t xml:space="preserve"> FL=follicular lymphoma;</w:t>
      </w:r>
      <w:r w:rsidRPr="00A762F5">
        <w:rPr>
          <w:rFonts w:ascii="Arial Narrow" w:hAnsi="Arial Narrow"/>
        </w:rPr>
        <w:t xml:space="preserve"> </w:t>
      </w:r>
      <w:proofErr w:type="spellStart"/>
      <w:r w:rsidR="002C5723" w:rsidRPr="00A762F5">
        <w:rPr>
          <w:rFonts w:ascii="Arial Narrow" w:hAnsi="Arial Narrow"/>
        </w:rPr>
        <w:t>iNHL</w:t>
      </w:r>
      <w:proofErr w:type="spellEnd"/>
      <w:r w:rsidR="002C5723" w:rsidRPr="00A762F5">
        <w:rPr>
          <w:rFonts w:ascii="Arial Narrow" w:hAnsi="Arial Narrow"/>
        </w:rPr>
        <w:t xml:space="preserve">=indolent non-Hodgkin lymphoma; </w:t>
      </w:r>
      <w:r w:rsidRPr="00A762F5">
        <w:rPr>
          <w:rFonts w:ascii="Arial Narrow" w:hAnsi="Arial Narrow"/>
        </w:rPr>
        <w:t>NR=not reported</w:t>
      </w:r>
    </w:p>
    <w:p w14:paraId="3BABB7FB" w14:textId="04499A12" w:rsidR="00167F08" w:rsidRPr="00A762F5" w:rsidRDefault="00167F08" w:rsidP="00A762F5">
      <w:pPr>
        <w:pStyle w:val="TableFigNote"/>
        <w:keepNext/>
        <w:rPr>
          <w:rFonts w:ascii="Arial Narrow" w:hAnsi="Arial Narrow"/>
        </w:rPr>
      </w:pPr>
      <w:r w:rsidRPr="00A762F5">
        <w:rPr>
          <w:rFonts w:ascii="Arial Narrow" w:hAnsi="Arial Narrow"/>
        </w:rPr>
        <w:t xml:space="preserve">Source: </w:t>
      </w:r>
      <w:r w:rsidR="009A05EA" w:rsidRPr="00A762F5">
        <w:rPr>
          <w:rFonts w:ascii="Arial Narrow" w:hAnsi="Arial Narrow"/>
        </w:rPr>
        <w:t xml:space="preserve">Prepared during </w:t>
      </w:r>
      <w:r w:rsidR="00CB58DB" w:rsidRPr="00A762F5">
        <w:rPr>
          <w:rFonts w:ascii="Arial Narrow" w:hAnsi="Arial Narrow"/>
        </w:rPr>
        <w:t xml:space="preserve">evaluation </w:t>
      </w:r>
      <w:r w:rsidR="006D4D81" w:rsidRPr="00A762F5">
        <w:rPr>
          <w:rFonts w:ascii="Arial Narrow" w:hAnsi="Arial Narrow"/>
        </w:rPr>
        <w:t xml:space="preserve">using </w:t>
      </w:r>
      <w:r w:rsidR="00CB58DB" w:rsidRPr="00A762F5">
        <w:rPr>
          <w:rFonts w:ascii="Arial Narrow" w:hAnsi="Arial Narrow"/>
        </w:rPr>
        <w:t>Table 3</w:t>
      </w:r>
      <w:r w:rsidR="00CE2904" w:rsidRPr="00A762F5">
        <w:rPr>
          <w:rFonts w:ascii="Arial Narrow" w:hAnsi="Arial Narrow"/>
        </w:rPr>
        <w:t>1</w:t>
      </w:r>
      <w:r w:rsidR="008C07E9" w:rsidRPr="00A762F5">
        <w:rPr>
          <w:rFonts w:ascii="Arial Narrow" w:hAnsi="Arial Narrow"/>
        </w:rPr>
        <w:t xml:space="preserve"> of MSAC 1771 ADAR.</w:t>
      </w:r>
    </w:p>
    <w:p w14:paraId="126289B6" w14:textId="78888386" w:rsidR="00643F8B" w:rsidRPr="00031AFF" w:rsidRDefault="357D746F" w:rsidP="00643F8B">
      <w:r>
        <w:t xml:space="preserve">Frequently reported adverse events (any Grade) reported in the included studies are outlined in </w:t>
      </w:r>
      <w:r>
        <w:fldChar w:fldCharType="begin"/>
      </w:r>
      <w:r>
        <w:instrText xml:space="preserve"> REF _Ref163140654 \h </w:instrText>
      </w:r>
      <w:r>
        <w:fldChar w:fldCharType="separate"/>
      </w:r>
      <w:r>
        <w:t xml:space="preserve">Table </w:t>
      </w:r>
      <w:r w:rsidRPr="132E0B0E">
        <w:rPr>
          <w:noProof/>
        </w:rPr>
        <w:t>6</w:t>
      </w:r>
      <w:r>
        <w:fldChar w:fldCharType="end"/>
      </w:r>
      <w:r>
        <w:t xml:space="preserve">. </w:t>
      </w:r>
      <w:r w:rsidR="72E812C6">
        <w:t>The ADAR noted that t</w:t>
      </w:r>
      <w:r w:rsidR="688C5B09">
        <w:t xml:space="preserve">he adverse event profile of </w:t>
      </w:r>
      <w:r w:rsidR="72E812C6">
        <w:t>AXI</w:t>
      </w:r>
      <w:r w:rsidR="688C5B09">
        <w:t xml:space="preserve"> differs to </w:t>
      </w:r>
      <w:r w:rsidR="60A0A0AD">
        <w:t xml:space="preserve">the </w:t>
      </w:r>
      <w:r w:rsidR="3B95F09D">
        <w:t xml:space="preserve">adverse event profile of </w:t>
      </w:r>
      <w:r w:rsidR="37B025ED">
        <w:t>SOC</w:t>
      </w:r>
      <w:r w:rsidR="13C51DA8">
        <w:t xml:space="preserve"> </w:t>
      </w:r>
      <w:r w:rsidR="688C5B09">
        <w:t xml:space="preserve">treatment regimens </w:t>
      </w:r>
      <w:r w:rsidR="7C92BB6C">
        <w:t xml:space="preserve">included by the </w:t>
      </w:r>
      <w:r w:rsidR="5026B440">
        <w:t>ADAR</w:t>
      </w:r>
      <w:r w:rsidR="18580B3B">
        <w:t xml:space="preserve">. </w:t>
      </w:r>
      <w:r w:rsidR="688C5B09">
        <w:t xml:space="preserve">Notably, hypotension was the second most frequently reported adverse event for patients treated with </w:t>
      </w:r>
      <w:r w:rsidR="6F2B7E6D">
        <w:t>AXI</w:t>
      </w:r>
      <w:r w:rsidR="688C5B09">
        <w:t xml:space="preserve"> (48%) but was not frequently reported in patients treated with </w:t>
      </w:r>
      <w:r w:rsidR="6D30D778">
        <w:t>SOC</w:t>
      </w:r>
      <w:r w:rsidR="688C5B09">
        <w:t xml:space="preserve">. Further, the proportion of patients experiencing pyrexia was high for </w:t>
      </w:r>
      <w:r w:rsidR="58A5E38D">
        <w:t>AXI</w:t>
      </w:r>
      <w:r w:rsidR="688C5B09">
        <w:t xml:space="preserve"> treatment (83%) compared with </w:t>
      </w:r>
      <w:r w:rsidR="751FB54E">
        <w:t>SOC</w:t>
      </w:r>
      <w:r w:rsidR="688C5B09">
        <w:t xml:space="preserve"> (10%</w:t>
      </w:r>
      <w:r w:rsidR="58A5E38D">
        <w:t xml:space="preserve"> –</w:t>
      </w:r>
      <w:r w:rsidR="688C5B09">
        <w:t xml:space="preserve"> 28%).</w:t>
      </w:r>
    </w:p>
    <w:p w14:paraId="52C37709" w14:textId="28121F50" w:rsidR="0020136D" w:rsidRPr="001D59E3" w:rsidRDefault="688C5B09" w:rsidP="001D59E3">
      <w:r>
        <w:t>The</w:t>
      </w:r>
      <w:r w:rsidR="77849FEE">
        <w:t xml:space="preserve"> ADAR described that the</w:t>
      </w:r>
      <w:r>
        <w:t xml:space="preserve"> exploratory assessment of comparative safety suggest</w:t>
      </w:r>
      <w:r w:rsidR="3FF2BEC6">
        <w:t>ed</w:t>
      </w:r>
      <w:r>
        <w:t xml:space="preserve"> that, overall, </w:t>
      </w:r>
      <w:r w:rsidR="3FF2BEC6">
        <w:t>AXI</w:t>
      </w:r>
      <w:r>
        <w:t xml:space="preserve"> has an inferior safety profile compared with </w:t>
      </w:r>
      <w:r w:rsidR="18030215">
        <w:t>SOC</w:t>
      </w:r>
      <w:r>
        <w:t xml:space="preserve"> regimens based on the higher proportion of patients experiencing adverse events Grade ≥3.</w:t>
      </w:r>
      <w:r w:rsidR="6C1A427A">
        <w:t xml:space="preserve"> </w:t>
      </w:r>
      <w:r w:rsidR="65863C31">
        <w:t xml:space="preserve">The </w:t>
      </w:r>
      <w:r w:rsidR="22ECE1F9">
        <w:t>Commentary</w:t>
      </w:r>
      <w:r w:rsidR="65863C31">
        <w:t xml:space="preserve"> considered that the </w:t>
      </w:r>
      <w:r w:rsidR="5026B440">
        <w:t>ADAR</w:t>
      </w:r>
      <w:r w:rsidR="65863C31">
        <w:t xml:space="preserve">’s claim that AXI was inferior in terms of safety compared with </w:t>
      </w:r>
      <w:r w:rsidR="1B303D6B">
        <w:t>SOC</w:t>
      </w:r>
      <w:r w:rsidR="65863C31">
        <w:t xml:space="preserve"> may be reasonable, though it was difficult to determine with certainty (including the extent of this inferiority) given the </w:t>
      </w:r>
      <w:r w:rsidR="71BFFF98">
        <w:t xml:space="preserve">limited </w:t>
      </w:r>
      <w:r w:rsidR="65863C31">
        <w:t>data presented</w:t>
      </w:r>
      <w:r w:rsidR="4F8BCB93">
        <w:t>.</w:t>
      </w:r>
      <w:r w:rsidR="75ECFFF6">
        <w:t xml:space="preserve"> </w:t>
      </w:r>
    </w:p>
    <w:p w14:paraId="1AF7DD85" w14:textId="43B6E2FC" w:rsidR="0020136D" w:rsidRPr="00637FCF" w:rsidRDefault="0020136D" w:rsidP="0020136D">
      <w:pPr>
        <w:pStyle w:val="Caption"/>
      </w:pPr>
      <w:bookmarkStart w:id="22" w:name="_Ref163140654"/>
      <w:r w:rsidRPr="00637FCF">
        <w:lastRenderedPageBreak/>
        <w:t xml:space="preserve">Table </w:t>
      </w:r>
      <w:r>
        <w:fldChar w:fldCharType="begin"/>
      </w:r>
      <w:r>
        <w:instrText>SEQ Table \* ARABIC</w:instrText>
      </w:r>
      <w:r>
        <w:fldChar w:fldCharType="separate"/>
      </w:r>
      <w:r w:rsidRPr="00637FCF">
        <w:rPr>
          <w:noProof/>
        </w:rPr>
        <w:t>6</w:t>
      </w:r>
      <w:r>
        <w:fldChar w:fldCharType="end"/>
      </w:r>
      <w:bookmarkEnd w:id="22"/>
      <w:r w:rsidRPr="00637FCF">
        <w:tab/>
        <w:t xml:space="preserve">Frequently reported summary of adverse events of the included clinical studies </w:t>
      </w:r>
    </w:p>
    <w:tbl>
      <w:tblPr>
        <w:tblStyle w:val="TableGrid"/>
        <w:tblW w:w="0" w:type="auto"/>
        <w:tblLayout w:type="fixed"/>
        <w:tblLook w:val="04A0" w:firstRow="1" w:lastRow="0" w:firstColumn="1" w:lastColumn="0" w:noHBand="0" w:noVBand="1"/>
      </w:tblPr>
      <w:tblGrid>
        <w:gridCol w:w="704"/>
        <w:gridCol w:w="1385"/>
        <w:gridCol w:w="1385"/>
        <w:gridCol w:w="1341"/>
        <w:gridCol w:w="1430"/>
        <w:gridCol w:w="1385"/>
        <w:gridCol w:w="1386"/>
      </w:tblGrid>
      <w:tr w:rsidR="009163A7" w:rsidRPr="00637FCF" w14:paraId="001C2773" w14:textId="77777777" w:rsidTr="132E0B0E">
        <w:tc>
          <w:tcPr>
            <w:tcW w:w="704" w:type="dxa"/>
            <w:vMerge w:val="restart"/>
          </w:tcPr>
          <w:p w14:paraId="44FDB072" w14:textId="77777777" w:rsidR="009163A7" w:rsidRPr="00637FCF" w:rsidRDefault="009163A7">
            <w:pPr>
              <w:pStyle w:val="TableHeading0"/>
              <w:keepNext/>
              <w:keepLines/>
            </w:pPr>
            <w:r w:rsidRPr="00637FCF">
              <w:t>Rank (%)</w:t>
            </w:r>
          </w:p>
        </w:tc>
        <w:tc>
          <w:tcPr>
            <w:tcW w:w="1385" w:type="dxa"/>
          </w:tcPr>
          <w:p w14:paraId="5366DE94" w14:textId="77777777" w:rsidR="009163A7" w:rsidRPr="00031AFF" w:rsidRDefault="009163A7">
            <w:pPr>
              <w:pStyle w:val="TableHeading0"/>
              <w:keepNext/>
              <w:keepLines/>
              <w:jc w:val="center"/>
            </w:pPr>
            <w:r>
              <w:t xml:space="preserve">Updated </w:t>
            </w:r>
            <w:proofErr w:type="gramStart"/>
            <w:r>
              <w:t>48 month</w:t>
            </w:r>
            <w:proofErr w:type="gramEnd"/>
            <w:r>
              <w:t xml:space="preserve"> analysis of ZUMA-5</w:t>
            </w:r>
          </w:p>
        </w:tc>
        <w:tc>
          <w:tcPr>
            <w:tcW w:w="2726" w:type="dxa"/>
            <w:gridSpan w:val="2"/>
          </w:tcPr>
          <w:p w14:paraId="2C75B373" w14:textId="0483E5E3" w:rsidR="009163A7" w:rsidRPr="00031AFF" w:rsidRDefault="009163A7">
            <w:pPr>
              <w:pStyle w:val="TableHeading0"/>
              <w:keepNext/>
              <w:keepLines/>
              <w:jc w:val="center"/>
            </w:pPr>
            <w:r w:rsidRPr="00031AFF">
              <w:t>LYM-3001: (</w:t>
            </w:r>
            <w:proofErr w:type="spellStart"/>
            <w:r w:rsidRPr="00031AFF">
              <w:t>Coiffier</w:t>
            </w:r>
            <w:proofErr w:type="spellEnd"/>
            <w:r w:rsidRPr="00031AFF">
              <w:t xml:space="preserve"> et al. 2011)</w:t>
            </w:r>
            <w:r w:rsidRPr="00031AFF">
              <w:fldChar w:fldCharType="begin"/>
            </w:r>
            <w:r w:rsidRPr="00031AFF">
              <w:instrText xml:space="preserve"> ADDIN EN.CITE &lt;EndNote&gt;&lt;Cite&gt;&lt;Author&gt;Coiffier&lt;/Author&gt;&lt;Year&gt;2011&lt;/Year&gt;&lt;RecNum&gt;1331&lt;/RecNum&gt;&lt;DisplayText&gt;(Coiffier et al. 2011)&lt;/DisplayText&gt;&lt;record&gt;&lt;rec-number&gt;1331&lt;/rec-number&gt;&lt;foreign-keys&gt;&lt;key app="EN" db-id="ezvspvpphdrt93e9asepdx5etr9rf5rptvp0" timestamp="1704345896"&gt;1331&lt;/key&gt;&lt;/foreign-keys&gt;&lt;ref-type name="Journal Article"&gt;17&lt;/ref-type&gt;&lt;contributors&gt;&lt;authors&gt;&lt;author&gt;Coiffier, Bertrand&lt;/author&gt;&lt;author&gt;Osmanov, Evgenii A&lt;/author&gt;&lt;author&gt;Hong, Xiaonan&lt;/author&gt;&lt;author&gt;Scheliga, Adriana&lt;/author&gt;&lt;author&gt;Mayer, Jiri&lt;/author&gt;&lt;author&gt;Offner, Fritz&lt;/author&gt;&lt;author&gt;Rule, Simon&lt;/author&gt;&lt;author&gt;Teixeira, Adriana&lt;/author&gt;&lt;author&gt;Walewski, Jan&lt;/author&gt;&lt;author&gt;de Vos, Sven&lt;/author&gt;&lt;/authors&gt;&lt;/contributors&gt;&lt;titles&gt;&lt;title&gt;Bortezomib plus rituximab versus rituximab alone in patients with relapsed, rituximab-naive or rituximab-sensitive, follicular lymphoma: a randomised phase 3 trial&lt;/title&gt;&lt;secondary-title&gt;The lancet oncology&lt;/secondary-title&gt;&lt;/titles&gt;&lt;periodical&gt;&lt;full-title&gt;The Lancet Oncology&lt;/full-title&gt;&lt;/periodical&gt;&lt;pages&gt;773-784&lt;/pages&gt;&lt;volume&gt;12&lt;/volume&gt;&lt;number&gt;8&lt;/number&gt;&lt;dates&gt;&lt;year&gt;2011&lt;/year&gt;&lt;/dates&gt;&lt;isbn&gt;1470-2045&lt;/isbn&gt;&lt;urls&gt;&lt;/urls&gt;&lt;/record&gt;&lt;/Cite&gt;&lt;/EndNote&gt;</w:instrText>
            </w:r>
            <w:r w:rsidR="001D2518">
              <w:fldChar w:fldCharType="separate"/>
            </w:r>
            <w:r w:rsidRPr="00031AFF">
              <w:fldChar w:fldCharType="end"/>
            </w:r>
            <w:r w:rsidRPr="00031AFF">
              <w:t xml:space="preserve"> </w:t>
            </w:r>
          </w:p>
        </w:tc>
        <w:tc>
          <w:tcPr>
            <w:tcW w:w="2815" w:type="dxa"/>
            <w:gridSpan w:val="2"/>
          </w:tcPr>
          <w:p w14:paraId="3A721AE5" w14:textId="5A77BE00" w:rsidR="009163A7" w:rsidRPr="00637FCF" w:rsidRDefault="009163A7">
            <w:pPr>
              <w:pStyle w:val="TableHeading0"/>
              <w:keepNext/>
              <w:keepLines/>
              <w:jc w:val="center"/>
            </w:pPr>
            <w:r w:rsidRPr="00637FCF">
              <w:t xml:space="preserve">GADOLIN: </w:t>
            </w:r>
            <w:r w:rsidRPr="00EB0084">
              <w:t>(</w:t>
            </w:r>
            <w:proofErr w:type="spellStart"/>
            <w:r w:rsidRPr="00EB0084">
              <w:t>Sehn</w:t>
            </w:r>
            <w:proofErr w:type="spellEnd"/>
            <w:r w:rsidRPr="00EB0084">
              <w:t xml:space="preserve"> et al. 2016)</w:t>
            </w:r>
            <w:r w:rsidRPr="00637FCF">
              <w:fldChar w:fldCharType="begin"/>
            </w:r>
            <w:r w:rsidRPr="00637FCF">
              <w:instrText xml:space="preserve"> ADDIN EN.CITE &lt;EndNote&gt;&lt;Cite&gt;&lt;Author&gt;Sehn&lt;/Author&gt;&lt;Year&gt;2016&lt;/Year&gt;&lt;RecNum&gt;1332&lt;/RecNum&gt;&lt;DisplayText&gt;(Sehn et al. 2016)&lt;/DisplayText&gt;&lt;record&gt;&lt;rec-number&gt;1332&lt;/rec-number&gt;&lt;foreign-keys&gt;&lt;key app="EN" db-id="ezvspvpphdrt93e9asepdx5etr9rf5rptvp0" timestamp="1704345937"&gt;1332&lt;/key&gt;&lt;/foreign-keys&gt;&lt;ref-type name="Journal Article"&gt;17&lt;/ref-type&gt;&lt;contributors&gt;&lt;authors&gt;&lt;author&gt;Sehn, Laurie H&lt;/author&gt;&lt;author&gt;Chua, Neil&lt;/author&gt;&lt;author&gt;Mayer, Jiri&lt;/author&gt;&lt;author&gt;Dueck, Gregg&lt;/author&gt;&lt;author&gt;Trněný, Marek&lt;/author&gt;&lt;author&gt;Bouabdallah, Kamal&lt;/author&gt;&lt;author&gt;Fowler, Nathan&lt;/author&gt;&lt;author&gt;Delwail, Vincent&lt;/author&gt;&lt;author&gt;Press, Oliver&lt;/author&gt;&lt;author&gt;Salles, Gilles&lt;/author&gt;&lt;/authors&gt;&lt;/contributors&gt;&lt;titles&gt;&lt;title&gt;Obinutuzumab plus bendamustine versus bendamustine monotherapy in patients with rituximab-refractory indolent non-Hodgkin lymphoma (GADOLIN): a randomised, controlled, open-label, multicentre, phase 3 trial&lt;/title&gt;&lt;secondary-title&gt;The Lancet Oncology&lt;/secondary-title&gt;&lt;/titles&gt;&lt;periodical&gt;&lt;full-title&gt;The Lancet Oncology&lt;/full-title&gt;&lt;/periodical&gt;&lt;pages&gt;1081-1093&lt;/pages&gt;&lt;volume&gt;17&lt;/volume&gt;&lt;number&gt;8&lt;/number&gt;&lt;dates&gt;&lt;year&gt;2016&lt;/year&gt;&lt;/dates&gt;&lt;isbn&gt;1470-2045&lt;/isbn&gt;&lt;urls&gt;&lt;/urls&gt;&lt;/record&gt;&lt;/Cite&gt;&lt;/EndNote&gt;</w:instrText>
            </w:r>
            <w:r w:rsidR="001D2518">
              <w:fldChar w:fldCharType="separate"/>
            </w:r>
            <w:r w:rsidRPr="00637FCF">
              <w:fldChar w:fldCharType="end"/>
            </w:r>
          </w:p>
        </w:tc>
        <w:tc>
          <w:tcPr>
            <w:tcW w:w="1386" w:type="dxa"/>
          </w:tcPr>
          <w:p w14:paraId="467E8E0B" w14:textId="31F29B8C" w:rsidR="009163A7" w:rsidRPr="00637FCF" w:rsidRDefault="009163A7">
            <w:pPr>
              <w:pStyle w:val="TableHeading0"/>
              <w:keepNext/>
              <w:keepLines/>
              <w:jc w:val="center"/>
            </w:pPr>
            <w:r w:rsidRPr="00637FCF">
              <w:t xml:space="preserve">DELTA: </w:t>
            </w:r>
            <w:r w:rsidRPr="00EB0084">
              <w:t>(Gopal et al. 2014)</w:t>
            </w:r>
          </w:p>
        </w:tc>
      </w:tr>
      <w:tr w:rsidR="00422BF0" w:rsidRPr="00637FCF" w14:paraId="5D803089" w14:textId="77777777" w:rsidTr="132E0B0E">
        <w:tc>
          <w:tcPr>
            <w:tcW w:w="704" w:type="dxa"/>
            <w:vMerge/>
          </w:tcPr>
          <w:p w14:paraId="53220606" w14:textId="77777777" w:rsidR="00422BF0" w:rsidRPr="00637FCF" w:rsidRDefault="00422BF0">
            <w:pPr>
              <w:pStyle w:val="TableHeading0"/>
              <w:keepNext/>
              <w:keepLines/>
            </w:pPr>
          </w:p>
        </w:tc>
        <w:tc>
          <w:tcPr>
            <w:tcW w:w="1385" w:type="dxa"/>
          </w:tcPr>
          <w:p w14:paraId="5B4DE434" w14:textId="2A2050EA" w:rsidR="00422BF0" w:rsidRPr="00031AFF" w:rsidRDefault="00422BF0">
            <w:pPr>
              <w:pStyle w:val="TableHeading0"/>
              <w:keepNext/>
              <w:keepLines/>
              <w:jc w:val="center"/>
            </w:pPr>
            <w:r w:rsidRPr="00031AFF">
              <w:t>AXI (N=124)</w:t>
            </w:r>
          </w:p>
        </w:tc>
        <w:tc>
          <w:tcPr>
            <w:tcW w:w="1385" w:type="dxa"/>
          </w:tcPr>
          <w:p w14:paraId="563886D1" w14:textId="77777777" w:rsidR="00422BF0" w:rsidRPr="00031AFF" w:rsidRDefault="00422BF0">
            <w:pPr>
              <w:pStyle w:val="TableHeading0"/>
              <w:keepNext/>
              <w:keepLines/>
              <w:jc w:val="center"/>
            </w:pPr>
            <w:r w:rsidRPr="00031AFF">
              <w:t>Rituximab (N=339)</w:t>
            </w:r>
          </w:p>
        </w:tc>
        <w:tc>
          <w:tcPr>
            <w:tcW w:w="1341" w:type="dxa"/>
          </w:tcPr>
          <w:p w14:paraId="5198D74B" w14:textId="6EE8735E" w:rsidR="00422BF0" w:rsidRPr="00637FCF" w:rsidRDefault="00422BF0">
            <w:pPr>
              <w:pStyle w:val="TableHeading0"/>
              <w:keepNext/>
              <w:keepLines/>
              <w:jc w:val="center"/>
            </w:pPr>
            <w:r w:rsidRPr="00637FCF">
              <w:t>Rituximab+</w:t>
            </w:r>
            <w:r w:rsidR="009163A7">
              <w:t xml:space="preserve"> </w:t>
            </w:r>
            <w:r w:rsidRPr="00637FCF">
              <w:t>bortezomib (N=334)</w:t>
            </w:r>
          </w:p>
        </w:tc>
        <w:tc>
          <w:tcPr>
            <w:tcW w:w="1430" w:type="dxa"/>
          </w:tcPr>
          <w:p w14:paraId="6F882A24" w14:textId="27E3C392" w:rsidR="00422BF0" w:rsidRPr="00637FCF" w:rsidRDefault="00422BF0">
            <w:pPr>
              <w:pStyle w:val="TableHeading0"/>
              <w:keepNext/>
              <w:keepLines/>
              <w:jc w:val="center"/>
            </w:pPr>
            <w:proofErr w:type="spellStart"/>
            <w:r w:rsidRPr="00637FCF">
              <w:t>Obinut</w:t>
            </w:r>
            <w:r w:rsidR="00FD5A64">
              <w:t>u</w:t>
            </w:r>
            <w:r w:rsidRPr="00637FCF">
              <w:t>zumab+bendamustine</w:t>
            </w:r>
            <w:proofErr w:type="spellEnd"/>
            <w:r w:rsidRPr="00637FCF">
              <w:t xml:space="preserve"> (N=194)</w:t>
            </w:r>
          </w:p>
        </w:tc>
        <w:tc>
          <w:tcPr>
            <w:tcW w:w="1385" w:type="dxa"/>
          </w:tcPr>
          <w:p w14:paraId="55C5955F" w14:textId="1BD8AC89" w:rsidR="00422BF0" w:rsidRPr="00637FCF" w:rsidRDefault="00422BF0">
            <w:pPr>
              <w:pStyle w:val="TableHeading0"/>
              <w:keepNext/>
              <w:keepLines/>
              <w:jc w:val="center"/>
            </w:pPr>
            <w:proofErr w:type="spellStart"/>
            <w:r w:rsidRPr="00637FCF">
              <w:t>Bendamustine</w:t>
            </w:r>
            <w:proofErr w:type="spellEnd"/>
            <w:r w:rsidRPr="00637FCF">
              <w:t xml:space="preserve"> (N=198)</w:t>
            </w:r>
          </w:p>
        </w:tc>
        <w:tc>
          <w:tcPr>
            <w:tcW w:w="1386" w:type="dxa"/>
          </w:tcPr>
          <w:p w14:paraId="180045BD" w14:textId="77777777" w:rsidR="00422BF0" w:rsidRPr="00637FCF" w:rsidRDefault="00422BF0">
            <w:pPr>
              <w:pStyle w:val="TableHeading0"/>
              <w:keepNext/>
              <w:keepLines/>
              <w:jc w:val="center"/>
            </w:pPr>
            <w:proofErr w:type="spellStart"/>
            <w:r w:rsidRPr="00637FCF">
              <w:t>Idelalisib</w:t>
            </w:r>
            <w:proofErr w:type="spellEnd"/>
            <w:r w:rsidRPr="00637FCF">
              <w:t xml:space="preserve"> (N=125)</w:t>
            </w:r>
          </w:p>
        </w:tc>
      </w:tr>
      <w:tr w:rsidR="00637FCF" w:rsidRPr="00637FCF" w14:paraId="5A4E26E6" w14:textId="77777777" w:rsidTr="132E0B0E">
        <w:tc>
          <w:tcPr>
            <w:tcW w:w="704" w:type="dxa"/>
          </w:tcPr>
          <w:p w14:paraId="19D2DF8C" w14:textId="77777777" w:rsidR="007C6692" w:rsidRPr="00637FCF" w:rsidRDefault="007C6692">
            <w:pPr>
              <w:pStyle w:val="TableText"/>
              <w:keepNext/>
              <w:keepLines/>
            </w:pPr>
            <w:r w:rsidRPr="00637FCF">
              <w:t>1</w:t>
            </w:r>
          </w:p>
        </w:tc>
        <w:tc>
          <w:tcPr>
            <w:tcW w:w="1385" w:type="dxa"/>
            <w:shd w:val="clear" w:color="auto" w:fill="auto"/>
          </w:tcPr>
          <w:p w14:paraId="49D6C74A" w14:textId="77777777" w:rsidR="007C6692" w:rsidRPr="007D095B" w:rsidRDefault="007C6692">
            <w:pPr>
              <w:pStyle w:val="TableText"/>
              <w:keepNext/>
              <w:keepLines/>
              <w:jc w:val="center"/>
            </w:pPr>
            <w:r>
              <w:t>Pyrexia (83%)</w:t>
            </w:r>
          </w:p>
        </w:tc>
        <w:tc>
          <w:tcPr>
            <w:tcW w:w="1385" w:type="dxa"/>
          </w:tcPr>
          <w:p w14:paraId="4FA83C05" w14:textId="77777777" w:rsidR="007C6692" w:rsidRPr="00031AFF" w:rsidRDefault="007C6692">
            <w:pPr>
              <w:pStyle w:val="TableText"/>
              <w:keepNext/>
              <w:keepLines/>
              <w:jc w:val="center"/>
            </w:pPr>
            <w:r w:rsidRPr="00031AFF">
              <w:t>Infection (27%)</w:t>
            </w:r>
          </w:p>
        </w:tc>
        <w:tc>
          <w:tcPr>
            <w:tcW w:w="1341" w:type="dxa"/>
          </w:tcPr>
          <w:p w14:paraId="0413795E" w14:textId="77777777" w:rsidR="007C6692" w:rsidRPr="00637FCF" w:rsidRDefault="007C6692">
            <w:pPr>
              <w:pStyle w:val="TableText"/>
              <w:keepNext/>
              <w:keepLines/>
              <w:jc w:val="center"/>
            </w:pPr>
            <w:r w:rsidRPr="00637FCF">
              <w:t>Infection (53%)</w:t>
            </w:r>
          </w:p>
        </w:tc>
        <w:tc>
          <w:tcPr>
            <w:tcW w:w="1430" w:type="dxa"/>
          </w:tcPr>
          <w:p w14:paraId="7A23ADB0" w14:textId="77777777" w:rsidR="007C6692" w:rsidRPr="00637FCF" w:rsidRDefault="007C6692">
            <w:pPr>
              <w:pStyle w:val="TableText"/>
              <w:keepNext/>
              <w:keepLines/>
              <w:jc w:val="center"/>
            </w:pPr>
            <w:r w:rsidRPr="00637FCF">
              <w:t>Infusion-related reaction (69%)</w:t>
            </w:r>
          </w:p>
        </w:tc>
        <w:tc>
          <w:tcPr>
            <w:tcW w:w="1385" w:type="dxa"/>
          </w:tcPr>
          <w:p w14:paraId="45CB2F06" w14:textId="4E58054E" w:rsidR="007C6692" w:rsidRPr="00637FCF" w:rsidRDefault="007C6692">
            <w:pPr>
              <w:pStyle w:val="TableText"/>
              <w:keepNext/>
              <w:keepLines/>
              <w:jc w:val="center"/>
            </w:pPr>
            <w:r w:rsidRPr="00637FCF">
              <w:t>Infusion-related reaction (64%)</w:t>
            </w:r>
          </w:p>
        </w:tc>
        <w:tc>
          <w:tcPr>
            <w:tcW w:w="1386" w:type="dxa"/>
          </w:tcPr>
          <w:p w14:paraId="1ED7DD36" w14:textId="77777777" w:rsidR="007C6692" w:rsidRPr="00637FCF" w:rsidRDefault="007C6692">
            <w:pPr>
              <w:pStyle w:val="TableText"/>
              <w:keepNext/>
              <w:keepLines/>
              <w:jc w:val="center"/>
            </w:pPr>
            <w:r w:rsidRPr="00637FCF">
              <w:t>Diarrhoea (43%)</w:t>
            </w:r>
          </w:p>
        </w:tc>
      </w:tr>
      <w:tr w:rsidR="00637FCF" w:rsidRPr="00637FCF" w14:paraId="64581BFF" w14:textId="77777777" w:rsidTr="132E0B0E">
        <w:tc>
          <w:tcPr>
            <w:tcW w:w="704" w:type="dxa"/>
          </w:tcPr>
          <w:p w14:paraId="03372DEF" w14:textId="77777777" w:rsidR="007C6692" w:rsidRPr="00637FCF" w:rsidRDefault="007C6692">
            <w:pPr>
              <w:pStyle w:val="TableText"/>
              <w:keepNext/>
              <w:keepLines/>
            </w:pPr>
            <w:r w:rsidRPr="00637FCF">
              <w:t>2</w:t>
            </w:r>
          </w:p>
        </w:tc>
        <w:tc>
          <w:tcPr>
            <w:tcW w:w="1385" w:type="dxa"/>
            <w:shd w:val="clear" w:color="auto" w:fill="auto"/>
          </w:tcPr>
          <w:p w14:paraId="76E9DE45" w14:textId="77777777" w:rsidR="007C6692" w:rsidRPr="007D095B" w:rsidRDefault="007C6692">
            <w:pPr>
              <w:pStyle w:val="TableText"/>
              <w:keepNext/>
              <w:keepLines/>
              <w:jc w:val="center"/>
            </w:pPr>
            <w:r>
              <w:t>Hypotension (48%)</w:t>
            </w:r>
          </w:p>
        </w:tc>
        <w:tc>
          <w:tcPr>
            <w:tcW w:w="1385" w:type="dxa"/>
          </w:tcPr>
          <w:p w14:paraId="050102F8" w14:textId="77777777" w:rsidR="007C6692" w:rsidRPr="00031AFF" w:rsidRDefault="007C6692">
            <w:pPr>
              <w:pStyle w:val="TableText"/>
              <w:keepNext/>
              <w:keepLines/>
              <w:jc w:val="center"/>
            </w:pPr>
            <w:r w:rsidRPr="00031AFF">
              <w:t>Nausea or vomiting (11%)</w:t>
            </w:r>
          </w:p>
        </w:tc>
        <w:tc>
          <w:tcPr>
            <w:tcW w:w="1341" w:type="dxa"/>
          </w:tcPr>
          <w:p w14:paraId="12DB9EEA" w14:textId="77777777" w:rsidR="007C6692" w:rsidRPr="00637FCF" w:rsidRDefault="007C6692">
            <w:pPr>
              <w:pStyle w:val="TableText"/>
              <w:keepNext/>
              <w:keepLines/>
              <w:jc w:val="center"/>
            </w:pPr>
            <w:r w:rsidRPr="00637FCF">
              <w:t>Diarrhoea (52%)</w:t>
            </w:r>
          </w:p>
        </w:tc>
        <w:tc>
          <w:tcPr>
            <w:tcW w:w="1430" w:type="dxa"/>
          </w:tcPr>
          <w:p w14:paraId="0E6C410A" w14:textId="77777777" w:rsidR="007C6692" w:rsidRPr="00637FCF" w:rsidRDefault="007C6692">
            <w:pPr>
              <w:pStyle w:val="TableText"/>
              <w:keepNext/>
              <w:keepLines/>
              <w:jc w:val="center"/>
            </w:pPr>
            <w:r w:rsidRPr="00637FCF">
              <w:t>Nausea (54%)</w:t>
            </w:r>
          </w:p>
        </w:tc>
        <w:tc>
          <w:tcPr>
            <w:tcW w:w="1385" w:type="dxa"/>
          </w:tcPr>
          <w:p w14:paraId="6A07E1CA" w14:textId="5E42CE3C" w:rsidR="007C6692" w:rsidRPr="00637FCF" w:rsidRDefault="007C6692">
            <w:pPr>
              <w:pStyle w:val="TableText"/>
              <w:keepNext/>
              <w:keepLines/>
              <w:jc w:val="center"/>
            </w:pPr>
            <w:r w:rsidRPr="00637FCF">
              <w:t>Nausea (61%)</w:t>
            </w:r>
          </w:p>
        </w:tc>
        <w:tc>
          <w:tcPr>
            <w:tcW w:w="1386" w:type="dxa"/>
          </w:tcPr>
          <w:p w14:paraId="4B6DF553" w14:textId="77777777" w:rsidR="007C6692" w:rsidRPr="00637FCF" w:rsidRDefault="007C6692">
            <w:pPr>
              <w:pStyle w:val="TableText"/>
              <w:keepNext/>
              <w:keepLines/>
              <w:jc w:val="center"/>
            </w:pPr>
            <w:r w:rsidRPr="00637FCF">
              <w:t>Nausea (30%)</w:t>
            </w:r>
          </w:p>
          <w:p w14:paraId="54693D0E" w14:textId="77777777" w:rsidR="007C6692" w:rsidRPr="00637FCF" w:rsidRDefault="007C6692">
            <w:pPr>
              <w:pStyle w:val="TableText"/>
              <w:keepNext/>
              <w:keepLines/>
              <w:jc w:val="center"/>
            </w:pPr>
            <w:r w:rsidRPr="00637FCF">
              <w:t>Fatigue (30%)</w:t>
            </w:r>
          </w:p>
        </w:tc>
      </w:tr>
      <w:tr w:rsidR="00637FCF" w:rsidRPr="00637FCF" w14:paraId="61C63245" w14:textId="77777777" w:rsidTr="132E0B0E">
        <w:tc>
          <w:tcPr>
            <w:tcW w:w="704" w:type="dxa"/>
          </w:tcPr>
          <w:p w14:paraId="233704A4" w14:textId="77777777" w:rsidR="007C6692" w:rsidRPr="00637FCF" w:rsidRDefault="007C6692">
            <w:pPr>
              <w:pStyle w:val="TableText"/>
              <w:keepNext/>
              <w:keepLines/>
            </w:pPr>
            <w:r w:rsidRPr="00637FCF">
              <w:t>3</w:t>
            </w:r>
          </w:p>
        </w:tc>
        <w:tc>
          <w:tcPr>
            <w:tcW w:w="1385" w:type="dxa"/>
            <w:shd w:val="clear" w:color="auto" w:fill="auto"/>
          </w:tcPr>
          <w:p w14:paraId="10B9DCDA" w14:textId="77777777" w:rsidR="007C6692" w:rsidRPr="007D095B" w:rsidRDefault="007C6692">
            <w:pPr>
              <w:pStyle w:val="TableText"/>
              <w:keepNext/>
              <w:keepLines/>
              <w:jc w:val="center"/>
            </w:pPr>
            <w:r>
              <w:t>Headache (45%)</w:t>
            </w:r>
          </w:p>
        </w:tc>
        <w:tc>
          <w:tcPr>
            <w:tcW w:w="1385" w:type="dxa"/>
          </w:tcPr>
          <w:p w14:paraId="455A3F6F" w14:textId="77777777" w:rsidR="007C6692" w:rsidRPr="00031AFF" w:rsidRDefault="007C6692">
            <w:pPr>
              <w:pStyle w:val="TableText"/>
              <w:keepNext/>
              <w:keepLines/>
              <w:jc w:val="center"/>
            </w:pPr>
            <w:r w:rsidRPr="00031AFF">
              <w:t>Pyrexia (10%)</w:t>
            </w:r>
          </w:p>
        </w:tc>
        <w:tc>
          <w:tcPr>
            <w:tcW w:w="1341" w:type="dxa"/>
          </w:tcPr>
          <w:p w14:paraId="32404D8E" w14:textId="77777777" w:rsidR="007C6692" w:rsidRPr="00637FCF" w:rsidRDefault="007C6692">
            <w:pPr>
              <w:pStyle w:val="TableText"/>
              <w:keepNext/>
              <w:keepLines/>
              <w:jc w:val="center"/>
            </w:pPr>
            <w:r w:rsidRPr="00637FCF">
              <w:t>Nausea or vomiting (36%)</w:t>
            </w:r>
          </w:p>
        </w:tc>
        <w:tc>
          <w:tcPr>
            <w:tcW w:w="1430" w:type="dxa"/>
          </w:tcPr>
          <w:p w14:paraId="67EC1E52" w14:textId="399FD4A3" w:rsidR="007C6692" w:rsidRPr="00637FCF" w:rsidRDefault="007C6692">
            <w:pPr>
              <w:pStyle w:val="TableText"/>
              <w:keepNext/>
              <w:keepLines/>
              <w:jc w:val="center"/>
            </w:pPr>
            <w:r w:rsidRPr="00637FCF">
              <w:t>Fatigue (40%)</w:t>
            </w:r>
          </w:p>
        </w:tc>
        <w:tc>
          <w:tcPr>
            <w:tcW w:w="1385" w:type="dxa"/>
          </w:tcPr>
          <w:p w14:paraId="6854128B" w14:textId="2AFC1DFB" w:rsidR="007C6692" w:rsidRPr="00637FCF" w:rsidRDefault="007C6692">
            <w:pPr>
              <w:pStyle w:val="TableText"/>
              <w:keepNext/>
              <w:keepLines/>
              <w:jc w:val="center"/>
            </w:pPr>
            <w:r w:rsidRPr="00637FCF">
              <w:t>Fatigue (34%)</w:t>
            </w:r>
          </w:p>
        </w:tc>
        <w:tc>
          <w:tcPr>
            <w:tcW w:w="1386" w:type="dxa"/>
          </w:tcPr>
          <w:p w14:paraId="7C5847C4" w14:textId="77777777" w:rsidR="007C6692" w:rsidRPr="00637FCF" w:rsidRDefault="007C6692">
            <w:pPr>
              <w:pStyle w:val="TableText"/>
              <w:keepNext/>
              <w:keepLines/>
              <w:jc w:val="center"/>
            </w:pPr>
            <w:r w:rsidRPr="00637FCF">
              <w:t>Cough (29%)</w:t>
            </w:r>
          </w:p>
        </w:tc>
      </w:tr>
      <w:tr w:rsidR="00637FCF" w:rsidRPr="00637FCF" w14:paraId="73B5709A" w14:textId="77777777" w:rsidTr="132E0B0E">
        <w:tc>
          <w:tcPr>
            <w:tcW w:w="704" w:type="dxa"/>
          </w:tcPr>
          <w:p w14:paraId="0B837BE1" w14:textId="77777777" w:rsidR="007C6692" w:rsidRPr="00637FCF" w:rsidRDefault="007C6692">
            <w:pPr>
              <w:pStyle w:val="TableText"/>
              <w:keepNext/>
              <w:keepLines/>
            </w:pPr>
            <w:r w:rsidRPr="00637FCF">
              <w:t>4</w:t>
            </w:r>
          </w:p>
        </w:tc>
        <w:tc>
          <w:tcPr>
            <w:tcW w:w="1385" w:type="dxa"/>
            <w:shd w:val="clear" w:color="auto" w:fill="auto"/>
          </w:tcPr>
          <w:p w14:paraId="4E340F0D" w14:textId="77777777" w:rsidR="007C6692" w:rsidRPr="007D095B" w:rsidRDefault="007C6692">
            <w:pPr>
              <w:pStyle w:val="TableText"/>
              <w:keepNext/>
              <w:keepLines/>
              <w:jc w:val="center"/>
            </w:pPr>
            <w:r>
              <w:t>Fatigue (41%)</w:t>
            </w:r>
          </w:p>
        </w:tc>
        <w:tc>
          <w:tcPr>
            <w:tcW w:w="1385" w:type="dxa"/>
          </w:tcPr>
          <w:p w14:paraId="3E3234EC" w14:textId="77777777" w:rsidR="007C6692" w:rsidRPr="00031AFF" w:rsidRDefault="007C6692">
            <w:pPr>
              <w:pStyle w:val="TableText"/>
              <w:keepNext/>
              <w:keepLines/>
              <w:jc w:val="center"/>
            </w:pPr>
            <w:r w:rsidRPr="00031AFF">
              <w:t>Cough (9%)</w:t>
            </w:r>
          </w:p>
        </w:tc>
        <w:tc>
          <w:tcPr>
            <w:tcW w:w="1341" w:type="dxa"/>
          </w:tcPr>
          <w:p w14:paraId="27251B5A" w14:textId="77777777" w:rsidR="007C6692" w:rsidRPr="00637FCF" w:rsidRDefault="007C6692">
            <w:pPr>
              <w:pStyle w:val="TableText"/>
              <w:keepNext/>
              <w:keepLines/>
              <w:jc w:val="center"/>
            </w:pPr>
            <w:r w:rsidRPr="00637FCF">
              <w:t>Pyrexia (25%)</w:t>
            </w:r>
          </w:p>
        </w:tc>
        <w:tc>
          <w:tcPr>
            <w:tcW w:w="1430" w:type="dxa"/>
          </w:tcPr>
          <w:p w14:paraId="55970876" w14:textId="1CCE2975" w:rsidR="007C6692" w:rsidRPr="00637FCF" w:rsidRDefault="007C6692">
            <w:pPr>
              <w:pStyle w:val="TableText"/>
              <w:keepNext/>
              <w:keepLines/>
              <w:jc w:val="center"/>
            </w:pPr>
            <w:r w:rsidRPr="00637FCF">
              <w:t>Neutropenia (35%)</w:t>
            </w:r>
          </w:p>
        </w:tc>
        <w:tc>
          <w:tcPr>
            <w:tcW w:w="1385" w:type="dxa"/>
          </w:tcPr>
          <w:p w14:paraId="1E2C7C9F" w14:textId="5B2F3C16" w:rsidR="007C6692" w:rsidRPr="00637FCF" w:rsidRDefault="007C6692">
            <w:pPr>
              <w:pStyle w:val="TableText"/>
              <w:keepNext/>
              <w:keepLines/>
              <w:jc w:val="center"/>
            </w:pPr>
            <w:r w:rsidRPr="00637FCF">
              <w:t>Diarrhoea (31%)</w:t>
            </w:r>
          </w:p>
        </w:tc>
        <w:tc>
          <w:tcPr>
            <w:tcW w:w="1386" w:type="dxa"/>
          </w:tcPr>
          <w:p w14:paraId="2BB5ACDD" w14:textId="77777777" w:rsidR="007C6692" w:rsidRPr="00637FCF" w:rsidRDefault="007C6692">
            <w:pPr>
              <w:pStyle w:val="TableText"/>
              <w:keepNext/>
              <w:keepLines/>
              <w:jc w:val="center"/>
            </w:pPr>
            <w:r w:rsidRPr="00637FCF">
              <w:t>Pyrexia (28%)</w:t>
            </w:r>
          </w:p>
        </w:tc>
      </w:tr>
      <w:tr w:rsidR="00637FCF" w:rsidRPr="00637FCF" w14:paraId="10A5DD1F" w14:textId="77777777" w:rsidTr="132E0B0E">
        <w:trPr>
          <w:trHeight w:val="70"/>
        </w:trPr>
        <w:tc>
          <w:tcPr>
            <w:tcW w:w="704" w:type="dxa"/>
          </w:tcPr>
          <w:p w14:paraId="12ADA761" w14:textId="77777777" w:rsidR="007C6692" w:rsidRPr="00637FCF" w:rsidRDefault="007C6692">
            <w:pPr>
              <w:pStyle w:val="TableText"/>
              <w:keepNext/>
              <w:keepLines/>
            </w:pPr>
            <w:r w:rsidRPr="00637FCF">
              <w:t>5</w:t>
            </w:r>
          </w:p>
        </w:tc>
        <w:tc>
          <w:tcPr>
            <w:tcW w:w="1385" w:type="dxa"/>
          </w:tcPr>
          <w:p w14:paraId="2AFAE937" w14:textId="77777777" w:rsidR="007C6692" w:rsidRPr="007D095B" w:rsidRDefault="007C6692">
            <w:pPr>
              <w:pStyle w:val="TableText"/>
              <w:keepNext/>
              <w:keepLines/>
              <w:jc w:val="center"/>
            </w:pPr>
            <w:r>
              <w:t>Neutropenia (38%)</w:t>
            </w:r>
          </w:p>
        </w:tc>
        <w:tc>
          <w:tcPr>
            <w:tcW w:w="1385" w:type="dxa"/>
          </w:tcPr>
          <w:p w14:paraId="76D1A690" w14:textId="77777777" w:rsidR="007C6692" w:rsidRPr="00031AFF" w:rsidRDefault="007C6692">
            <w:pPr>
              <w:pStyle w:val="TableText"/>
              <w:keepNext/>
              <w:keepLines/>
              <w:jc w:val="center"/>
            </w:pPr>
            <w:r w:rsidRPr="00031AFF">
              <w:t>Diarrhoea (8%)</w:t>
            </w:r>
          </w:p>
        </w:tc>
        <w:tc>
          <w:tcPr>
            <w:tcW w:w="1341" w:type="dxa"/>
          </w:tcPr>
          <w:p w14:paraId="63EFDC5E" w14:textId="77777777" w:rsidR="007C6692" w:rsidRPr="00637FCF" w:rsidRDefault="007C6692">
            <w:pPr>
              <w:pStyle w:val="TableText"/>
              <w:keepNext/>
              <w:keepLines/>
              <w:jc w:val="center"/>
            </w:pPr>
            <w:r w:rsidRPr="00637FCF">
              <w:t>Fatigue (22%)</w:t>
            </w:r>
          </w:p>
        </w:tc>
        <w:tc>
          <w:tcPr>
            <w:tcW w:w="1430" w:type="dxa"/>
          </w:tcPr>
          <w:p w14:paraId="03E5FE4F" w14:textId="77777777" w:rsidR="007C6692" w:rsidRPr="00637FCF" w:rsidRDefault="007C6692">
            <w:pPr>
              <w:pStyle w:val="TableText"/>
              <w:keepNext/>
              <w:keepLines/>
              <w:jc w:val="center"/>
            </w:pPr>
            <w:r w:rsidRPr="00637FCF">
              <w:t>Cough (28%)</w:t>
            </w:r>
          </w:p>
          <w:p w14:paraId="2959CF5A" w14:textId="77777777" w:rsidR="007C6692" w:rsidRPr="00637FCF" w:rsidRDefault="007C6692">
            <w:pPr>
              <w:pStyle w:val="TableText"/>
              <w:keepNext/>
              <w:keepLines/>
              <w:jc w:val="center"/>
            </w:pPr>
            <w:r w:rsidRPr="00637FCF">
              <w:t>Pyrexia (28%)</w:t>
            </w:r>
          </w:p>
        </w:tc>
        <w:tc>
          <w:tcPr>
            <w:tcW w:w="1385" w:type="dxa"/>
          </w:tcPr>
          <w:p w14:paraId="75748170" w14:textId="77777777" w:rsidR="007C6692" w:rsidRPr="00637FCF" w:rsidRDefault="007C6692">
            <w:pPr>
              <w:pStyle w:val="TableText"/>
              <w:keepNext/>
              <w:keepLines/>
              <w:jc w:val="center"/>
            </w:pPr>
            <w:r w:rsidRPr="00637FCF">
              <w:t>Neutropenia (29%)</w:t>
            </w:r>
          </w:p>
        </w:tc>
        <w:tc>
          <w:tcPr>
            <w:tcW w:w="1386" w:type="dxa"/>
          </w:tcPr>
          <w:p w14:paraId="1196AC69" w14:textId="77777777" w:rsidR="007C6692" w:rsidRPr="00637FCF" w:rsidRDefault="007C6692">
            <w:pPr>
              <w:pStyle w:val="TableText"/>
              <w:keepNext/>
              <w:keepLines/>
              <w:jc w:val="center"/>
            </w:pPr>
            <w:r w:rsidRPr="00637FCF">
              <w:t>Decreased appetite (18%)</w:t>
            </w:r>
          </w:p>
          <w:p w14:paraId="5C610266" w14:textId="77777777" w:rsidR="007C6692" w:rsidRPr="00637FCF" w:rsidRDefault="007C6692">
            <w:pPr>
              <w:pStyle w:val="TableText"/>
              <w:keepNext/>
              <w:keepLines/>
              <w:jc w:val="center"/>
            </w:pPr>
            <w:r w:rsidRPr="00637FCF">
              <w:t>Dyspnoea (18%)</w:t>
            </w:r>
          </w:p>
        </w:tc>
      </w:tr>
    </w:tbl>
    <w:p w14:paraId="766BE55D" w14:textId="3CE326BF" w:rsidR="00CF5273" w:rsidRPr="00A762F5" w:rsidRDefault="00CF5273" w:rsidP="001726E9">
      <w:pPr>
        <w:pStyle w:val="TableFigNote"/>
        <w:keepNext/>
        <w:keepLines/>
        <w:rPr>
          <w:rFonts w:ascii="Arial Narrow" w:hAnsi="Arial Narrow"/>
        </w:rPr>
      </w:pPr>
      <w:r w:rsidRPr="00A762F5">
        <w:rPr>
          <w:rFonts w:ascii="Arial Narrow" w:hAnsi="Arial Narrow"/>
        </w:rPr>
        <w:t xml:space="preserve">Source: </w:t>
      </w:r>
      <w:r w:rsidR="009163A7" w:rsidRPr="00A762F5">
        <w:rPr>
          <w:rFonts w:ascii="Arial Narrow" w:hAnsi="Arial Narrow"/>
        </w:rPr>
        <w:t xml:space="preserve">Table 32 of MSAC 1771 </w:t>
      </w:r>
      <w:proofErr w:type="spellStart"/>
      <w:r w:rsidR="009163A7" w:rsidRPr="00A762F5">
        <w:rPr>
          <w:rFonts w:ascii="Arial Narrow" w:hAnsi="Arial Narrow"/>
        </w:rPr>
        <w:t>ADAR+in-line</w:t>
      </w:r>
      <w:proofErr w:type="spellEnd"/>
      <w:r w:rsidR="009163A7" w:rsidRPr="00A762F5">
        <w:rPr>
          <w:rFonts w:ascii="Arial Narrow" w:hAnsi="Arial Narrow"/>
        </w:rPr>
        <w:t xml:space="preserve"> commentary</w:t>
      </w:r>
    </w:p>
    <w:p w14:paraId="3717AA01" w14:textId="52B8BADB" w:rsidR="00772829" w:rsidRPr="00CE28E3" w:rsidRDefault="002176CC" w:rsidP="002A18BE">
      <w:pPr>
        <w:pStyle w:val="Heading2"/>
        <w:numPr>
          <w:ilvl w:val="0"/>
          <w:numId w:val="0"/>
        </w:numPr>
      </w:pPr>
      <w:bookmarkStart w:id="23" w:name="_Toc69491424"/>
      <w:r>
        <w:t>12</w:t>
      </w:r>
      <w:r w:rsidR="00C36633">
        <w:t>.</w:t>
      </w:r>
      <w:r>
        <w:tab/>
      </w:r>
      <w:r w:rsidR="00772829">
        <w:t>Comparative effectiveness</w:t>
      </w:r>
      <w:bookmarkEnd w:id="23"/>
    </w:p>
    <w:p w14:paraId="32D095E1" w14:textId="6A68F10F" w:rsidR="00BE01E2" w:rsidRDefault="00EB3F73" w:rsidP="00717D86">
      <w:r>
        <w:t>The ADAR presented eff</w:t>
      </w:r>
      <w:r w:rsidR="00590B2C">
        <w:t xml:space="preserve">ectiveness </w:t>
      </w:r>
      <w:r>
        <w:t>outcomes</w:t>
      </w:r>
      <w:r w:rsidR="0062571B">
        <w:t xml:space="preserve"> of the ZUMA-5 study</w:t>
      </w:r>
      <w:r w:rsidR="00173C25">
        <w:t xml:space="preserve"> from the</w:t>
      </w:r>
      <w:r w:rsidR="00BE01E2">
        <w:t>:</w:t>
      </w:r>
    </w:p>
    <w:p w14:paraId="6BFE7BFB" w14:textId="19E3E2BC" w:rsidR="00BE01E2" w:rsidRDefault="00173C25" w:rsidP="00717D86">
      <w:pPr>
        <w:pStyle w:val="ListParagraph"/>
        <w:numPr>
          <w:ilvl w:val="0"/>
          <w:numId w:val="37"/>
        </w:numPr>
      </w:pPr>
      <w:r>
        <w:t>P</w:t>
      </w:r>
      <w:r w:rsidR="00415336">
        <w:t>rimary analysis (</w:t>
      </w:r>
      <w:r w:rsidR="007868E2">
        <w:t xml:space="preserve">minimum follow-up of 12 months; </w:t>
      </w:r>
      <w:r w:rsidR="00415336">
        <w:t>d</w:t>
      </w:r>
      <w:r w:rsidR="00D73881">
        <w:t xml:space="preserve">ata cutoff date </w:t>
      </w:r>
      <w:r w:rsidR="00415336">
        <w:t>12 March 2020</w:t>
      </w:r>
      <w:r w:rsidR="00D73881">
        <w:t>)</w:t>
      </w:r>
      <w:r>
        <w:t xml:space="preserve"> based on the inferential analysis set </w:t>
      </w:r>
      <w:r w:rsidR="000B28F6">
        <w:t xml:space="preserve">(N=84) </w:t>
      </w:r>
      <w:r>
        <w:t>(first 84 patients with FL enrolled, treated with any dose of AXI, and had the opportunity to be followed for 12 months from the first disease assessment date)</w:t>
      </w:r>
      <w:r w:rsidR="009163A7">
        <w:t>.</w:t>
      </w:r>
      <w:r w:rsidR="00166778">
        <w:t xml:space="preserve"> </w:t>
      </w:r>
    </w:p>
    <w:p w14:paraId="3BC9EE0A" w14:textId="1B821DC2" w:rsidR="001A4364" w:rsidRDefault="00166778" w:rsidP="00717D86">
      <w:pPr>
        <w:pStyle w:val="ListParagraph"/>
        <w:numPr>
          <w:ilvl w:val="0"/>
          <w:numId w:val="37"/>
        </w:numPr>
      </w:pPr>
      <w:r w:rsidRPr="00225BF4">
        <w:t>48</w:t>
      </w:r>
      <w:r w:rsidR="0047412D">
        <w:t>-</w:t>
      </w:r>
      <w:r w:rsidRPr="00225BF4">
        <w:t>month follow-up analysis (</w:t>
      </w:r>
      <w:r w:rsidR="000C7666" w:rsidRPr="006B01EB">
        <w:t>median follow-up</w:t>
      </w:r>
      <w:r w:rsidR="006B01EB" w:rsidRPr="006B01EB">
        <w:t xml:space="preserve"> of 48 months</w:t>
      </w:r>
      <w:r w:rsidR="000C7666">
        <w:t xml:space="preserve">; </w:t>
      </w:r>
      <w:r w:rsidRPr="00225BF4">
        <w:t>data cutoff date</w:t>
      </w:r>
      <w:r w:rsidR="00225BF4">
        <w:t xml:space="preserve"> 31 March 2023)</w:t>
      </w:r>
      <w:r w:rsidR="00173C25">
        <w:t xml:space="preserve">, </w:t>
      </w:r>
      <w:r w:rsidR="002B002E">
        <w:t xml:space="preserve">based on the </w:t>
      </w:r>
      <w:r w:rsidR="0034717E">
        <w:t>f</w:t>
      </w:r>
      <w:r w:rsidR="002B002E">
        <w:t xml:space="preserve">ull </w:t>
      </w:r>
      <w:r w:rsidR="0034717E">
        <w:t>a</w:t>
      </w:r>
      <w:r w:rsidR="002B002E">
        <w:t xml:space="preserve">nalysis </w:t>
      </w:r>
      <w:r w:rsidR="0034717E">
        <w:t>s</w:t>
      </w:r>
      <w:r w:rsidR="002B002E">
        <w:t xml:space="preserve">et </w:t>
      </w:r>
      <w:r w:rsidR="009C009C">
        <w:t xml:space="preserve">(N=127) </w:t>
      </w:r>
      <w:r w:rsidR="002B002E">
        <w:t>(</w:t>
      </w:r>
      <w:r w:rsidR="00047D44">
        <w:t xml:space="preserve">of </w:t>
      </w:r>
      <w:r w:rsidR="006A39A6">
        <w:t xml:space="preserve">all </w:t>
      </w:r>
      <w:r w:rsidR="00333208">
        <w:t xml:space="preserve">patients </w:t>
      </w:r>
      <w:r w:rsidR="001F2068">
        <w:t xml:space="preserve">with FL </w:t>
      </w:r>
      <w:r w:rsidR="006A39A6">
        <w:t xml:space="preserve">enrolled </w:t>
      </w:r>
      <w:r w:rsidR="001F2068">
        <w:t>in ZUMA-5).</w:t>
      </w:r>
    </w:p>
    <w:p w14:paraId="2A5C83D6" w14:textId="28EBFF55" w:rsidR="00390CFF" w:rsidRDefault="00EA554E" w:rsidP="00717D86">
      <w:r>
        <w:t>F</w:t>
      </w:r>
      <w:r w:rsidR="00B93B9F">
        <w:t xml:space="preserve">or the comparative analysis </w:t>
      </w:r>
      <w:r w:rsidR="00DC29B1">
        <w:t>of ZUMA-5 vs SCHOLAR</w:t>
      </w:r>
      <w:r w:rsidR="00E621B6">
        <w:t>-5</w:t>
      </w:r>
      <w:r>
        <w:t xml:space="preserve">, </w:t>
      </w:r>
      <w:r w:rsidR="007C332E">
        <w:t>effectiveness outcomes</w:t>
      </w:r>
      <w:r w:rsidR="00CA4301">
        <w:t xml:space="preserve"> were presented for</w:t>
      </w:r>
      <w:r w:rsidR="00390CFF">
        <w:t xml:space="preserve"> the:</w:t>
      </w:r>
    </w:p>
    <w:p w14:paraId="7440FC1B" w14:textId="636866C3" w:rsidR="00390CFF" w:rsidRDefault="00390CFF" w:rsidP="00717D86">
      <w:pPr>
        <w:pStyle w:val="ListParagraph"/>
        <w:numPr>
          <w:ilvl w:val="0"/>
          <w:numId w:val="38"/>
        </w:numPr>
      </w:pPr>
      <w:r>
        <w:t>P</w:t>
      </w:r>
      <w:r w:rsidR="00CA4301">
        <w:t xml:space="preserve">rimary comparative analysis </w:t>
      </w:r>
      <w:r w:rsidR="003978E8">
        <w:t>(</w:t>
      </w:r>
      <w:r w:rsidR="00CA4301">
        <w:t>minimum follow-up</w:t>
      </w:r>
      <w:r w:rsidR="003E75B0">
        <w:t xml:space="preserve"> of </w:t>
      </w:r>
      <w:r w:rsidR="0039017D">
        <w:t>18 months</w:t>
      </w:r>
      <w:r w:rsidR="004939D5">
        <w:t>)</w:t>
      </w:r>
      <w:r w:rsidR="005D76BF">
        <w:t xml:space="preserve"> based on the inferential analysis set </w:t>
      </w:r>
      <w:r w:rsidR="006A672C">
        <w:t xml:space="preserve">from ZUMA-5 </w:t>
      </w:r>
      <w:r w:rsidR="000B28F6">
        <w:t xml:space="preserve">(N=86) </w:t>
      </w:r>
      <w:r w:rsidR="0068337D">
        <w:t xml:space="preserve">(first 86 subjects with FL enrolled, treated with any dose of AXI, and had the opportunity to be followed for 18 months (updated </w:t>
      </w:r>
      <w:r w:rsidR="00813451">
        <w:t xml:space="preserve">18-month </w:t>
      </w:r>
      <w:r w:rsidR="0068337D">
        <w:t>analysis of ZUMA-5</w:t>
      </w:r>
      <w:r w:rsidR="00813451">
        <w:t>)</w:t>
      </w:r>
      <w:r w:rsidR="0021114E">
        <w:t>)</w:t>
      </w:r>
      <w:r w:rsidR="00AD28CB">
        <w:t>;</w:t>
      </w:r>
      <w:r w:rsidR="00E621B6">
        <w:t xml:space="preserve"> and </w:t>
      </w:r>
    </w:p>
    <w:p w14:paraId="599E8206" w14:textId="062DA591" w:rsidR="006D613D" w:rsidRPr="009266A4" w:rsidRDefault="79412C3B" w:rsidP="00717D86">
      <w:pPr>
        <w:pStyle w:val="ListParagraph"/>
        <w:numPr>
          <w:ilvl w:val="0"/>
          <w:numId w:val="38"/>
        </w:numPr>
      </w:pPr>
      <w:r>
        <w:t xml:space="preserve">Updated </w:t>
      </w:r>
      <w:r w:rsidR="231B55B8">
        <w:t>48</w:t>
      </w:r>
      <w:r w:rsidR="0047412D">
        <w:t>-</w:t>
      </w:r>
      <w:r w:rsidR="231B55B8">
        <w:t xml:space="preserve">month </w:t>
      </w:r>
      <w:r w:rsidR="4B4D1C82">
        <w:t>comparative analysis</w:t>
      </w:r>
      <w:r w:rsidR="10A3B1B7">
        <w:t xml:space="preserve"> (median follow-up</w:t>
      </w:r>
      <w:r w:rsidR="5543D680">
        <w:t xml:space="preserve"> of 48 months</w:t>
      </w:r>
      <w:r w:rsidR="10A3B1B7">
        <w:t>)</w:t>
      </w:r>
      <w:r w:rsidR="19642895">
        <w:t xml:space="preserve"> based on the full analysis set</w:t>
      </w:r>
      <w:r w:rsidR="3DBCED9F">
        <w:t xml:space="preserve"> from ZUMA-5</w:t>
      </w:r>
      <w:r w:rsidR="19642895">
        <w:t xml:space="preserve"> (N=127)</w:t>
      </w:r>
      <w:r w:rsidR="231B55B8">
        <w:t>.</w:t>
      </w:r>
      <w:r w:rsidR="32CDDEEB">
        <w:t xml:space="preserve"> </w:t>
      </w:r>
      <w:r w:rsidR="50D0B45A">
        <w:t xml:space="preserve">The </w:t>
      </w:r>
      <w:r w:rsidR="00010671">
        <w:t>Commentary</w:t>
      </w:r>
      <w:r w:rsidR="50D0B45A">
        <w:t xml:space="preserve"> noted that t</w:t>
      </w:r>
      <w:r w:rsidR="67085A93">
        <w:t>he results for the updated 48</w:t>
      </w:r>
      <w:r w:rsidR="0047412D">
        <w:t>-</w:t>
      </w:r>
      <w:r w:rsidR="67085A93">
        <w:t xml:space="preserve">month comparative analysis was provided by the submission in free text </w:t>
      </w:r>
      <w:r w:rsidR="5026B440">
        <w:t>(no formulas) in</w:t>
      </w:r>
      <w:r w:rsidR="67085A93">
        <w:t xml:space="preserve"> an excel workbook and therefore could not be independently verified during the evaluation.</w:t>
      </w:r>
    </w:p>
    <w:p w14:paraId="789172A0" w14:textId="17C01D74" w:rsidR="00AB58DA" w:rsidRDefault="000129BE" w:rsidP="00717D86">
      <w:r w:rsidRPr="000129BE">
        <w:t xml:space="preserve">The comparative analysis </w:t>
      </w:r>
      <w:r>
        <w:t xml:space="preserve">presented by the ADAR </w:t>
      </w:r>
      <w:r w:rsidRPr="000129BE">
        <w:t>incorporate</w:t>
      </w:r>
      <w:r>
        <w:t>d</w:t>
      </w:r>
      <w:r w:rsidRPr="000129BE">
        <w:t xml:space="preserve"> a propensity score weighted population from the SCHOLAR-5 cohort</w:t>
      </w:r>
      <w:r w:rsidR="00340D8A">
        <w:t xml:space="preserve">. </w:t>
      </w:r>
    </w:p>
    <w:p w14:paraId="1EEA1427" w14:textId="4036B6E5" w:rsidR="00F82549" w:rsidRPr="00590B2C" w:rsidRDefault="00BA4385" w:rsidP="00067DEB">
      <w:pPr>
        <w:pStyle w:val="Heading3"/>
      </w:pPr>
      <w:r>
        <w:lastRenderedPageBreak/>
        <w:t>Overall</w:t>
      </w:r>
      <w:r>
        <w:rPr>
          <w:rStyle w:val="FootnoteReference"/>
        </w:rPr>
        <w:footnoteReference w:id="12"/>
      </w:r>
      <w:r w:rsidR="00F82549" w:rsidRPr="00590B2C">
        <w:t xml:space="preserve"> response rate </w:t>
      </w:r>
    </w:p>
    <w:p w14:paraId="4EC12490" w14:textId="06B9C120" w:rsidR="00AA7BD6" w:rsidRDefault="578A0E1A" w:rsidP="00717D86">
      <w:r>
        <w:t xml:space="preserve">The primary effectiveness outcome of the ZUMA-5 </w:t>
      </w:r>
      <w:r w:rsidR="0EB1E2AD">
        <w:t>study</w:t>
      </w:r>
      <w:r>
        <w:t xml:space="preserve"> was ORR, defined as the incidence of complete response (CR) or PR as determined by independent central assessment per Lugano classification (</w:t>
      </w:r>
      <w:proofErr w:type="spellStart"/>
      <w:r>
        <w:t>Cheson</w:t>
      </w:r>
      <w:proofErr w:type="spellEnd"/>
      <w:r>
        <w:t xml:space="preserve"> 2014).</w:t>
      </w:r>
      <w:r w:rsidR="0CEA5AAA">
        <w:t xml:space="preserve"> </w:t>
      </w:r>
      <w:r w:rsidR="0EB1E2AD">
        <w:t xml:space="preserve">In ZUMA-5, assessments of response were performed using fluorodeoxyglucose positron emission tomography with contrast-enhanced CT (PET-CT). </w:t>
      </w:r>
      <w:r w:rsidR="2664C43C">
        <w:t xml:space="preserve">The </w:t>
      </w:r>
      <w:r w:rsidR="1D999034">
        <w:t>Commentary</w:t>
      </w:r>
      <w:r w:rsidR="2664C43C">
        <w:t xml:space="preserve"> noted that c</w:t>
      </w:r>
      <w:r w:rsidR="0EB1E2AD">
        <w:t>omparatively, SCHOLAR-5 included some CT-based response assessment and some PET-alone-based response assessments, which may have introduced measurement bias.</w:t>
      </w:r>
    </w:p>
    <w:p w14:paraId="105D6566" w14:textId="2ADD3487" w:rsidR="00EB3F73" w:rsidRDefault="00385FF3" w:rsidP="00717D86">
      <w:r w:rsidRPr="00965628">
        <w:t xml:space="preserve">The ORR for the primary and </w:t>
      </w:r>
      <w:r w:rsidR="00323AB9" w:rsidRPr="00965628">
        <w:t>updated analysi</w:t>
      </w:r>
      <w:r w:rsidR="00323AB9" w:rsidRPr="00ED3F1B">
        <w:t xml:space="preserve">s are presented in </w:t>
      </w:r>
      <w:r w:rsidR="00965628" w:rsidRPr="00ED3F1B">
        <w:fldChar w:fldCharType="begin"/>
      </w:r>
      <w:r w:rsidR="00965628" w:rsidRPr="00ED3F1B">
        <w:instrText xml:space="preserve"> REF _Ref163055826 \h </w:instrText>
      </w:r>
      <w:r w:rsidR="00717D86">
        <w:instrText xml:space="preserve"> \* MERGEFORMAT </w:instrText>
      </w:r>
      <w:r w:rsidR="00965628" w:rsidRPr="00ED3F1B">
        <w:fldChar w:fldCharType="separate"/>
      </w:r>
      <w:r w:rsidR="00ED3F1B" w:rsidRPr="00ED3F1B">
        <w:t xml:space="preserve">Table </w:t>
      </w:r>
      <w:r w:rsidR="00ED3F1B" w:rsidRPr="00ED3F1B">
        <w:rPr>
          <w:noProof/>
        </w:rPr>
        <w:t>7</w:t>
      </w:r>
      <w:r w:rsidR="00965628" w:rsidRPr="00ED3F1B">
        <w:fldChar w:fldCharType="end"/>
      </w:r>
      <w:r w:rsidR="00323AB9" w:rsidRPr="00ED3F1B">
        <w:t>.</w:t>
      </w:r>
      <w:r w:rsidR="00AA7BD6" w:rsidRPr="00ED3F1B">
        <w:t xml:space="preserve"> </w:t>
      </w:r>
      <w:r w:rsidR="00A62BFD" w:rsidRPr="00ED3F1B">
        <w:t>In</w:t>
      </w:r>
      <w:r w:rsidR="00C06F5E" w:rsidRPr="00ED3F1B">
        <w:t xml:space="preserve"> the primary </w:t>
      </w:r>
      <w:r w:rsidR="00C06F5E" w:rsidRPr="00C06F5E">
        <w:t>analysis of ZUMA-5</w:t>
      </w:r>
      <w:r w:rsidR="00A62BFD">
        <w:t>,</w:t>
      </w:r>
      <w:r w:rsidR="00C06F5E" w:rsidRPr="00C06F5E">
        <w:t xml:space="preserve"> 94% of patients were assessed as having a </w:t>
      </w:r>
      <w:r w:rsidR="00292F11">
        <w:t>CR</w:t>
      </w:r>
      <w:r w:rsidR="00C06F5E" w:rsidRPr="00C06F5E">
        <w:t xml:space="preserve"> </w:t>
      </w:r>
      <w:r w:rsidR="001C0419">
        <w:t xml:space="preserve">(79%) </w:t>
      </w:r>
      <w:r w:rsidR="00C06F5E" w:rsidRPr="00C06F5E">
        <w:t xml:space="preserve">or </w:t>
      </w:r>
      <w:r w:rsidR="00292F11">
        <w:t>PR</w:t>
      </w:r>
      <w:r w:rsidR="00C06F5E" w:rsidRPr="00C06F5E">
        <w:t xml:space="preserve"> to treatment with </w:t>
      </w:r>
      <w:r w:rsidR="00292F11">
        <w:t>AXI.</w:t>
      </w:r>
      <w:r w:rsidR="00C06F5E" w:rsidRPr="00C06F5E">
        <w:t xml:space="preserve"> The ORR of 94% was significantly (p&lt;0.0001) greater than the historical control rates of 40%, thus ZUMA-5 met it primary objective</w:t>
      </w:r>
      <w:r w:rsidR="00180D0A">
        <w:rPr>
          <w:rStyle w:val="FootnoteReference"/>
        </w:rPr>
        <w:footnoteReference w:id="13"/>
      </w:r>
      <w:r w:rsidR="00C06F5E" w:rsidRPr="00C06F5E">
        <w:t>.</w:t>
      </w:r>
      <w:r w:rsidR="00E8585F">
        <w:t xml:space="preserve"> </w:t>
      </w:r>
      <w:r w:rsidR="00A62BFD">
        <w:t>In</w:t>
      </w:r>
      <w:r w:rsidR="00C06F5E" w:rsidRPr="00C06F5E">
        <w:t xml:space="preserve"> the updated analysis of ZUMA-5</w:t>
      </w:r>
      <w:r w:rsidR="009A53A4">
        <w:t xml:space="preserve">, </w:t>
      </w:r>
      <w:r w:rsidR="00C06F5E" w:rsidRPr="00C06F5E">
        <w:t xml:space="preserve">there was no change in the ORR of 94% </w:t>
      </w:r>
      <w:r w:rsidR="001C0419">
        <w:t xml:space="preserve">or CR of 79% </w:t>
      </w:r>
      <w:r w:rsidR="00C06F5E" w:rsidRPr="00C06F5E">
        <w:t>that was reported at the primary analysis of ZUMA-5.</w:t>
      </w:r>
    </w:p>
    <w:p w14:paraId="34AB1121" w14:textId="0E133B2C" w:rsidR="00393A5D" w:rsidRPr="00B624F9" w:rsidRDefault="00393A5D" w:rsidP="00B624F9">
      <w:pPr>
        <w:pStyle w:val="Caption"/>
        <w:rPr>
          <w:color w:val="538135" w:themeColor="accent6" w:themeShade="BF"/>
          <w:sz w:val="16"/>
          <w:szCs w:val="16"/>
        </w:rPr>
      </w:pPr>
      <w:bookmarkStart w:id="24" w:name="_Ref163055826"/>
      <w:r>
        <w:t xml:space="preserve">Table </w:t>
      </w:r>
      <w:r>
        <w:fldChar w:fldCharType="begin"/>
      </w:r>
      <w:r>
        <w:instrText>SEQ Table \* ARABIC</w:instrText>
      </w:r>
      <w:r>
        <w:fldChar w:fldCharType="separate"/>
      </w:r>
      <w:r w:rsidR="0020136D" w:rsidRPr="132E0B0E">
        <w:rPr>
          <w:noProof/>
        </w:rPr>
        <w:t>7</w:t>
      </w:r>
      <w:r>
        <w:fldChar w:fldCharType="end"/>
      </w:r>
      <w:bookmarkEnd w:id="24"/>
      <w:r>
        <w:tab/>
      </w:r>
      <w:r w:rsidR="00BA4385">
        <w:t>Overall</w:t>
      </w:r>
      <w:r w:rsidR="00951525">
        <w:t xml:space="preserve"> response rate reported in ZUMA-5</w:t>
      </w:r>
    </w:p>
    <w:tbl>
      <w:tblPr>
        <w:tblStyle w:val="TableGrid"/>
        <w:tblW w:w="0" w:type="auto"/>
        <w:tblLook w:val="04A0" w:firstRow="1" w:lastRow="0" w:firstColumn="1" w:lastColumn="0" w:noHBand="0" w:noVBand="1"/>
      </w:tblPr>
      <w:tblGrid>
        <w:gridCol w:w="3114"/>
        <w:gridCol w:w="2951"/>
        <w:gridCol w:w="2951"/>
      </w:tblGrid>
      <w:tr w:rsidR="0013426F" w14:paraId="097A7745" w14:textId="77777777" w:rsidTr="132E0B0E">
        <w:tc>
          <w:tcPr>
            <w:tcW w:w="3114" w:type="dxa"/>
          </w:tcPr>
          <w:p w14:paraId="495349CF" w14:textId="77777777" w:rsidR="0013426F" w:rsidRDefault="0013426F">
            <w:pPr>
              <w:pStyle w:val="TableHeading0"/>
              <w:keepNext/>
              <w:keepLines/>
            </w:pPr>
          </w:p>
        </w:tc>
        <w:tc>
          <w:tcPr>
            <w:tcW w:w="2951" w:type="dxa"/>
          </w:tcPr>
          <w:p w14:paraId="1B435A13" w14:textId="77777777" w:rsidR="0013426F" w:rsidRDefault="0013426F">
            <w:pPr>
              <w:pStyle w:val="TableHeading0"/>
              <w:keepNext/>
              <w:keepLines/>
              <w:jc w:val="center"/>
            </w:pPr>
            <w:r w:rsidRPr="004565BC">
              <w:rPr>
                <w:bCs/>
              </w:rPr>
              <w:t xml:space="preserve">Primary (12 month) </w:t>
            </w:r>
            <w:r w:rsidRPr="00100EA8">
              <w:rPr>
                <w:bCs/>
              </w:rPr>
              <w:t>analysis of ZUMA-5</w:t>
            </w:r>
            <w:r>
              <w:rPr>
                <w:bCs/>
              </w:rPr>
              <w:t xml:space="preserve"> (N=84): IAS</w:t>
            </w:r>
          </w:p>
        </w:tc>
        <w:tc>
          <w:tcPr>
            <w:tcW w:w="2951" w:type="dxa"/>
          </w:tcPr>
          <w:p w14:paraId="01E35682" w14:textId="77777777" w:rsidR="0013426F" w:rsidRDefault="0013426F">
            <w:pPr>
              <w:pStyle w:val="TableHeading0"/>
              <w:keepNext/>
              <w:keepLines/>
              <w:jc w:val="center"/>
            </w:pPr>
            <w:r>
              <w:t xml:space="preserve">Updated </w:t>
            </w:r>
            <w:proofErr w:type="gramStart"/>
            <w:r>
              <w:t>48 month</w:t>
            </w:r>
            <w:proofErr w:type="gramEnd"/>
            <w:r>
              <w:t xml:space="preserve"> analysis of ZUMA-5 (N=127): FAS</w:t>
            </w:r>
          </w:p>
        </w:tc>
      </w:tr>
      <w:tr w:rsidR="0013426F" w:rsidRPr="000A71E1" w14:paraId="46C133ED" w14:textId="77777777" w:rsidTr="132E0B0E">
        <w:tc>
          <w:tcPr>
            <w:tcW w:w="3114" w:type="dxa"/>
          </w:tcPr>
          <w:p w14:paraId="3A3E54D5" w14:textId="12D1C182" w:rsidR="0013426F" w:rsidRDefault="0013426F">
            <w:pPr>
              <w:pStyle w:val="TableText"/>
              <w:keepNext/>
              <w:keepLines/>
            </w:pPr>
            <w:r>
              <w:t xml:space="preserve">Number of </w:t>
            </w:r>
            <w:r w:rsidR="00BA4385">
              <w:t>overall</w:t>
            </w:r>
            <w:r>
              <w:t xml:space="preserve"> </w:t>
            </w:r>
            <w:r w:rsidRPr="00DA270D">
              <w:t>responders</w:t>
            </w:r>
            <w:r w:rsidRPr="00DA270D">
              <w:rPr>
                <w:i/>
                <w:iCs/>
              </w:rPr>
              <w:t xml:space="preserve">* </w:t>
            </w:r>
            <w:r>
              <w:t>(CR+PR), n (%)</w:t>
            </w:r>
          </w:p>
        </w:tc>
        <w:tc>
          <w:tcPr>
            <w:tcW w:w="2951" w:type="dxa"/>
          </w:tcPr>
          <w:p w14:paraId="044933C8" w14:textId="77777777" w:rsidR="0013426F" w:rsidRPr="009266A4" w:rsidRDefault="0013426F">
            <w:pPr>
              <w:pStyle w:val="TableText"/>
              <w:keepNext/>
              <w:keepLines/>
              <w:jc w:val="center"/>
            </w:pPr>
            <w:r w:rsidRPr="009266A4">
              <w:t>79 (94%) (95% CI 87%, 98%), p&lt;0.0001</w:t>
            </w:r>
          </w:p>
        </w:tc>
        <w:tc>
          <w:tcPr>
            <w:tcW w:w="2951" w:type="dxa"/>
          </w:tcPr>
          <w:p w14:paraId="075443FF" w14:textId="77777777" w:rsidR="0013426F" w:rsidRPr="009266A4" w:rsidRDefault="36813E5A">
            <w:pPr>
              <w:pStyle w:val="TableText"/>
              <w:keepNext/>
              <w:keepLines/>
              <w:jc w:val="center"/>
            </w:pPr>
            <w:r>
              <w:t>119 (94%) (95% CI 88%, 97%)</w:t>
            </w:r>
          </w:p>
        </w:tc>
      </w:tr>
    </w:tbl>
    <w:p w14:paraId="245235E1" w14:textId="2CC385CD" w:rsidR="006573F5" w:rsidRPr="00A762F5" w:rsidRDefault="00552177" w:rsidP="001726E9">
      <w:pPr>
        <w:pStyle w:val="TableFigNote"/>
        <w:rPr>
          <w:rFonts w:ascii="Arial Narrow" w:hAnsi="Arial Narrow"/>
          <w:snapToGrid w:val="0"/>
          <w:lang w:eastAsia="en-AU"/>
        </w:rPr>
      </w:pPr>
      <w:r w:rsidRPr="00A762F5">
        <w:rPr>
          <w:rFonts w:ascii="Arial Narrow" w:hAnsi="Arial Narrow"/>
          <w:snapToGrid w:val="0"/>
          <w:lang w:eastAsia="en-AU"/>
        </w:rPr>
        <w:t xml:space="preserve">Abbreviations: </w:t>
      </w:r>
      <w:r w:rsidR="004565BC" w:rsidRPr="00A762F5">
        <w:rPr>
          <w:rFonts w:ascii="Arial Narrow" w:hAnsi="Arial Narrow"/>
          <w:snapToGrid w:val="0"/>
          <w:lang w:eastAsia="en-AU"/>
        </w:rPr>
        <w:t>IAS=inferential analysis set; CR=complete response; FAS=full analysis set; PR=partial response</w:t>
      </w:r>
    </w:p>
    <w:p w14:paraId="5C28BF13" w14:textId="13F94663" w:rsidR="00ED3F1B" w:rsidRPr="00A762F5" w:rsidRDefault="005A7FF0" w:rsidP="00ED3F1B">
      <w:pPr>
        <w:pStyle w:val="TableFigNote"/>
        <w:rPr>
          <w:rFonts w:ascii="Arial Narrow" w:hAnsi="Arial Narrow"/>
          <w:snapToGrid w:val="0"/>
          <w:lang w:eastAsia="en-AU"/>
        </w:rPr>
      </w:pPr>
      <w:r w:rsidRPr="00A762F5">
        <w:rPr>
          <w:rFonts w:ascii="Arial Narrow" w:hAnsi="Arial Narrow"/>
          <w:snapToGrid w:val="0"/>
          <w:lang w:eastAsia="en-AU"/>
        </w:rPr>
        <w:t xml:space="preserve">* Based on central assessment for primary analysis and investigator assessment for updated analysis. For comparison, the number of </w:t>
      </w:r>
      <w:r w:rsidR="00BA4385">
        <w:rPr>
          <w:rFonts w:ascii="Arial Narrow" w:hAnsi="Arial Narrow"/>
          <w:snapToGrid w:val="0"/>
          <w:lang w:eastAsia="en-AU"/>
        </w:rPr>
        <w:t>overall</w:t>
      </w:r>
      <w:r w:rsidRPr="00A762F5">
        <w:rPr>
          <w:rFonts w:ascii="Arial Narrow" w:hAnsi="Arial Narrow"/>
          <w:snapToGrid w:val="0"/>
          <w:lang w:eastAsia="en-AU"/>
        </w:rPr>
        <w:t xml:space="preserve"> responders (investigator assessed) in the primary analysis (IAS) was 80 (95%) (95% CI 88%, 99%) (Table 17, p92 of the ZUMA-5 primary analysis CSR).</w:t>
      </w:r>
    </w:p>
    <w:p w14:paraId="032DB081" w14:textId="567E0024" w:rsidR="00ED3F1B" w:rsidRPr="00A762F5" w:rsidRDefault="00ED3F1B" w:rsidP="00ED3F1B">
      <w:pPr>
        <w:pStyle w:val="TableFigNote"/>
        <w:rPr>
          <w:rFonts w:ascii="Arial Narrow" w:hAnsi="Arial Narrow"/>
          <w:snapToGrid w:val="0"/>
          <w:lang w:eastAsia="en-AU"/>
        </w:rPr>
      </w:pPr>
      <w:r w:rsidRPr="00A762F5">
        <w:rPr>
          <w:rFonts w:ascii="Arial Narrow" w:hAnsi="Arial Narrow"/>
        </w:rPr>
        <w:t xml:space="preserve">Source: </w:t>
      </w:r>
      <w:r w:rsidR="00643460" w:rsidRPr="00A762F5">
        <w:rPr>
          <w:rFonts w:ascii="Arial Narrow" w:hAnsi="Arial Narrow"/>
        </w:rPr>
        <w:t xml:space="preserve">Table 34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6636C10F" w14:textId="6F84C964" w:rsidR="008F6A6D" w:rsidRPr="00562D49" w:rsidRDefault="57984F50" w:rsidP="132E0B0E">
      <w:pPr>
        <w:rPr>
          <w:i/>
          <w:iCs/>
          <w:color w:val="0070C0"/>
        </w:rPr>
      </w:pPr>
      <w:r>
        <w:t xml:space="preserve">The comparative effectiveness of </w:t>
      </w:r>
      <w:r w:rsidR="10A3B1B7">
        <w:t xml:space="preserve">AXI </w:t>
      </w:r>
      <w:r w:rsidR="7223D9D2">
        <w:t xml:space="preserve">vs </w:t>
      </w:r>
      <w:r w:rsidR="6DB25521">
        <w:t>SOC</w:t>
      </w:r>
      <w:r w:rsidR="7223D9D2">
        <w:t xml:space="preserve"> </w:t>
      </w:r>
      <w:r>
        <w:t xml:space="preserve">for the outcome of ORR reported in the assessment of ZUMA-5 vs SCHOLAR-5 is outlined in </w:t>
      </w:r>
      <w:r>
        <w:fldChar w:fldCharType="begin"/>
      </w:r>
      <w:r>
        <w:instrText xml:space="preserve"> REF _Ref163073816 \h </w:instrText>
      </w:r>
      <w:r>
        <w:fldChar w:fldCharType="separate"/>
      </w:r>
      <w:r w:rsidR="7223D9D2">
        <w:t xml:space="preserve">Table </w:t>
      </w:r>
      <w:r w:rsidR="7223D9D2" w:rsidRPr="132E0B0E">
        <w:rPr>
          <w:noProof/>
        </w:rPr>
        <w:t>8</w:t>
      </w:r>
      <w:r>
        <w:fldChar w:fldCharType="end"/>
      </w:r>
      <w:r>
        <w:t>.</w:t>
      </w:r>
      <w:r w:rsidR="60E75197">
        <w:t xml:space="preserve"> In the updated analysis, </w:t>
      </w:r>
      <w:r w:rsidR="152B6760">
        <w:t xml:space="preserve">the ADAR reported </w:t>
      </w:r>
      <w:r w:rsidR="60E75197">
        <w:t xml:space="preserve">a 40% </w:t>
      </w:r>
      <w:r w:rsidR="6C2AC2FB">
        <w:t xml:space="preserve">difference </w:t>
      </w:r>
      <w:r w:rsidR="60E75197">
        <w:t xml:space="preserve">in ORR for patients treated with </w:t>
      </w:r>
      <w:r w:rsidR="3239B20E">
        <w:t>AXI</w:t>
      </w:r>
      <w:r w:rsidR="60E75197">
        <w:t xml:space="preserve"> (ORR 94%) compared with </w:t>
      </w:r>
      <w:r w:rsidR="7DD102A4">
        <w:t>SOC</w:t>
      </w:r>
      <w:r w:rsidR="60E75197">
        <w:t xml:space="preserve"> (ORR 54%)</w:t>
      </w:r>
      <w:r w:rsidR="06C36791">
        <w:t xml:space="preserve"> </w:t>
      </w:r>
      <w:r w:rsidR="5294DC84">
        <w:t>(</w:t>
      </w:r>
      <w:r w:rsidR="60E75197">
        <w:t>p-value &lt;0.0001</w:t>
      </w:r>
      <w:r w:rsidR="5294DC84">
        <w:t>)</w:t>
      </w:r>
      <w:r w:rsidR="60E75197">
        <w:t xml:space="preserve">. </w:t>
      </w:r>
      <w:r w:rsidR="37DC6D40">
        <w:t xml:space="preserve">The </w:t>
      </w:r>
      <w:r w:rsidR="0A93DD22">
        <w:t>Commentary</w:t>
      </w:r>
      <w:r w:rsidR="37DC6D40">
        <w:t xml:space="preserve"> noted that </w:t>
      </w:r>
      <w:r w:rsidR="67085A93">
        <w:t>w</w:t>
      </w:r>
      <w:r w:rsidR="60E75197">
        <w:t xml:space="preserve">hile results suggested the superiority of AXI over </w:t>
      </w:r>
      <w:r w:rsidR="357347BF">
        <w:t>SOC</w:t>
      </w:r>
      <w:r w:rsidR="60E75197">
        <w:t xml:space="preserve">, the 95% confidence intervals for the reported odds ratios were very wide, </w:t>
      </w:r>
      <w:r w:rsidR="2144084B">
        <w:t>which adds addition</w:t>
      </w:r>
      <w:r w:rsidR="48CE5C91">
        <w:t>al</w:t>
      </w:r>
      <w:r w:rsidR="2144084B">
        <w:t xml:space="preserve"> </w:t>
      </w:r>
      <w:r w:rsidR="60E75197">
        <w:t>uncertainty in the estimates</w:t>
      </w:r>
      <w:r w:rsidR="2144084B">
        <w:t xml:space="preserve"> </w:t>
      </w:r>
      <w:r w:rsidR="48CE5C91">
        <w:t>(</w:t>
      </w:r>
      <w:r w:rsidR="7AEB6254">
        <w:t xml:space="preserve">in addition </w:t>
      </w:r>
      <w:r w:rsidR="48CE5C91">
        <w:t xml:space="preserve">to the uncertainty that stems from the indirect </w:t>
      </w:r>
      <w:r w:rsidR="2F2F83B5">
        <w:t>comparison)</w:t>
      </w:r>
      <w:r w:rsidR="60E75197">
        <w:t>.</w:t>
      </w:r>
    </w:p>
    <w:p w14:paraId="681483BF" w14:textId="7B3982F6" w:rsidR="00E44AB1" w:rsidRPr="00425C2E" w:rsidRDefault="009964E9" w:rsidP="009266A4">
      <w:pPr>
        <w:pStyle w:val="TableHeading0"/>
        <w:keepNext/>
      </w:pPr>
      <w:bookmarkStart w:id="25" w:name="_Ref163073816"/>
      <w:r>
        <w:lastRenderedPageBreak/>
        <w:t xml:space="preserve">Table </w:t>
      </w:r>
      <w:r>
        <w:fldChar w:fldCharType="begin"/>
      </w:r>
      <w:r>
        <w:instrText>SEQ Table \* ARABIC</w:instrText>
      </w:r>
      <w:r>
        <w:fldChar w:fldCharType="separate"/>
      </w:r>
      <w:r w:rsidR="0020136D" w:rsidRPr="132E0B0E">
        <w:rPr>
          <w:noProof/>
        </w:rPr>
        <w:t>8</w:t>
      </w:r>
      <w:r>
        <w:fldChar w:fldCharType="end"/>
      </w:r>
      <w:bookmarkEnd w:id="25"/>
      <w:r>
        <w:tab/>
      </w:r>
      <w:r w:rsidR="00BA4385">
        <w:t>Overall</w:t>
      </w:r>
      <w:r w:rsidR="00425C2E">
        <w:t xml:space="preserve"> response rate reported for ZUMA-5 vs weighted SCHOLAR-5 </w:t>
      </w:r>
    </w:p>
    <w:tbl>
      <w:tblPr>
        <w:tblStyle w:val="TableGrid"/>
        <w:tblW w:w="0" w:type="auto"/>
        <w:tblLayout w:type="fixed"/>
        <w:tblLook w:val="04A0" w:firstRow="1" w:lastRow="0" w:firstColumn="1" w:lastColumn="0" w:noHBand="0" w:noVBand="1"/>
      </w:tblPr>
      <w:tblGrid>
        <w:gridCol w:w="1129"/>
        <w:gridCol w:w="985"/>
        <w:gridCol w:w="986"/>
        <w:gridCol w:w="986"/>
        <w:gridCol w:w="986"/>
        <w:gridCol w:w="986"/>
        <w:gridCol w:w="986"/>
        <w:gridCol w:w="986"/>
        <w:gridCol w:w="986"/>
      </w:tblGrid>
      <w:tr w:rsidR="00131132" w14:paraId="2E0A5855" w14:textId="77777777" w:rsidTr="132E0B0E">
        <w:tc>
          <w:tcPr>
            <w:tcW w:w="1129" w:type="dxa"/>
            <w:vMerge w:val="restart"/>
          </w:tcPr>
          <w:p w14:paraId="20D08C41" w14:textId="77777777" w:rsidR="00131132" w:rsidRDefault="00131132" w:rsidP="009266A4">
            <w:pPr>
              <w:pStyle w:val="TableHeading0"/>
              <w:keepNext/>
              <w:keepLines/>
            </w:pPr>
          </w:p>
        </w:tc>
        <w:tc>
          <w:tcPr>
            <w:tcW w:w="3943" w:type="dxa"/>
            <w:gridSpan w:val="4"/>
          </w:tcPr>
          <w:p w14:paraId="7AB4A7DF" w14:textId="77777777" w:rsidR="00131132" w:rsidRDefault="00131132" w:rsidP="009266A4">
            <w:pPr>
              <w:pStyle w:val="TableHeading0"/>
              <w:keepNext/>
              <w:keepLines/>
              <w:jc w:val="center"/>
              <w:rPr>
                <w:bCs/>
              </w:rPr>
            </w:pPr>
            <w:r>
              <w:rPr>
                <w:bCs/>
              </w:rPr>
              <w:t xml:space="preserve">ZUMA-5 vs SCHOLAR-5: </w:t>
            </w:r>
            <w:r w:rsidRPr="00131132">
              <w:rPr>
                <w:bCs/>
              </w:rPr>
              <w:t>Primary (18 month) comparative analysis</w:t>
            </w:r>
          </w:p>
        </w:tc>
        <w:tc>
          <w:tcPr>
            <w:tcW w:w="3944" w:type="dxa"/>
            <w:gridSpan w:val="4"/>
          </w:tcPr>
          <w:p w14:paraId="7F991011" w14:textId="77777777" w:rsidR="00131132" w:rsidRDefault="00131132" w:rsidP="009266A4">
            <w:pPr>
              <w:pStyle w:val="TableHeading0"/>
              <w:keepNext/>
              <w:keepLines/>
              <w:jc w:val="center"/>
            </w:pPr>
            <w:r>
              <w:t xml:space="preserve">ZUMA-5 vs SCHOLAR-5: Updated </w:t>
            </w:r>
            <w:proofErr w:type="gramStart"/>
            <w:r>
              <w:t>48 month</w:t>
            </w:r>
            <w:proofErr w:type="gramEnd"/>
            <w:r>
              <w:t xml:space="preserve"> comparative analysis</w:t>
            </w:r>
          </w:p>
        </w:tc>
      </w:tr>
      <w:tr w:rsidR="00CC6661" w14:paraId="37F8023F" w14:textId="77777777" w:rsidTr="132E0B0E">
        <w:tc>
          <w:tcPr>
            <w:tcW w:w="1129" w:type="dxa"/>
            <w:vMerge/>
          </w:tcPr>
          <w:p w14:paraId="5DEB8DF8" w14:textId="77777777" w:rsidR="00131132" w:rsidRDefault="00131132" w:rsidP="009266A4">
            <w:pPr>
              <w:pStyle w:val="TableHeading0"/>
              <w:keepNext/>
              <w:keepLines/>
            </w:pPr>
          </w:p>
        </w:tc>
        <w:tc>
          <w:tcPr>
            <w:tcW w:w="985" w:type="dxa"/>
          </w:tcPr>
          <w:p w14:paraId="40AD5070" w14:textId="77777777" w:rsidR="00131132" w:rsidRPr="00100EA8" w:rsidRDefault="00131132" w:rsidP="009266A4">
            <w:pPr>
              <w:pStyle w:val="TableHeading0"/>
              <w:keepNext/>
              <w:keepLines/>
              <w:jc w:val="center"/>
              <w:rPr>
                <w:bCs/>
              </w:rPr>
            </w:pPr>
            <w:r w:rsidRPr="00033343">
              <w:rPr>
                <w:bCs/>
              </w:rPr>
              <w:t>ZUMA-5 (N=86)</w:t>
            </w:r>
          </w:p>
        </w:tc>
        <w:tc>
          <w:tcPr>
            <w:tcW w:w="986" w:type="dxa"/>
          </w:tcPr>
          <w:p w14:paraId="53F3A32A" w14:textId="7E7AC976" w:rsidR="00131132" w:rsidRPr="00100EA8" w:rsidRDefault="00131132" w:rsidP="009266A4">
            <w:pPr>
              <w:pStyle w:val="TableHeading0"/>
              <w:keepNext/>
              <w:keepLines/>
              <w:jc w:val="center"/>
              <w:rPr>
                <w:bCs/>
              </w:rPr>
            </w:pPr>
            <w:r w:rsidRPr="00033343">
              <w:rPr>
                <w:bCs/>
              </w:rPr>
              <w:t>SCHOLAR-5 (N=85)</w:t>
            </w:r>
          </w:p>
        </w:tc>
        <w:tc>
          <w:tcPr>
            <w:tcW w:w="986" w:type="dxa"/>
          </w:tcPr>
          <w:p w14:paraId="44C7713A" w14:textId="74E5CA50" w:rsidR="00131132" w:rsidRPr="00A1662B" w:rsidRDefault="00131132" w:rsidP="132E0B0E">
            <w:pPr>
              <w:pStyle w:val="TableHeading0"/>
              <w:keepNext/>
              <w:keepLines/>
              <w:jc w:val="center"/>
              <w:rPr>
                <w:vertAlign w:val="superscript"/>
              </w:rPr>
            </w:pPr>
            <w:r>
              <w:t>Abs</w:t>
            </w:r>
            <w:r w:rsidR="00726F81">
              <w:t>olute</w:t>
            </w:r>
            <w:r>
              <w:t xml:space="preserve"> diff </w:t>
            </w:r>
            <w:r>
              <w:br/>
              <w:t xml:space="preserve">(95% </w:t>
            </w:r>
            <w:proofErr w:type="gramStart"/>
            <w:r>
              <w:t>CI)</w:t>
            </w:r>
            <w:r w:rsidRPr="132E0B0E">
              <w:rPr>
                <w:vertAlign w:val="superscript"/>
              </w:rPr>
              <w:t>a</w:t>
            </w:r>
            <w:proofErr w:type="gramEnd"/>
          </w:p>
        </w:tc>
        <w:tc>
          <w:tcPr>
            <w:tcW w:w="986" w:type="dxa"/>
          </w:tcPr>
          <w:p w14:paraId="324F9849" w14:textId="77777777" w:rsidR="00131132" w:rsidRPr="00100EA8" w:rsidRDefault="00131132" w:rsidP="009266A4">
            <w:pPr>
              <w:pStyle w:val="TableHeading0"/>
              <w:keepNext/>
              <w:keepLines/>
              <w:jc w:val="center"/>
              <w:rPr>
                <w:bCs/>
              </w:rPr>
            </w:pPr>
            <w:r>
              <w:rPr>
                <w:bCs/>
              </w:rPr>
              <w:t>Odds ratio (95% CI)</w:t>
            </w:r>
          </w:p>
        </w:tc>
        <w:tc>
          <w:tcPr>
            <w:tcW w:w="986" w:type="dxa"/>
          </w:tcPr>
          <w:p w14:paraId="3291F6AC" w14:textId="77777777" w:rsidR="00131132" w:rsidRPr="003A5845" w:rsidRDefault="00131132" w:rsidP="009266A4">
            <w:pPr>
              <w:pStyle w:val="TableHeading0"/>
              <w:keepNext/>
              <w:keepLines/>
              <w:jc w:val="center"/>
              <w:rPr>
                <w:bCs/>
              </w:rPr>
            </w:pPr>
            <w:r w:rsidRPr="003A5845">
              <w:rPr>
                <w:bCs/>
              </w:rPr>
              <w:t>ZUMA-5 (N=127)</w:t>
            </w:r>
          </w:p>
        </w:tc>
        <w:tc>
          <w:tcPr>
            <w:tcW w:w="986" w:type="dxa"/>
          </w:tcPr>
          <w:p w14:paraId="24B0E945" w14:textId="3E3B2803" w:rsidR="00131132" w:rsidRPr="003A5845" w:rsidRDefault="00131132" w:rsidP="009266A4">
            <w:pPr>
              <w:pStyle w:val="TableHeading0"/>
              <w:keepNext/>
              <w:keepLines/>
              <w:jc w:val="center"/>
              <w:rPr>
                <w:bCs/>
              </w:rPr>
            </w:pPr>
            <w:r w:rsidRPr="003A5845">
              <w:rPr>
                <w:bCs/>
              </w:rPr>
              <w:t>SCHOLAR-5 (N=128)</w:t>
            </w:r>
          </w:p>
        </w:tc>
        <w:tc>
          <w:tcPr>
            <w:tcW w:w="986" w:type="dxa"/>
          </w:tcPr>
          <w:p w14:paraId="31F1CC2A" w14:textId="5ECF5564" w:rsidR="00131132" w:rsidRDefault="00131132" w:rsidP="132E0B0E">
            <w:pPr>
              <w:pStyle w:val="TableHeading0"/>
              <w:keepNext/>
              <w:keepLines/>
              <w:jc w:val="center"/>
              <w:rPr>
                <w:vertAlign w:val="superscript"/>
              </w:rPr>
            </w:pPr>
            <w:r>
              <w:t>Abs</w:t>
            </w:r>
            <w:r w:rsidR="00726F81">
              <w:t>olute</w:t>
            </w:r>
            <w:r>
              <w:t xml:space="preserve"> diff </w:t>
            </w:r>
            <w:r>
              <w:br/>
              <w:t xml:space="preserve">(95% </w:t>
            </w:r>
            <w:proofErr w:type="gramStart"/>
            <w:r>
              <w:t>CI)</w:t>
            </w:r>
            <w:r w:rsidRPr="132E0B0E">
              <w:rPr>
                <w:vertAlign w:val="superscript"/>
              </w:rPr>
              <w:t>a</w:t>
            </w:r>
            <w:proofErr w:type="gramEnd"/>
          </w:p>
        </w:tc>
        <w:tc>
          <w:tcPr>
            <w:tcW w:w="986" w:type="dxa"/>
          </w:tcPr>
          <w:p w14:paraId="243247C4" w14:textId="51D35D51" w:rsidR="00131132" w:rsidRDefault="00CC6661" w:rsidP="009266A4">
            <w:pPr>
              <w:pStyle w:val="TableHeading0"/>
              <w:keepNext/>
              <w:keepLines/>
              <w:jc w:val="center"/>
              <w:rPr>
                <w:bCs/>
              </w:rPr>
            </w:pPr>
            <w:r w:rsidRPr="00CC6661">
              <w:rPr>
                <w:bCs/>
              </w:rPr>
              <w:t>Odds ratio (95% CI)</w:t>
            </w:r>
          </w:p>
        </w:tc>
      </w:tr>
      <w:tr w:rsidR="00CC6661" w14:paraId="7B3FEA53" w14:textId="77777777" w:rsidTr="132E0B0E">
        <w:tc>
          <w:tcPr>
            <w:tcW w:w="1129" w:type="dxa"/>
          </w:tcPr>
          <w:p w14:paraId="407AEEC6" w14:textId="686217B8" w:rsidR="00E44AB1" w:rsidRDefault="00E44AB1" w:rsidP="009266A4">
            <w:pPr>
              <w:pStyle w:val="TableText"/>
              <w:keepNext/>
              <w:keepLines/>
            </w:pPr>
            <w:r>
              <w:t>N</w:t>
            </w:r>
            <w:r w:rsidR="00CC6661">
              <w:t>o.</w:t>
            </w:r>
            <w:r>
              <w:t xml:space="preserve"> of </w:t>
            </w:r>
            <w:r w:rsidR="00BA4385">
              <w:t>overall</w:t>
            </w:r>
            <w:r>
              <w:t xml:space="preserve"> responders, n (%)</w:t>
            </w:r>
          </w:p>
        </w:tc>
        <w:tc>
          <w:tcPr>
            <w:tcW w:w="985" w:type="dxa"/>
          </w:tcPr>
          <w:p w14:paraId="3B1762F3" w14:textId="77777777" w:rsidR="00E44AB1" w:rsidRPr="009266A4" w:rsidRDefault="00E44AB1" w:rsidP="009266A4">
            <w:pPr>
              <w:pStyle w:val="TableText"/>
              <w:keepNext/>
              <w:keepLines/>
              <w:jc w:val="center"/>
            </w:pPr>
            <w:r w:rsidRPr="009266A4">
              <w:t>81 (94%)</w:t>
            </w:r>
          </w:p>
        </w:tc>
        <w:tc>
          <w:tcPr>
            <w:tcW w:w="986" w:type="dxa"/>
          </w:tcPr>
          <w:p w14:paraId="0B3BD7D3" w14:textId="77777777" w:rsidR="00E44AB1" w:rsidRPr="009266A4" w:rsidRDefault="00E44AB1" w:rsidP="009266A4">
            <w:pPr>
              <w:pStyle w:val="TableText"/>
              <w:keepNext/>
              <w:keepLines/>
              <w:jc w:val="center"/>
            </w:pPr>
            <w:r w:rsidRPr="009266A4">
              <w:t>42 (50%)</w:t>
            </w:r>
          </w:p>
        </w:tc>
        <w:tc>
          <w:tcPr>
            <w:tcW w:w="986" w:type="dxa"/>
          </w:tcPr>
          <w:p w14:paraId="11D38170" w14:textId="77777777" w:rsidR="00E44AB1" w:rsidRPr="009266A4" w:rsidRDefault="00E44AB1" w:rsidP="009266A4">
            <w:pPr>
              <w:pStyle w:val="TableText"/>
              <w:keepNext/>
              <w:keepLines/>
              <w:jc w:val="center"/>
            </w:pPr>
            <w:r w:rsidRPr="009266A4">
              <w:t>44% (31%, 55%), p &lt;0.0001</w:t>
            </w:r>
          </w:p>
        </w:tc>
        <w:tc>
          <w:tcPr>
            <w:tcW w:w="986" w:type="dxa"/>
          </w:tcPr>
          <w:p w14:paraId="7A19599C" w14:textId="77777777" w:rsidR="00E44AB1" w:rsidRPr="009266A4" w:rsidRDefault="00E44AB1" w:rsidP="009266A4">
            <w:pPr>
              <w:pStyle w:val="TableText"/>
              <w:keepNext/>
              <w:keepLines/>
              <w:jc w:val="center"/>
            </w:pPr>
            <w:r w:rsidRPr="009266A4">
              <w:t>16.2 (5.6, 46.9)</w:t>
            </w:r>
          </w:p>
        </w:tc>
        <w:tc>
          <w:tcPr>
            <w:tcW w:w="986" w:type="dxa"/>
          </w:tcPr>
          <w:p w14:paraId="398FB128" w14:textId="77777777" w:rsidR="00E44AB1" w:rsidRPr="009266A4" w:rsidRDefault="00E44AB1" w:rsidP="009266A4">
            <w:pPr>
              <w:pStyle w:val="TableText"/>
              <w:keepNext/>
              <w:keepLines/>
              <w:jc w:val="center"/>
            </w:pPr>
            <w:r w:rsidRPr="009266A4">
              <w:t>119 (94%)</w:t>
            </w:r>
          </w:p>
        </w:tc>
        <w:tc>
          <w:tcPr>
            <w:tcW w:w="986" w:type="dxa"/>
          </w:tcPr>
          <w:p w14:paraId="588C0C31" w14:textId="77777777" w:rsidR="00E44AB1" w:rsidRPr="009266A4" w:rsidRDefault="00E44AB1" w:rsidP="009266A4">
            <w:pPr>
              <w:pStyle w:val="TableText"/>
              <w:keepNext/>
              <w:keepLines/>
              <w:jc w:val="center"/>
            </w:pPr>
            <w:r w:rsidRPr="009266A4">
              <w:t>69 (54%)</w:t>
            </w:r>
          </w:p>
        </w:tc>
        <w:tc>
          <w:tcPr>
            <w:tcW w:w="986" w:type="dxa"/>
          </w:tcPr>
          <w:p w14:paraId="0FBCAAA4" w14:textId="77777777" w:rsidR="00E44AB1" w:rsidRPr="009266A4" w:rsidRDefault="00E44AB1" w:rsidP="009266A4">
            <w:pPr>
              <w:pStyle w:val="TableText"/>
              <w:keepNext/>
              <w:keepLines/>
              <w:jc w:val="center"/>
            </w:pPr>
            <w:r w:rsidRPr="009266A4">
              <w:t>40% (30%, 49%), p &lt;0.0001</w:t>
            </w:r>
          </w:p>
        </w:tc>
        <w:tc>
          <w:tcPr>
            <w:tcW w:w="986" w:type="dxa"/>
          </w:tcPr>
          <w:p w14:paraId="53EB0C33" w14:textId="77777777" w:rsidR="00E44AB1" w:rsidRPr="009266A4" w:rsidRDefault="00E44AB1" w:rsidP="009266A4">
            <w:pPr>
              <w:pStyle w:val="TableText"/>
              <w:keepNext/>
              <w:keepLines/>
              <w:jc w:val="center"/>
            </w:pPr>
            <w:r w:rsidRPr="009266A4">
              <w:t>12.7 (5.2, 30.6)</w:t>
            </w:r>
          </w:p>
        </w:tc>
      </w:tr>
    </w:tbl>
    <w:p w14:paraId="46021768" w14:textId="5D6583AA" w:rsidR="00745E0D" w:rsidRPr="00A762F5" w:rsidRDefault="006B1D2B" w:rsidP="009266A4">
      <w:pPr>
        <w:pStyle w:val="TableFigNote"/>
        <w:keepNext/>
        <w:rPr>
          <w:rFonts w:ascii="Arial Narrow" w:hAnsi="Arial Narrow"/>
        </w:rPr>
      </w:pPr>
      <w:r w:rsidRPr="00A762F5">
        <w:rPr>
          <w:rFonts w:ascii="Arial Narrow" w:hAnsi="Arial Narrow"/>
        </w:rPr>
        <w:t>Abbreviations:</w:t>
      </w:r>
      <w:r w:rsidR="00687556" w:rsidRPr="00A762F5">
        <w:rPr>
          <w:rFonts w:ascii="Arial Narrow" w:hAnsi="Arial Narrow"/>
        </w:rPr>
        <w:t xml:space="preserve"> CI=confidence interval; </w:t>
      </w:r>
      <w:r w:rsidRPr="00A762F5">
        <w:rPr>
          <w:rFonts w:ascii="Arial Narrow" w:hAnsi="Arial Narrow"/>
        </w:rPr>
        <w:t xml:space="preserve">CR=complete response; </w:t>
      </w:r>
      <w:r w:rsidR="00317EC5" w:rsidRPr="00A762F5">
        <w:rPr>
          <w:rFonts w:ascii="Arial Narrow" w:hAnsi="Arial Narrow"/>
        </w:rPr>
        <w:t xml:space="preserve">diff=difference; </w:t>
      </w:r>
      <w:r w:rsidRPr="00A762F5">
        <w:rPr>
          <w:rFonts w:ascii="Arial Narrow" w:hAnsi="Arial Narrow"/>
        </w:rPr>
        <w:t>PR=partial response</w:t>
      </w:r>
      <w:r w:rsidR="00687556" w:rsidRPr="00A762F5">
        <w:rPr>
          <w:rFonts w:ascii="Arial Narrow" w:hAnsi="Arial Narrow"/>
        </w:rPr>
        <w:t>; diff=difference</w:t>
      </w:r>
    </w:p>
    <w:p w14:paraId="0FD9848C" w14:textId="49365405" w:rsidR="006D18D6" w:rsidRPr="00A762F5" w:rsidRDefault="00E2584D" w:rsidP="009266A4">
      <w:pPr>
        <w:pStyle w:val="TableFigNote"/>
        <w:keepNext/>
        <w:rPr>
          <w:rFonts w:ascii="Arial Narrow" w:hAnsi="Arial Narrow"/>
        </w:rPr>
      </w:pPr>
      <w:r w:rsidRPr="00A762F5">
        <w:rPr>
          <w:rFonts w:ascii="Arial Narrow" w:hAnsi="Arial Narrow"/>
        </w:rPr>
        <w:t xml:space="preserve">a: Calculated during preparation of </w:t>
      </w:r>
      <w:proofErr w:type="gramStart"/>
      <w:r w:rsidRPr="00A762F5">
        <w:rPr>
          <w:rFonts w:ascii="Arial Narrow" w:hAnsi="Arial Narrow"/>
        </w:rPr>
        <w:t>ADAR</w:t>
      </w:r>
      <w:proofErr w:type="gramEnd"/>
    </w:p>
    <w:p w14:paraId="19921C65" w14:textId="1640000B" w:rsidR="00ED5317" w:rsidRPr="00A762F5" w:rsidRDefault="00ED5317" w:rsidP="009266A4">
      <w:pPr>
        <w:pStyle w:val="TableFigNote"/>
        <w:keepNext/>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Table 35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7A0A3CA6" w14:textId="77777777" w:rsidR="00F82549" w:rsidRDefault="00F82549" w:rsidP="00067DEB">
      <w:pPr>
        <w:pStyle w:val="Heading3"/>
      </w:pPr>
      <w:r w:rsidRPr="00590B2C">
        <w:t>Progression-free survival</w:t>
      </w:r>
    </w:p>
    <w:p w14:paraId="65F55CF0" w14:textId="7B180D92" w:rsidR="008E66FD" w:rsidRDefault="00EB0029" w:rsidP="00717D86">
      <w:r>
        <w:t xml:space="preserve">Progression free survival </w:t>
      </w:r>
      <w:r w:rsidR="0026124B">
        <w:t xml:space="preserve">(PFS) </w:t>
      </w:r>
      <w:r>
        <w:t xml:space="preserve">was a secondary effectiveness outcome of ZUMA-5, defined as the time from the </w:t>
      </w:r>
      <w:r w:rsidR="00F16819">
        <w:t>AXI</w:t>
      </w:r>
      <w:r>
        <w:t xml:space="preserve"> infusion date (analysis based on the </w:t>
      </w:r>
      <w:r w:rsidR="0034717E">
        <w:t>i</w:t>
      </w:r>
      <w:r>
        <w:t xml:space="preserve">nferential </w:t>
      </w:r>
      <w:r w:rsidR="0034717E">
        <w:t>a</w:t>
      </w:r>
      <w:r>
        <w:t xml:space="preserve">nalysis </w:t>
      </w:r>
      <w:r w:rsidR="0034717E">
        <w:t>s</w:t>
      </w:r>
      <w:r>
        <w:t>et) or the</w:t>
      </w:r>
      <w:r w:rsidR="00DD26A8">
        <w:t xml:space="preserve"> </w:t>
      </w:r>
      <w:r>
        <w:t xml:space="preserve">enrolment/leukapheresis date (analysis based on the </w:t>
      </w:r>
      <w:r w:rsidR="0034717E">
        <w:t>f</w:t>
      </w:r>
      <w:r>
        <w:t xml:space="preserve">ull </w:t>
      </w:r>
      <w:r w:rsidR="0034717E">
        <w:t>a</w:t>
      </w:r>
      <w:r>
        <w:t xml:space="preserve">nalysis </w:t>
      </w:r>
      <w:r w:rsidR="0034717E">
        <w:t>s</w:t>
      </w:r>
      <w:r>
        <w:t>et) to the date of disease progression or death due to any cause. The primary analysis of PFS was determined by independent central assessment per Lugano classification (</w:t>
      </w:r>
      <w:proofErr w:type="spellStart"/>
      <w:r>
        <w:t>Cheson</w:t>
      </w:r>
      <w:proofErr w:type="spellEnd"/>
      <w:r>
        <w:t xml:space="preserve"> 2014). Sensitivity analysis was conducted in ZUMA-5 for the analysis of PFS in the inferential analysis set, based on the investigator’s assessment of response.</w:t>
      </w:r>
      <w:r w:rsidR="007A5A34">
        <w:t xml:space="preserve"> </w:t>
      </w:r>
    </w:p>
    <w:p w14:paraId="417298CE" w14:textId="2893858F" w:rsidR="00026D6F" w:rsidRPr="00031AFF" w:rsidRDefault="43CF0A8C" w:rsidP="00717D86">
      <w:r>
        <w:t>PFS for subjects who received any subsequent anti-cancer therapy (including SCT or retreatment with AXI) in the absence of prior documented progression was censored at the date of the last evaluable disease assessment prior to subsequent anti-cancer therapy or the last evaluable disease assessment prior to SCT. T</w:t>
      </w:r>
      <w:r w:rsidR="5A24E78D">
        <w:t xml:space="preserve">he </w:t>
      </w:r>
      <w:r w:rsidR="3BAC80B9">
        <w:t>Commentary</w:t>
      </w:r>
      <w:r w:rsidR="5A24E78D">
        <w:t xml:space="preserve"> noted that t</w:t>
      </w:r>
      <w:r>
        <w:t>his may be biased in favour of AXI</w:t>
      </w:r>
      <w:r w:rsidR="2695210C">
        <w:t xml:space="preserve">, noting that </w:t>
      </w:r>
      <w:r w:rsidR="2E1961F0">
        <w:t>four</w:t>
      </w:r>
      <w:r w:rsidR="2695210C">
        <w:t xml:space="preserve"> (5%) patients who started new anticancer therapy or received retreatment with AXI were censored in the </w:t>
      </w:r>
      <w:r w:rsidR="36FE282E">
        <w:t>primary analysis</w:t>
      </w:r>
      <w:r w:rsidR="2695210C">
        <w:t xml:space="preserve"> (see</w:t>
      </w:r>
      <w:r w:rsidR="1D660DD5">
        <w:t xml:space="preserve"> </w:t>
      </w:r>
      <w:r>
        <w:fldChar w:fldCharType="begin"/>
      </w:r>
      <w:r>
        <w:instrText xml:space="preserve"> REF _Ref163119972 \h  \* MERGEFORMAT </w:instrText>
      </w:r>
      <w:r>
        <w:fldChar w:fldCharType="separate"/>
      </w:r>
      <w:r w:rsidR="0BFEDE2C">
        <w:t xml:space="preserve">Table </w:t>
      </w:r>
      <w:r w:rsidR="0BFEDE2C" w:rsidRPr="132E0B0E">
        <w:rPr>
          <w:noProof/>
        </w:rPr>
        <w:t>9</w:t>
      </w:r>
      <w:r>
        <w:fldChar w:fldCharType="end"/>
      </w:r>
      <w:r w:rsidR="2695210C">
        <w:t xml:space="preserve">). </w:t>
      </w:r>
    </w:p>
    <w:p w14:paraId="2BE85EE6" w14:textId="72F8163D" w:rsidR="00F90B64" w:rsidRPr="00D413D7" w:rsidRDefault="625EC8BD" w:rsidP="00F37017">
      <w:pPr>
        <w:tabs>
          <w:tab w:val="left" w:pos="3969"/>
        </w:tabs>
      </w:pPr>
      <w:r>
        <w:t xml:space="preserve">The assessment of PFS for patients </w:t>
      </w:r>
      <w:r w:rsidR="59BA9266">
        <w:t>enrolled</w:t>
      </w:r>
      <w:r>
        <w:t xml:space="preserve"> in ZUMA-5</w:t>
      </w:r>
      <w:r w:rsidR="5C36B10E">
        <w:t xml:space="preserve"> and censoring reasons are</w:t>
      </w:r>
      <w:r>
        <w:t xml:space="preserve"> summarised i</w:t>
      </w:r>
      <w:r w:rsidR="59BA9266">
        <w:t xml:space="preserve">n </w:t>
      </w:r>
      <w:r>
        <w:fldChar w:fldCharType="begin"/>
      </w:r>
      <w:r>
        <w:instrText xml:space="preserve"> REF _Ref163119972 \h  \* MERGEFORMAT </w:instrText>
      </w:r>
      <w:r>
        <w:fldChar w:fldCharType="separate"/>
      </w:r>
      <w:r w:rsidR="0BFEDE2C">
        <w:t xml:space="preserve">Table </w:t>
      </w:r>
      <w:r w:rsidR="0BFEDE2C" w:rsidRPr="132E0B0E">
        <w:rPr>
          <w:noProof/>
        </w:rPr>
        <w:t>9</w:t>
      </w:r>
      <w:r>
        <w:fldChar w:fldCharType="end"/>
      </w:r>
      <w:r>
        <w:t>. At the primary analysis of ZUMA-5</w:t>
      </w:r>
      <w:r w:rsidR="1939E806">
        <w:t>,</w:t>
      </w:r>
      <w:r>
        <w:t xml:space="preserve"> PFS data was relatively immature with only 27%</w:t>
      </w:r>
      <w:r w:rsidR="3464273D">
        <w:t xml:space="preserve"> (23/84)</w:t>
      </w:r>
      <w:r>
        <w:t xml:space="preserve"> of patients assessed as having a PFS event.</w:t>
      </w:r>
      <w:r w:rsidR="019F8417">
        <w:t xml:space="preserve"> The </w:t>
      </w:r>
      <w:r w:rsidR="4C28A9F6">
        <w:t>Commentary</w:t>
      </w:r>
      <w:r w:rsidR="019F8417">
        <w:t xml:space="preserve"> noted that compared to the PFS </w:t>
      </w:r>
      <w:r w:rsidR="2B94FEA8">
        <w:t>(in the inferential an</w:t>
      </w:r>
      <w:r w:rsidR="2F724587">
        <w:t>alysis set)</w:t>
      </w:r>
      <w:r w:rsidR="58C0F96C">
        <w:t xml:space="preserve"> </w:t>
      </w:r>
      <w:r w:rsidR="019F8417">
        <w:t xml:space="preserve">based on central assessment, the proportion of patients assessed as having a PFS event </w:t>
      </w:r>
      <w:r w:rsidR="58C0F96C">
        <w:t xml:space="preserve">(in </w:t>
      </w:r>
      <w:r w:rsidR="2F724587">
        <w:t>the inferential</w:t>
      </w:r>
      <w:r w:rsidR="4FA2988B">
        <w:t xml:space="preserve"> analysis set)</w:t>
      </w:r>
      <w:r w:rsidR="58C0F96C">
        <w:t xml:space="preserve"> </w:t>
      </w:r>
      <w:r w:rsidR="2528B972">
        <w:t>based on investigator</w:t>
      </w:r>
      <w:r w:rsidR="27E37A0D">
        <w:t xml:space="preserve"> assessment </w:t>
      </w:r>
      <w:r w:rsidR="019F8417">
        <w:t xml:space="preserve">was higher in the sensitivity analysis (27% </w:t>
      </w:r>
      <w:r w:rsidR="4B632132">
        <w:t xml:space="preserve">central assessment </w:t>
      </w:r>
      <w:r w:rsidR="019F8417">
        <w:t>vs 35%</w:t>
      </w:r>
      <w:r w:rsidR="4B632132">
        <w:t xml:space="preserve"> investigator assessment,</w:t>
      </w:r>
      <w:r w:rsidR="019F8417">
        <w:t xml:space="preserve"> respectively). However, upon examining the censoring reason, there were more patients with an on-going response in the base case (54 patients vs 52 patients).</w:t>
      </w:r>
      <w:r w:rsidR="1939E806">
        <w:t xml:space="preserve"> </w:t>
      </w:r>
      <w:r w:rsidR="5026B440">
        <w:t xml:space="preserve">It is also not clear why there are differences in outcomes such as death and retreatment between central and investigator assessment. </w:t>
      </w:r>
      <w:r w:rsidR="64F4B75F">
        <w:t xml:space="preserve">At the updated </w:t>
      </w:r>
      <w:r w:rsidR="78F6889C">
        <w:t>48</w:t>
      </w:r>
      <w:r w:rsidR="001C6E21">
        <w:t>-</w:t>
      </w:r>
      <w:r w:rsidR="78F6889C">
        <w:t xml:space="preserve">month </w:t>
      </w:r>
      <w:r w:rsidR="64F4B75F">
        <w:t>analysis of ZUMA-5, 45%</w:t>
      </w:r>
      <w:r w:rsidR="310F4804">
        <w:t xml:space="preserve"> (57/127)</w:t>
      </w:r>
      <w:r w:rsidR="64F4B75F">
        <w:t xml:space="preserve"> of patients were assessed as having a PFS event</w:t>
      </w:r>
      <w:r w:rsidR="58484F64">
        <w:t xml:space="preserve"> (investigator assessment)</w:t>
      </w:r>
      <w:r w:rsidR="64F4B75F">
        <w:t xml:space="preserve">. Median PFS was reported as being 57.3 months (4.8 years), with </w:t>
      </w:r>
      <w:r w:rsidR="3250EA0B">
        <w:t>53</w:t>
      </w:r>
      <w:r w:rsidR="64F4B75F">
        <w:t>% of patients remaining progression free 48 months (4 years) after enrolment in ZUMA-5</w:t>
      </w:r>
      <w:r w:rsidR="16F57584">
        <w:t xml:space="preserve"> according to investigator assessment</w:t>
      </w:r>
      <w:r w:rsidR="64F4B75F">
        <w:t>.</w:t>
      </w:r>
    </w:p>
    <w:p w14:paraId="402FC691" w14:textId="3AB7A219" w:rsidR="00272EF0" w:rsidRDefault="00272EF0" w:rsidP="00272EF0">
      <w:pPr>
        <w:pStyle w:val="Caption"/>
      </w:pPr>
      <w:bookmarkStart w:id="26" w:name="_Ref163119972"/>
      <w:bookmarkStart w:id="27" w:name="_Ref163119970"/>
      <w:r>
        <w:lastRenderedPageBreak/>
        <w:t xml:space="preserve">Table </w:t>
      </w:r>
      <w:r>
        <w:fldChar w:fldCharType="begin"/>
      </w:r>
      <w:r>
        <w:instrText>SEQ Table \* ARABIC</w:instrText>
      </w:r>
      <w:r>
        <w:fldChar w:fldCharType="separate"/>
      </w:r>
      <w:r w:rsidR="0020136D" w:rsidRPr="132E0B0E">
        <w:rPr>
          <w:noProof/>
        </w:rPr>
        <w:t>9</w:t>
      </w:r>
      <w:r>
        <w:fldChar w:fldCharType="end"/>
      </w:r>
      <w:bookmarkEnd w:id="26"/>
      <w:r>
        <w:tab/>
      </w:r>
      <w:r w:rsidR="001D5B3F">
        <w:t>Progression free survival reported in ZUMA-5</w:t>
      </w:r>
      <w:bookmarkEnd w:id="27"/>
    </w:p>
    <w:tbl>
      <w:tblPr>
        <w:tblStyle w:val="TableGrid"/>
        <w:tblW w:w="0" w:type="auto"/>
        <w:tblLook w:val="04A0" w:firstRow="1" w:lastRow="0" w:firstColumn="1" w:lastColumn="0" w:noHBand="0" w:noVBand="1"/>
      </w:tblPr>
      <w:tblGrid>
        <w:gridCol w:w="2547"/>
        <w:gridCol w:w="2156"/>
        <w:gridCol w:w="2156"/>
        <w:gridCol w:w="2157"/>
      </w:tblGrid>
      <w:tr w:rsidR="00C90CA1" w:rsidRPr="00031AFF" w14:paraId="5EA9625F" w14:textId="77777777" w:rsidTr="132E0B0E">
        <w:tc>
          <w:tcPr>
            <w:tcW w:w="2547" w:type="dxa"/>
          </w:tcPr>
          <w:p w14:paraId="3145C67C" w14:textId="77777777" w:rsidR="00C90CA1" w:rsidRPr="0089026A" w:rsidRDefault="00C90CA1">
            <w:pPr>
              <w:pStyle w:val="TableHeading0"/>
              <w:keepNext/>
              <w:keepLines/>
            </w:pPr>
          </w:p>
        </w:tc>
        <w:tc>
          <w:tcPr>
            <w:tcW w:w="2156" w:type="dxa"/>
          </w:tcPr>
          <w:p w14:paraId="5CDC5072" w14:textId="77777777" w:rsidR="00C90CA1" w:rsidRPr="007D095B" w:rsidRDefault="00C90CA1">
            <w:pPr>
              <w:pStyle w:val="TableHeading0"/>
              <w:keepNext/>
              <w:keepLines/>
              <w:jc w:val="center"/>
            </w:pPr>
            <w:r>
              <w:t>Primary (12 month) analysis* of ZUMA-5 (N=84): IAS</w:t>
            </w:r>
          </w:p>
        </w:tc>
        <w:tc>
          <w:tcPr>
            <w:tcW w:w="2156" w:type="dxa"/>
          </w:tcPr>
          <w:p w14:paraId="0B07179C" w14:textId="77777777" w:rsidR="00C90CA1" w:rsidRPr="007D095B" w:rsidRDefault="00C90CA1">
            <w:pPr>
              <w:pStyle w:val="TableHeading0"/>
              <w:keepNext/>
              <w:keepLines/>
              <w:jc w:val="center"/>
            </w:pPr>
            <w:r>
              <w:t>Sensitivity analysis^ of ZUMA-5 (N=84): IAS</w:t>
            </w:r>
          </w:p>
        </w:tc>
        <w:tc>
          <w:tcPr>
            <w:tcW w:w="2157" w:type="dxa"/>
          </w:tcPr>
          <w:p w14:paraId="2A216842" w14:textId="77777777" w:rsidR="00C90CA1" w:rsidRPr="007D095B" w:rsidRDefault="00C90CA1">
            <w:pPr>
              <w:pStyle w:val="TableHeading0"/>
              <w:keepNext/>
              <w:keepLines/>
              <w:jc w:val="center"/>
            </w:pPr>
            <w:r>
              <w:t xml:space="preserve">Updated </w:t>
            </w:r>
            <w:proofErr w:type="gramStart"/>
            <w:r>
              <w:t>48 month</w:t>
            </w:r>
            <w:proofErr w:type="gramEnd"/>
            <w:r>
              <w:t xml:space="preserve"> analysis</w:t>
            </w:r>
            <w:r>
              <w:rPr>
                <w:b w:val="0"/>
              </w:rPr>
              <w:t>^</w:t>
            </w:r>
            <w:r>
              <w:t xml:space="preserve"> of ZUMA-5 (N=127): FAS</w:t>
            </w:r>
          </w:p>
        </w:tc>
      </w:tr>
      <w:tr w:rsidR="00C90CA1" w:rsidRPr="00031AFF" w14:paraId="3EB1949E" w14:textId="77777777" w:rsidTr="132E0B0E">
        <w:tc>
          <w:tcPr>
            <w:tcW w:w="2547" w:type="dxa"/>
          </w:tcPr>
          <w:p w14:paraId="232FD1C5" w14:textId="77777777" w:rsidR="00C90CA1" w:rsidRPr="007D095B" w:rsidRDefault="00C90CA1">
            <w:pPr>
              <w:pStyle w:val="TableText"/>
              <w:keepNext/>
              <w:keepLines/>
            </w:pPr>
            <w:r>
              <w:t>Events, n (%)</w:t>
            </w:r>
          </w:p>
        </w:tc>
        <w:tc>
          <w:tcPr>
            <w:tcW w:w="2156" w:type="dxa"/>
          </w:tcPr>
          <w:p w14:paraId="7C8F44AF" w14:textId="77777777" w:rsidR="00C90CA1" w:rsidRPr="007D095B" w:rsidRDefault="00C90CA1">
            <w:pPr>
              <w:pStyle w:val="TableText"/>
              <w:keepNext/>
              <w:keepLines/>
              <w:jc w:val="center"/>
            </w:pPr>
            <w:r>
              <w:t>23 (27%)</w:t>
            </w:r>
          </w:p>
        </w:tc>
        <w:tc>
          <w:tcPr>
            <w:tcW w:w="2156" w:type="dxa"/>
          </w:tcPr>
          <w:p w14:paraId="1F4AF0C7" w14:textId="77777777" w:rsidR="00C90CA1" w:rsidRPr="007D095B" w:rsidRDefault="00C90CA1">
            <w:pPr>
              <w:pStyle w:val="TableText"/>
              <w:keepNext/>
              <w:keepLines/>
              <w:jc w:val="center"/>
            </w:pPr>
            <w:r>
              <w:t>29 (35%)</w:t>
            </w:r>
          </w:p>
        </w:tc>
        <w:tc>
          <w:tcPr>
            <w:tcW w:w="2157" w:type="dxa"/>
          </w:tcPr>
          <w:p w14:paraId="1903B7DF" w14:textId="77777777" w:rsidR="00C90CA1" w:rsidRPr="007D095B" w:rsidRDefault="00C90CA1">
            <w:pPr>
              <w:pStyle w:val="TableText"/>
              <w:keepNext/>
              <w:keepLines/>
              <w:jc w:val="center"/>
            </w:pPr>
            <w:r>
              <w:t>57 (45%)</w:t>
            </w:r>
          </w:p>
        </w:tc>
      </w:tr>
      <w:tr w:rsidR="00C90CA1" w:rsidRPr="00031AFF" w14:paraId="027DDCD0" w14:textId="77777777" w:rsidTr="132E0B0E">
        <w:tc>
          <w:tcPr>
            <w:tcW w:w="2547" w:type="dxa"/>
          </w:tcPr>
          <w:p w14:paraId="3D9F4A7D" w14:textId="77777777" w:rsidR="00C90CA1" w:rsidRPr="007D095B" w:rsidRDefault="00C90CA1">
            <w:pPr>
              <w:pStyle w:val="TableText"/>
              <w:keepNext/>
              <w:keepLines/>
            </w:pPr>
            <w:r>
              <w:t>Censored, n (%)</w:t>
            </w:r>
          </w:p>
        </w:tc>
        <w:tc>
          <w:tcPr>
            <w:tcW w:w="2156" w:type="dxa"/>
          </w:tcPr>
          <w:p w14:paraId="22F97621" w14:textId="77777777" w:rsidR="00C90CA1" w:rsidRPr="007D095B" w:rsidRDefault="00C90CA1">
            <w:pPr>
              <w:pStyle w:val="TableText"/>
              <w:keepNext/>
              <w:keepLines/>
              <w:jc w:val="center"/>
            </w:pPr>
            <w:r>
              <w:t>61 (73%)</w:t>
            </w:r>
          </w:p>
        </w:tc>
        <w:tc>
          <w:tcPr>
            <w:tcW w:w="2156" w:type="dxa"/>
          </w:tcPr>
          <w:p w14:paraId="573585DC" w14:textId="77777777" w:rsidR="00C90CA1" w:rsidRPr="007D095B" w:rsidRDefault="00C90CA1">
            <w:pPr>
              <w:pStyle w:val="TableText"/>
              <w:keepNext/>
              <w:keepLines/>
              <w:jc w:val="center"/>
            </w:pPr>
            <w:r>
              <w:t>55 (65%)</w:t>
            </w:r>
          </w:p>
        </w:tc>
        <w:tc>
          <w:tcPr>
            <w:tcW w:w="2157" w:type="dxa"/>
          </w:tcPr>
          <w:p w14:paraId="3B5D39C4" w14:textId="77777777" w:rsidR="00C90CA1" w:rsidRPr="007D095B" w:rsidRDefault="00C90CA1">
            <w:pPr>
              <w:pStyle w:val="TableText"/>
              <w:keepNext/>
              <w:keepLines/>
              <w:jc w:val="center"/>
            </w:pPr>
            <w:r>
              <w:t>70 (55%)</w:t>
            </w:r>
          </w:p>
        </w:tc>
      </w:tr>
      <w:tr w:rsidR="00C90CA1" w:rsidRPr="00031AFF" w14:paraId="6FCC54A2" w14:textId="77777777" w:rsidTr="132E0B0E">
        <w:tc>
          <w:tcPr>
            <w:tcW w:w="2547" w:type="dxa"/>
            <w:tcBorders>
              <w:bottom w:val="single" w:sz="4" w:space="0" w:color="auto"/>
            </w:tcBorders>
          </w:tcPr>
          <w:p w14:paraId="318CCB6A" w14:textId="77777777" w:rsidR="00C90CA1" w:rsidRPr="007D095B" w:rsidRDefault="00C90CA1">
            <w:pPr>
              <w:pStyle w:val="TableText"/>
              <w:keepNext/>
              <w:keepLines/>
            </w:pPr>
            <w:r>
              <w:t>Kaplan-Meier median, months (95% CI)</w:t>
            </w:r>
          </w:p>
        </w:tc>
        <w:tc>
          <w:tcPr>
            <w:tcW w:w="2156" w:type="dxa"/>
            <w:tcBorders>
              <w:bottom w:val="single" w:sz="4" w:space="0" w:color="auto"/>
            </w:tcBorders>
          </w:tcPr>
          <w:p w14:paraId="01646FAA" w14:textId="77777777" w:rsidR="00C90CA1" w:rsidRPr="00031AFF" w:rsidRDefault="00C90CA1">
            <w:pPr>
              <w:pStyle w:val="TableText"/>
              <w:keepNext/>
              <w:keepLines/>
              <w:jc w:val="center"/>
            </w:pPr>
            <w:r w:rsidRPr="00031AFF">
              <w:t>NE (23.5, NE)</w:t>
            </w:r>
          </w:p>
        </w:tc>
        <w:tc>
          <w:tcPr>
            <w:tcW w:w="2156" w:type="dxa"/>
            <w:tcBorders>
              <w:bottom w:val="single" w:sz="4" w:space="0" w:color="auto"/>
            </w:tcBorders>
          </w:tcPr>
          <w:p w14:paraId="051C8230" w14:textId="77777777" w:rsidR="00C90CA1" w:rsidRPr="00031AFF" w:rsidRDefault="00C90CA1">
            <w:pPr>
              <w:pStyle w:val="TableText"/>
              <w:keepNext/>
              <w:keepLines/>
              <w:jc w:val="center"/>
            </w:pPr>
            <w:r w:rsidRPr="00031AFF">
              <w:t>NE (23.5, NE)</w:t>
            </w:r>
          </w:p>
        </w:tc>
        <w:tc>
          <w:tcPr>
            <w:tcW w:w="2157" w:type="dxa"/>
            <w:tcBorders>
              <w:bottom w:val="single" w:sz="4" w:space="0" w:color="auto"/>
            </w:tcBorders>
          </w:tcPr>
          <w:p w14:paraId="31BB0C1C" w14:textId="77777777" w:rsidR="00C90CA1" w:rsidRPr="00031AFF" w:rsidRDefault="00C90CA1">
            <w:pPr>
              <w:pStyle w:val="TableText"/>
              <w:keepNext/>
              <w:keepLines/>
              <w:jc w:val="center"/>
            </w:pPr>
            <w:r w:rsidRPr="00031AFF">
              <w:t>57.3 (30.9, NE)</w:t>
            </w:r>
          </w:p>
        </w:tc>
      </w:tr>
      <w:tr w:rsidR="00C90CA1" w:rsidRPr="00031AFF" w14:paraId="2FA38002" w14:textId="77777777" w:rsidTr="132E0B0E">
        <w:tc>
          <w:tcPr>
            <w:tcW w:w="2547" w:type="dxa"/>
            <w:tcBorders>
              <w:bottom w:val="single" w:sz="4" w:space="0" w:color="auto"/>
            </w:tcBorders>
          </w:tcPr>
          <w:p w14:paraId="0CD7D031" w14:textId="77777777" w:rsidR="00C90CA1" w:rsidRPr="007D095B" w:rsidRDefault="00C90CA1">
            <w:pPr>
              <w:pStyle w:val="TableText"/>
              <w:keepNext/>
              <w:keepLines/>
            </w:pPr>
            <w:r>
              <w:t>Event</w:t>
            </w:r>
          </w:p>
        </w:tc>
        <w:tc>
          <w:tcPr>
            <w:tcW w:w="2156" w:type="dxa"/>
            <w:tcBorders>
              <w:bottom w:val="single" w:sz="4" w:space="0" w:color="auto"/>
            </w:tcBorders>
          </w:tcPr>
          <w:p w14:paraId="4E5A90F0" w14:textId="77777777" w:rsidR="00C90CA1" w:rsidRPr="0089026A" w:rsidRDefault="00C90CA1">
            <w:pPr>
              <w:pStyle w:val="TableText"/>
              <w:keepNext/>
              <w:keepLines/>
              <w:jc w:val="center"/>
            </w:pPr>
          </w:p>
        </w:tc>
        <w:tc>
          <w:tcPr>
            <w:tcW w:w="2156" w:type="dxa"/>
            <w:tcBorders>
              <w:bottom w:val="single" w:sz="4" w:space="0" w:color="auto"/>
            </w:tcBorders>
          </w:tcPr>
          <w:p w14:paraId="03771651" w14:textId="77777777" w:rsidR="00C90CA1" w:rsidRPr="0089026A" w:rsidRDefault="00C90CA1">
            <w:pPr>
              <w:pStyle w:val="TableText"/>
              <w:keepNext/>
              <w:keepLines/>
              <w:jc w:val="center"/>
            </w:pPr>
          </w:p>
        </w:tc>
        <w:tc>
          <w:tcPr>
            <w:tcW w:w="2157" w:type="dxa"/>
            <w:tcBorders>
              <w:bottom w:val="single" w:sz="4" w:space="0" w:color="auto"/>
            </w:tcBorders>
          </w:tcPr>
          <w:p w14:paraId="0A9FCDB6" w14:textId="77777777" w:rsidR="00C90CA1" w:rsidRPr="0089026A" w:rsidRDefault="00C90CA1">
            <w:pPr>
              <w:pStyle w:val="TableText"/>
              <w:keepNext/>
              <w:keepLines/>
              <w:jc w:val="center"/>
            </w:pPr>
          </w:p>
        </w:tc>
      </w:tr>
      <w:tr w:rsidR="00C90CA1" w:rsidRPr="00031AFF" w14:paraId="1AA853D9" w14:textId="77777777" w:rsidTr="132E0B0E">
        <w:tc>
          <w:tcPr>
            <w:tcW w:w="2547" w:type="dxa"/>
            <w:tcBorders>
              <w:bottom w:val="single" w:sz="4" w:space="0" w:color="auto"/>
            </w:tcBorders>
          </w:tcPr>
          <w:p w14:paraId="2E728BBE" w14:textId="77777777" w:rsidR="00C90CA1" w:rsidRPr="007D095B" w:rsidRDefault="00C90CA1">
            <w:pPr>
              <w:pStyle w:val="TableText"/>
              <w:keepNext/>
              <w:keepLines/>
              <w:ind w:left="113"/>
            </w:pPr>
            <w:r>
              <w:t>Disease progression, n (%)</w:t>
            </w:r>
          </w:p>
        </w:tc>
        <w:tc>
          <w:tcPr>
            <w:tcW w:w="2156" w:type="dxa"/>
            <w:tcBorders>
              <w:bottom w:val="single" w:sz="4" w:space="0" w:color="auto"/>
            </w:tcBorders>
          </w:tcPr>
          <w:p w14:paraId="7B67C8A5" w14:textId="77777777" w:rsidR="00C90CA1" w:rsidRPr="007D095B" w:rsidRDefault="00C90CA1">
            <w:pPr>
              <w:pStyle w:val="TableText"/>
              <w:keepNext/>
              <w:keepLines/>
              <w:jc w:val="center"/>
            </w:pPr>
            <w:r>
              <w:t>18 (21%)</w:t>
            </w:r>
          </w:p>
        </w:tc>
        <w:tc>
          <w:tcPr>
            <w:tcW w:w="2156" w:type="dxa"/>
            <w:tcBorders>
              <w:bottom w:val="single" w:sz="4" w:space="0" w:color="auto"/>
            </w:tcBorders>
          </w:tcPr>
          <w:p w14:paraId="57894CDD" w14:textId="77777777" w:rsidR="00C90CA1" w:rsidRPr="007D095B" w:rsidRDefault="00C90CA1">
            <w:pPr>
              <w:pStyle w:val="TableText"/>
              <w:keepNext/>
              <w:keepLines/>
              <w:jc w:val="center"/>
            </w:pPr>
            <w:r>
              <w:t>25 (30%)</w:t>
            </w:r>
          </w:p>
        </w:tc>
        <w:tc>
          <w:tcPr>
            <w:tcW w:w="2157" w:type="dxa"/>
            <w:tcBorders>
              <w:bottom w:val="single" w:sz="4" w:space="0" w:color="auto"/>
            </w:tcBorders>
          </w:tcPr>
          <w:p w14:paraId="49569BEB" w14:textId="77777777" w:rsidR="00C90CA1" w:rsidRPr="007D095B" w:rsidRDefault="00C90CA1">
            <w:pPr>
              <w:pStyle w:val="TableText"/>
              <w:keepNext/>
              <w:keepLines/>
              <w:jc w:val="center"/>
            </w:pPr>
            <w:r>
              <w:t>39 (31%)</w:t>
            </w:r>
          </w:p>
        </w:tc>
      </w:tr>
      <w:tr w:rsidR="00C90CA1" w:rsidRPr="00031AFF" w14:paraId="22AF8F70" w14:textId="77777777" w:rsidTr="132E0B0E">
        <w:tc>
          <w:tcPr>
            <w:tcW w:w="2547" w:type="dxa"/>
            <w:tcBorders>
              <w:bottom w:val="single" w:sz="4" w:space="0" w:color="auto"/>
            </w:tcBorders>
          </w:tcPr>
          <w:p w14:paraId="46A57EA1" w14:textId="77777777" w:rsidR="00C90CA1" w:rsidRPr="007D095B" w:rsidRDefault="00C90CA1">
            <w:pPr>
              <w:pStyle w:val="TableText"/>
              <w:keepNext/>
              <w:keepLines/>
              <w:ind w:left="113"/>
            </w:pPr>
            <w:r>
              <w:t>Death from any cause, n (%)</w:t>
            </w:r>
          </w:p>
        </w:tc>
        <w:tc>
          <w:tcPr>
            <w:tcW w:w="2156" w:type="dxa"/>
            <w:tcBorders>
              <w:bottom w:val="single" w:sz="4" w:space="0" w:color="auto"/>
            </w:tcBorders>
          </w:tcPr>
          <w:p w14:paraId="55F7B550" w14:textId="77777777" w:rsidR="00C90CA1" w:rsidRPr="007D095B" w:rsidRDefault="00C90CA1">
            <w:pPr>
              <w:pStyle w:val="TableText"/>
              <w:keepNext/>
              <w:keepLines/>
              <w:jc w:val="center"/>
            </w:pPr>
            <w:r>
              <w:t>5 (6%)</w:t>
            </w:r>
          </w:p>
        </w:tc>
        <w:tc>
          <w:tcPr>
            <w:tcW w:w="2156" w:type="dxa"/>
            <w:tcBorders>
              <w:bottom w:val="single" w:sz="4" w:space="0" w:color="auto"/>
            </w:tcBorders>
          </w:tcPr>
          <w:p w14:paraId="1AF39B33" w14:textId="77777777" w:rsidR="00C90CA1" w:rsidRPr="007D095B" w:rsidRDefault="00C90CA1">
            <w:pPr>
              <w:pStyle w:val="TableText"/>
              <w:keepNext/>
              <w:keepLines/>
              <w:jc w:val="center"/>
            </w:pPr>
            <w:r>
              <w:t>4 (5%)</w:t>
            </w:r>
          </w:p>
        </w:tc>
        <w:tc>
          <w:tcPr>
            <w:tcW w:w="2157" w:type="dxa"/>
            <w:tcBorders>
              <w:bottom w:val="single" w:sz="4" w:space="0" w:color="auto"/>
            </w:tcBorders>
          </w:tcPr>
          <w:p w14:paraId="0E95C4E7" w14:textId="77777777" w:rsidR="00C90CA1" w:rsidRPr="007D095B" w:rsidRDefault="00C90CA1">
            <w:pPr>
              <w:pStyle w:val="TableText"/>
              <w:keepNext/>
              <w:keepLines/>
              <w:jc w:val="center"/>
            </w:pPr>
            <w:r>
              <w:t>18 (14%)</w:t>
            </w:r>
          </w:p>
        </w:tc>
      </w:tr>
      <w:tr w:rsidR="00C90CA1" w:rsidRPr="00031AFF" w14:paraId="14FDA4F9" w14:textId="77777777" w:rsidTr="132E0B0E">
        <w:tc>
          <w:tcPr>
            <w:tcW w:w="2547" w:type="dxa"/>
            <w:tcBorders>
              <w:bottom w:val="single" w:sz="4" w:space="0" w:color="auto"/>
            </w:tcBorders>
          </w:tcPr>
          <w:p w14:paraId="441E7409" w14:textId="77777777" w:rsidR="00C90CA1" w:rsidRPr="007D095B" w:rsidRDefault="00C90CA1">
            <w:pPr>
              <w:pStyle w:val="TableText"/>
              <w:keepNext/>
              <w:keepLines/>
            </w:pPr>
            <w:r>
              <w:t>Censoring reason</w:t>
            </w:r>
          </w:p>
        </w:tc>
        <w:tc>
          <w:tcPr>
            <w:tcW w:w="2156" w:type="dxa"/>
            <w:tcBorders>
              <w:bottom w:val="single" w:sz="4" w:space="0" w:color="auto"/>
            </w:tcBorders>
          </w:tcPr>
          <w:p w14:paraId="5F564786" w14:textId="77777777" w:rsidR="00C90CA1" w:rsidRPr="0089026A" w:rsidRDefault="00C90CA1">
            <w:pPr>
              <w:pStyle w:val="TableText"/>
              <w:keepNext/>
              <w:keepLines/>
              <w:jc w:val="center"/>
            </w:pPr>
          </w:p>
        </w:tc>
        <w:tc>
          <w:tcPr>
            <w:tcW w:w="2156" w:type="dxa"/>
            <w:tcBorders>
              <w:bottom w:val="single" w:sz="4" w:space="0" w:color="auto"/>
            </w:tcBorders>
          </w:tcPr>
          <w:p w14:paraId="0C02B9BF" w14:textId="77777777" w:rsidR="00C90CA1" w:rsidRPr="0089026A" w:rsidRDefault="00C90CA1">
            <w:pPr>
              <w:pStyle w:val="TableText"/>
              <w:keepNext/>
              <w:keepLines/>
              <w:jc w:val="center"/>
            </w:pPr>
          </w:p>
        </w:tc>
        <w:tc>
          <w:tcPr>
            <w:tcW w:w="2157" w:type="dxa"/>
            <w:tcBorders>
              <w:bottom w:val="single" w:sz="4" w:space="0" w:color="auto"/>
            </w:tcBorders>
          </w:tcPr>
          <w:p w14:paraId="5F9C9499" w14:textId="77777777" w:rsidR="00C90CA1" w:rsidRPr="0089026A" w:rsidRDefault="00C90CA1">
            <w:pPr>
              <w:pStyle w:val="TableText"/>
              <w:keepNext/>
              <w:keepLines/>
              <w:jc w:val="center"/>
            </w:pPr>
          </w:p>
        </w:tc>
      </w:tr>
      <w:tr w:rsidR="00C90CA1" w:rsidRPr="00031AFF" w14:paraId="1E187716" w14:textId="77777777" w:rsidTr="132E0B0E">
        <w:tc>
          <w:tcPr>
            <w:tcW w:w="2547" w:type="dxa"/>
            <w:tcBorders>
              <w:bottom w:val="single" w:sz="4" w:space="0" w:color="auto"/>
            </w:tcBorders>
          </w:tcPr>
          <w:p w14:paraId="61AEB3CE" w14:textId="77777777" w:rsidR="00C90CA1" w:rsidRPr="007D095B" w:rsidRDefault="00C90CA1">
            <w:pPr>
              <w:pStyle w:val="TableText"/>
              <w:keepNext/>
              <w:keepLines/>
              <w:ind w:left="113"/>
            </w:pPr>
            <w:r>
              <w:t>Response ongoing, n</w:t>
            </w:r>
          </w:p>
        </w:tc>
        <w:tc>
          <w:tcPr>
            <w:tcW w:w="2156" w:type="dxa"/>
            <w:tcBorders>
              <w:bottom w:val="single" w:sz="4" w:space="0" w:color="auto"/>
            </w:tcBorders>
          </w:tcPr>
          <w:p w14:paraId="0634CD64" w14:textId="77777777" w:rsidR="00C90CA1" w:rsidRPr="007D095B" w:rsidRDefault="00C90CA1">
            <w:pPr>
              <w:pStyle w:val="TableText"/>
              <w:keepNext/>
              <w:keepLines/>
              <w:jc w:val="center"/>
            </w:pPr>
            <w:r>
              <w:t>54</w:t>
            </w:r>
          </w:p>
        </w:tc>
        <w:tc>
          <w:tcPr>
            <w:tcW w:w="2156" w:type="dxa"/>
            <w:tcBorders>
              <w:bottom w:val="single" w:sz="4" w:space="0" w:color="auto"/>
            </w:tcBorders>
          </w:tcPr>
          <w:p w14:paraId="32B829DB" w14:textId="77777777" w:rsidR="00C90CA1" w:rsidRPr="007D095B" w:rsidRDefault="00C90CA1">
            <w:pPr>
              <w:pStyle w:val="TableText"/>
              <w:keepNext/>
              <w:keepLines/>
              <w:jc w:val="center"/>
            </w:pPr>
            <w:r>
              <w:t>52</w:t>
            </w:r>
          </w:p>
        </w:tc>
        <w:tc>
          <w:tcPr>
            <w:tcW w:w="2157" w:type="dxa"/>
            <w:tcBorders>
              <w:bottom w:val="single" w:sz="4" w:space="0" w:color="auto"/>
            </w:tcBorders>
          </w:tcPr>
          <w:p w14:paraId="5E2A76B2" w14:textId="77777777" w:rsidR="00C90CA1" w:rsidRPr="007D095B" w:rsidRDefault="00C90CA1">
            <w:pPr>
              <w:pStyle w:val="TableText"/>
              <w:keepNext/>
              <w:keepLines/>
              <w:jc w:val="center"/>
            </w:pPr>
            <w:r>
              <w:t>61</w:t>
            </w:r>
          </w:p>
        </w:tc>
      </w:tr>
      <w:tr w:rsidR="00C90CA1" w:rsidRPr="00031AFF" w14:paraId="577E8D3A" w14:textId="77777777" w:rsidTr="132E0B0E">
        <w:tc>
          <w:tcPr>
            <w:tcW w:w="2547" w:type="dxa"/>
            <w:tcBorders>
              <w:bottom w:val="single" w:sz="4" w:space="0" w:color="auto"/>
            </w:tcBorders>
          </w:tcPr>
          <w:p w14:paraId="2B9D5A77" w14:textId="77777777" w:rsidR="00C90CA1" w:rsidRPr="007D095B" w:rsidRDefault="00C90CA1">
            <w:pPr>
              <w:pStyle w:val="TableText"/>
              <w:keepNext/>
              <w:keepLines/>
              <w:ind w:left="113"/>
            </w:pPr>
            <w:r>
              <w:t>Lost to follow-up, n (%)</w:t>
            </w:r>
          </w:p>
        </w:tc>
        <w:tc>
          <w:tcPr>
            <w:tcW w:w="2156" w:type="dxa"/>
            <w:tcBorders>
              <w:bottom w:val="single" w:sz="4" w:space="0" w:color="auto"/>
            </w:tcBorders>
          </w:tcPr>
          <w:p w14:paraId="4EA4480B" w14:textId="77777777" w:rsidR="00C90CA1" w:rsidRPr="007D095B" w:rsidRDefault="00C90CA1">
            <w:pPr>
              <w:pStyle w:val="TableText"/>
              <w:keepNext/>
              <w:keepLines/>
              <w:jc w:val="center"/>
            </w:pPr>
            <w:r>
              <w:t>1 (1%)</w:t>
            </w:r>
          </w:p>
        </w:tc>
        <w:tc>
          <w:tcPr>
            <w:tcW w:w="2156" w:type="dxa"/>
            <w:tcBorders>
              <w:bottom w:val="single" w:sz="4" w:space="0" w:color="auto"/>
            </w:tcBorders>
          </w:tcPr>
          <w:p w14:paraId="0F6CAC69" w14:textId="77777777" w:rsidR="00C90CA1" w:rsidRPr="007D095B" w:rsidRDefault="00C90CA1">
            <w:pPr>
              <w:pStyle w:val="TableText"/>
              <w:keepNext/>
              <w:keepLines/>
              <w:jc w:val="center"/>
            </w:pPr>
            <w:r>
              <w:t>1 (1%)</w:t>
            </w:r>
          </w:p>
        </w:tc>
        <w:tc>
          <w:tcPr>
            <w:tcW w:w="2157" w:type="dxa"/>
            <w:tcBorders>
              <w:bottom w:val="single" w:sz="4" w:space="0" w:color="auto"/>
            </w:tcBorders>
          </w:tcPr>
          <w:p w14:paraId="571EE686" w14:textId="77777777" w:rsidR="00C90CA1" w:rsidRPr="007D095B" w:rsidRDefault="00C90CA1">
            <w:pPr>
              <w:pStyle w:val="TableText"/>
              <w:keepNext/>
              <w:keepLines/>
              <w:jc w:val="center"/>
            </w:pPr>
            <w:r>
              <w:t>2 (2%)</w:t>
            </w:r>
          </w:p>
        </w:tc>
      </w:tr>
      <w:tr w:rsidR="00C90CA1" w:rsidRPr="00031AFF" w14:paraId="39641024" w14:textId="77777777" w:rsidTr="132E0B0E">
        <w:tc>
          <w:tcPr>
            <w:tcW w:w="2547" w:type="dxa"/>
            <w:tcBorders>
              <w:bottom w:val="single" w:sz="4" w:space="0" w:color="auto"/>
            </w:tcBorders>
          </w:tcPr>
          <w:p w14:paraId="2CFCCF26" w14:textId="77777777" w:rsidR="00C90CA1" w:rsidRPr="007D095B" w:rsidRDefault="00C90CA1">
            <w:pPr>
              <w:pStyle w:val="TableText"/>
              <w:keepNext/>
              <w:keepLines/>
              <w:ind w:left="113"/>
            </w:pPr>
            <w:r>
              <w:t>Withdrawal of consent, n (%)</w:t>
            </w:r>
          </w:p>
        </w:tc>
        <w:tc>
          <w:tcPr>
            <w:tcW w:w="2156" w:type="dxa"/>
            <w:tcBorders>
              <w:bottom w:val="single" w:sz="4" w:space="0" w:color="auto"/>
            </w:tcBorders>
          </w:tcPr>
          <w:p w14:paraId="79A3BFEA" w14:textId="77777777" w:rsidR="00C90CA1" w:rsidRPr="007D095B" w:rsidRDefault="00C90CA1">
            <w:pPr>
              <w:pStyle w:val="TableText"/>
              <w:keepNext/>
              <w:keepLines/>
              <w:jc w:val="center"/>
            </w:pPr>
            <w:r>
              <w:t>0 (0%)</w:t>
            </w:r>
          </w:p>
        </w:tc>
        <w:tc>
          <w:tcPr>
            <w:tcW w:w="2156" w:type="dxa"/>
            <w:tcBorders>
              <w:bottom w:val="single" w:sz="4" w:space="0" w:color="auto"/>
            </w:tcBorders>
          </w:tcPr>
          <w:p w14:paraId="1A066F6B" w14:textId="77777777" w:rsidR="00C90CA1" w:rsidRPr="007D095B" w:rsidRDefault="00C90CA1">
            <w:pPr>
              <w:pStyle w:val="TableText"/>
              <w:keepNext/>
              <w:keepLines/>
              <w:jc w:val="center"/>
            </w:pPr>
            <w:r>
              <w:t>0 (0%)</w:t>
            </w:r>
          </w:p>
        </w:tc>
        <w:tc>
          <w:tcPr>
            <w:tcW w:w="2157" w:type="dxa"/>
            <w:tcBorders>
              <w:bottom w:val="single" w:sz="4" w:space="0" w:color="auto"/>
            </w:tcBorders>
          </w:tcPr>
          <w:p w14:paraId="03ED15A5" w14:textId="77777777" w:rsidR="00C90CA1" w:rsidRPr="007D095B" w:rsidRDefault="00C90CA1">
            <w:pPr>
              <w:pStyle w:val="TableText"/>
              <w:keepNext/>
              <w:keepLines/>
              <w:jc w:val="center"/>
            </w:pPr>
            <w:r>
              <w:t>3 (2%)</w:t>
            </w:r>
          </w:p>
        </w:tc>
      </w:tr>
      <w:tr w:rsidR="00C90CA1" w:rsidRPr="00031AFF" w14:paraId="727DE4E9" w14:textId="77777777" w:rsidTr="132E0B0E">
        <w:tc>
          <w:tcPr>
            <w:tcW w:w="2547" w:type="dxa"/>
            <w:tcBorders>
              <w:bottom w:val="single" w:sz="4" w:space="0" w:color="auto"/>
            </w:tcBorders>
          </w:tcPr>
          <w:p w14:paraId="4ECC0D91" w14:textId="77777777" w:rsidR="00C90CA1" w:rsidRPr="007D095B" w:rsidRDefault="00C90CA1">
            <w:pPr>
              <w:pStyle w:val="TableText"/>
              <w:keepNext/>
              <w:keepLines/>
              <w:ind w:left="113"/>
            </w:pPr>
            <w:r>
              <w:t>Investigator decision, n (%)</w:t>
            </w:r>
          </w:p>
        </w:tc>
        <w:tc>
          <w:tcPr>
            <w:tcW w:w="2156" w:type="dxa"/>
            <w:tcBorders>
              <w:bottom w:val="single" w:sz="4" w:space="0" w:color="auto"/>
            </w:tcBorders>
          </w:tcPr>
          <w:p w14:paraId="05316160" w14:textId="77777777" w:rsidR="00C90CA1" w:rsidRPr="007D095B" w:rsidRDefault="00C90CA1">
            <w:pPr>
              <w:pStyle w:val="TableText"/>
              <w:keepNext/>
              <w:keepLines/>
              <w:jc w:val="center"/>
            </w:pPr>
            <w:r>
              <w:t>1 (1%)</w:t>
            </w:r>
          </w:p>
        </w:tc>
        <w:tc>
          <w:tcPr>
            <w:tcW w:w="2156" w:type="dxa"/>
            <w:tcBorders>
              <w:bottom w:val="single" w:sz="4" w:space="0" w:color="auto"/>
            </w:tcBorders>
          </w:tcPr>
          <w:p w14:paraId="5271505A" w14:textId="77777777" w:rsidR="00C90CA1" w:rsidRPr="007D095B" w:rsidRDefault="00C90CA1">
            <w:pPr>
              <w:pStyle w:val="TableText"/>
              <w:keepNext/>
              <w:keepLines/>
              <w:jc w:val="center"/>
            </w:pPr>
            <w:r>
              <w:t>1 (1%)</w:t>
            </w:r>
          </w:p>
        </w:tc>
        <w:tc>
          <w:tcPr>
            <w:tcW w:w="2157" w:type="dxa"/>
            <w:tcBorders>
              <w:bottom w:val="single" w:sz="4" w:space="0" w:color="auto"/>
            </w:tcBorders>
          </w:tcPr>
          <w:p w14:paraId="60247A8A" w14:textId="77777777" w:rsidR="00C90CA1" w:rsidRPr="007D095B" w:rsidRDefault="00C90CA1">
            <w:pPr>
              <w:pStyle w:val="TableText"/>
              <w:keepNext/>
              <w:keepLines/>
              <w:jc w:val="center"/>
            </w:pPr>
            <w:r>
              <w:t>1 (1%)</w:t>
            </w:r>
          </w:p>
        </w:tc>
      </w:tr>
      <w:tr w:rsidR="00C90CA1" w:rsidRPr="00031AFF" w14:paraId="7281C4DD" w14:textId="77777777" w:rsidTr="132E0B0E">
        <w:tc>
          <w:tcPr>
            <w:tcW w:w="2547" w:type="dxa"/>
            <w:tcBorders>
              <w:bottom w:val="single" w:sz="4" w:space="0" w:color="auto"/>
            </w:tcBorders>
          </w:tcPr>
          <w:p w14:paraId="62C3A43F" w14:textId="77777777" w:rsidR="00C90CA1" w:rsidRPr="007D095B" w:rsidRDefault="00C90CA1">
            <w:pPr>
              <w:pStyle w:val="TableText"/>
              <w:keepNext/>
              <w:keepLines/>
              <w:ind w:left="113"/>
            </w:pPr>
            <w:r>
              <w:t>Started new anticancer therapy, n (%)</w:t>
            </w:r>
          </w:p>
        </w:tc>
        <w:tc>
          <w:tcPr>
            <w:tcW w:w="2156" w:type="dxa"/>
            <w:tcBorders>
              <w:bottom w:val="single" w:sz="4" w:space="0" w:color="auto"/>
            </w:tcBorders>
          </w:tcPr>
          <w:p w14:paraId="0680EA6B" w14:textId="77777777" w:rsidR="00C90CA1" w:rsidRPr="007D095B" w:rsidRDefault="00C90CA1">
            <w:pPr>
              <w:pStyle w:val="TableText"/>
              <w:keepNext/>
              <w:keepLines/>
              <w:jc w:val="center"/>
            </w:pPr>
            <w:r>
              <w:t>2 (2%)</w:t>
            </w:r>
          </w:p>
        </w:tc>
        <w:tc>
          <w:tcPr>
            <w:tcW w:w="2156" w:type="dxa"/>
            <w:tcBorders>
              <w:bottom w:val="single" w:sz="4" w:space="0" w:color="auto"/>
            </w:tcBorders>
          </w:tcPr>
          <w:p w14:paraId="1AADC312" w14:textId="77777777" w:rsidR="00C90CA1" w:rsidRPr="007D095B" w:rsidRDefault="00C90CA1">
            <w:pPr>
              <w:pStyle w:val="TableText"/>
              <w:keepNext/>
              <w:keepLines/>
              <w:jc w:val="center"/>
            </w:pPr>
            <w:r>
              <w:t>1 (1%)</w:t>
            </w:r>
          </w:p>
        </w:tc>
        <w:tc>
          <w:tcPr>
            <w:tcW w:w="2157" w:type="dxa"/>
            <w:tcBorders>
              <w:bottom w:val="single" w:sz="4" w:space="0" w:color="auto"/>
            </w:tcBorders>
          </w:tcPr>
          <w:p w14:paraId="172145DC" w14:textId="77777777" w:rsidR="00C90CA1" w:rsidRPr="007D095B" w:rsidRDefault="00C90CA1">
            <w:pPr>
              <w:pStyle w:val="TableText"/>
              <w:keepNext/>
              <w:keepLines/>
              <w:jc w:val="center"/>
            </w:pPr>
            <w:r>
              <w:t>1 (1%)</w:t>
            </w:r>
          </w:p>
        </w:tc>
      </w:tr>
      <w:tr w:rsidR="00C90CA1" w:rsidRPr="00031AFF" w14:paraId="7FDC8A1A" w14:textId="77777777" w:rsidTr="132E0B0E">
        <w:tc>
          <w:tcPr>
            <w:tcW w:w="2547" w:type="dxa"/>
            <w:tcBorders>
              <w:bottom w:val="single" w:sz="4" w:space="0" w:color="auto"/>
            </w:tcBorders>
          </w:tcPr>
          <w:p w14:paraId="776A381C" w14:textId="77777777" w:rsidR="00C90CA1" w:rsidRPr="007D095B" w:rsidRDefault="00C90CA1">
            <w:pPr>
              <w:pStyle w:val="TableText"/>
              <w:keepNext/>
              <w:keepLines/>
              <w:ind w:left="113"/>
            </w:pPr>
            <w:r>
              <w:t>Retreatment with AXI, n (%)</w:t>
            </w:r>
          </w:p>
        </w:tc>
        <w:tc>
          <w:tcPr>
            <w:tcW w:w="2156" w:type="dxa"/>
            <w:tcBorders>
              <w:bottom w:val="single" w:sz="4" w:space="0" w:color="auto"/>
            </w:tcBorders>
          </w:tcPr>
          <w:p w14:paraId="40F784AE" w14:textId="77777777" w:rsidR="00C90CA1" w:rsidRPr="007D095B" w:rsidRDefault="00C90CA1">
            <w:pPr>
              <w:pStyle w:val="TableText"/>
              <w:keepNext/>
              <w:keepLines/>
              <w:jc w:val="center"/>
            </w:pPr>
            <w:r>
              <w:t>2 (2%)</w:t>
            </w:r>
          </w:p>
        </w:tc>
        <w:tc>
          <w:tcPr>
            <w:tcW w:w="2156" w:type="dxa"/>
            <w:tcBorders>
              <w:bottom w:val="single" w:sz="4" w:space="0" w:color="auto"/>
            </w:tcBorders>
          </w:tcPr>
          <w:p w14:paraId="72A9E073" w14:textId="77777777" w:rsidR="00C90CA1" w:rsidRPr="007D095B" w:rsidRDefault="00C90CA1">
            <w:pPr>
              <w:pStyle w:val="TableText"/>
              <w:keepNext/>
              <w:keepLines/>
              <w:jc w:val="center"/>
            </w:pPr>
            <w:r>
              <w:t>0 (0%)</w:t>
            </w:r>
          </w:p>
        </w:tc>
        <w:tc>
          <w:tcPr>
            <w:tcW w:w="2157" w:type="dxa"/>
            <w:tcBorders>
              <w:bottom w:val="single" w:sz="4" w:space="0" w:color="auto"/>
            </w:tcBorders>
          </w:tcPr>
          <w:p w14:paraId="7A14826D" w14:textId="77777777" w:rsidR="00C90CA1" w:rsidRPr="007D095B" w:rsidRDefault="00C90CA1">
            <w:pPr>
              <w:pStyle w:val="TableText"/>
              <w:keepNext/>
              <w:keepLines/>
              <w:jc w:val="center"/>
            </w:pPr>
            <w:r>
              <w:t>1 (1%)</w:t>
            </w:r>
          </w:p>
        </w:tc>
      </w:tr>
      <w:tr w:rsidR="00C90CA1" w:rsidRPr="00031AFF" w14:paraId="0C0EEC7A" w14:textId="77777777" w:rsidTr="132E0B0E">
        <w:tc>
          <w:tcPr>
            <w:tcW w:w="2547" w:type="dxa"/>
            <w:tcBorders>
              <w:bottom w:val="single" w:sz="4" w:space="0" w:color="auto"/>
            </w:tcBorders>
          </w:tcPr>
          <w:p w14:paraId="4AAB070C" w14:textId="77777777" w:rsidR="00C90CA1" w:rsidRPr="007D095B" w:rsidRDefault="00C90CA1">
            <w:pPr>
              <w:pStyle w:val="TableText"/>
              <w:keepNext/>
              <w:keepLines/>
              <w:ind w:left="113"/>
            </w:pPr>
            <w:r>
              <w:t>Response assessed but no disease, n (%)</w:t>
            </w:r>
          </w:p>
        </w:tc>
        <w:tc>
          <w:tcPr>
            <w:tcW w:w="2156" w:type="dxa"/>
            <w:tcBorders>
              <w:bottom w:val="single" w:sz="4" w:space="0" w:color="auto"/>
            </w:tcBorders>
          </w:tcPr>
          <w:p w14:paraId="1E3A3E17" w14:textId="77777777" w:rsidR="00C90CA1" w:rsidRPr="007D095B" w:rsidRDefault="00C90CA1">
            <w:pPr>
              <w:pStyle w:val="TableText"/>
              <w:keepNext/>
              <w:keepLines/>
              <w:jc w:val="center"/>
            </w:pPr>
            <w:r>
              <w:t>1 (1%)</w:t>
            </w:r>
          </w:p>
        </w:tc>
        <w:tc>
          <w:tcPr>
            <w:tcW w:w="2156" w:type="dxa"/>
            <w:tcBorders>
              <w:bottom w:val="single" w:sz="4" w:space="0" w:color="auto"/>
            </w:tcBorders>
          </w:tcPr>
          <w:p w14:paraId="3B6CACF5" w14:textId="77777777" w:rsidR="00C90CA1" w:rsidRPr="007D095B" w:rsidRDefault="00C90CA1">
            <w:pPr>
              <w:pStyle w:val="TableText"/>
              <w:keepNext/>
              <w:keepLines/>
              <w:jc w:val="center"/>
            </w:pPr>
            <w:r>
              <w:t>0 (0%)</w:t>
            </w:r>
          </w:p>
        </w:tc>
        <w:tc>
          <w:tcPr>
            <w:tcW w:w="2157" w:type="dxa"/>
            <w:tcBorders>
              <w:bottom w:val="single" w:sz="4" w:space="0" w:color="auto"/>
            </w:tcBorders>
          </w:tcPr>
          <w:p w14:paraId="5333FA1C" w14:textId="77777777" w:rsidR="00C90CA1" w:rsidRPr="007D095B" w:rsidRDefault="00C90CA1">
            <w:pPr>
              <w:pStyle w:val="TableText"/>
              <w:keepNext/>
              <w:keepLines/>
              <w:jc w:val="center"/>
            </w:pPr>
            <w:r>
              <w:t>0 (0%)</w:t>
            </w:r>
          </w:p>
        </w:tc>
      </w:tr>
      <w:tr w:rsidR="00C90CA1" w:rsidRPr="00031AFF" w14:paraId="304C22BA" w14:textId="77777777" w:rsidTr="132E0B0E">
        <w:tc>
          <w:tcPr>
            <w:tcW w:w="2547" w:type="dxa"/>
            <w:tcBorders>
              <w:bottom w:val="single" w:sz="4" w:space="0" w:color="auto"/>
            </w:tcBorders>
          </w:tcPr>
          <w:p w14:paraId="3392B1CE" w14:textId="77777777" w:rsidR="00C90CA1" w:rsidRPr="007D095B" w:rsidRDefault="00C90CA1">
            <w:pPr>
              <w:pStyle w:val="TableText"/>
              <w:keepNext/>
              <w:keepLines/>
              <w:ind w:left="113"/>
            </w:pPr>
            <w:r>
              <w:t>Response not yet assessed, n (%)</w:t>
            </w:r>
          </w:p>
        </w:tc>
        <w:tc>
          <w:tcPr>
            <w:tcW w:w="2156" w:type="dxa"/>
            <w:tcBorders>
              <w:bottom w:val="single" w:sz="4" w:space="0" w:color="auto"/>
            </w:tcBorders>
          </w:tcPr>
          <w:p w14:paraId="1DBBE921" w14:textId="77777777" w:rsidR="00C90CA1" w:rsidRPr="007D095B" w:rsidRDefault="00C90CA1">
            <w:pPr>
              <w:pStyle w:val="TableText"/>
              <w:keepNext/>
              <w:keepLines/>
              <w:jc w:val="center"/>
            </w:pPr>
            <w:r>
              <w:t>0 (0%)</w:t>
            </w:r>
          </w:p>
        </w:tc>
        <w:tc>
          <w:tcPr>
            <w:tcW w:w="2156" w:type="dxa"/>
            <w:tcBorders>
              <w:bottom w:val="single" w:sz="4" w:space="0" w:color="auto"/>
            </w:tcBorders>
          </w:tcPr>
          <w:p w14:paraId="4CEB60CB" w14:textId="77777777" w:rsidR="00C90CA1" w:rsidRPr="007D095B" w:rsidRDefault="00C90CA1">
            <w:pPr>
              <w:pStyle w:val="TableText"/>
              <w:keepNext/>
              <w:keepLines/>
              <w:jc w:val="center"/>
            </w:pPr>
            <w:r>
              <w:t>0 (0%)</w:t>
            </w:r>
          </w:p>
        </w:tc>
        <w:tc>
          <w:tcPr>
            <w:tcW w:w="2157" w:type="dxa"/>
            <w:tcBorders>
              <w:bottom w:val="single" w:sz="4" w:space="0" w:color="auto"/>
            </w:tcBorders>
          </w:tcPr>
          <w:p w14:paraId="7CED225C" w14:textId="77777777" w:rsidR="00C90CA1" w:rsidRPr="007D095B" w:rsidRDefault="00C90CA1">
            <w:pPr>
              <w:pStyle w:val="TableText"/>
              <w:keepNext/>
              <w:keepLines/>
              <w:jc w:val="center"/>
            </w:pPr>
            <w:r>
              <w:t>1 (1%)</w:t>
            </w:r>
          </w:p>
        </w:tc>
      </w:tr>
      <w:tr w:rsidR="00C90CA1" w:rsidRPr="00031AFF" w14:paraId="00FF8EB0" w14:textId="77777777" w:rsidTr="132E0B0E">
        <w:tc>
          <w:tcPr>
            <w:tcW w:w="9016" w:type="dxa"/>
            <w:gridSpan w:val="4"/>
          </w:tcPr>
          <w:p w14:paraId="73DD046C" w14:textId="77777777" w:rsidR="00C90CA1" w:rsidRPr="007D095B" w:rsidRDefault="00C90CA1">
            <w:pPr>
              <w:pStyle w:val="TableText"/>
              <w:keepNext/>
              <w:keepLines/>
            </w:pPr>
            <w:r>
              <w:t>Progression free rate, % (95% CI)</w:t>
            </w:r>
          </w:p>
        </w:tc>
      </w:tr>
      <w:tr w:rsidR="00C90CA1" w:rsidRPr="00031AFF" w14:paraId="2ADD169E" w14:textId="77777777" w:rsidTr="132E0B0E">
        <w:tc>
          <w:tcPr>
            <w:tcW w:w="2547" w:type="dxa"/>
          </w:tcPr>
          <w:p w14:paraId="67119555" w14:textId="77777777" w:rsidR="00C90CA1" w:rsidRPr="007D095B" w:rsidRDefault="00C90CA1">
            <w:pPr>
              <w:pStyle w:val="TableText"/>
              <w:keepNext/>
              <w:keepLines/>
              <w:ind w:left="284"/>
            </w:pPr>
            <w:r>
              <w:t>12 months</w:t>
            </w:r>
          </w:p>
        </w:tc>
        <w:tc>
          <w:tcPr>
            <w:tcW w:w="2156" w:type="dxa"/>
          </w:tcPr>
          <w:p w14:paraId="289ABBD8" w14:textId="77777777" w:rsidR="00C90CA1" w:rsidRPr="0089026A" w:rsidRDefault="00C90CA1">
            <w:pPr>
              <w:pStyle w:val="TableText"/>
              <w:keepNext/>
              <w:keepLines/>
              <w:jc w:val="center"/>
            </w:pPr>
            <w:r w:rsidRPr="00031AFF">
              <w:t>78% (67%, 85%)</w:t>
            </w:r>
          </w:p>
        </w:tc>
        <w:tc>
          <w:tcPr>
            <w:tcW w:w="2156" w:type="dxa"/>
          </w:tcPr>
          <w:p w14:paraId="532503DE" w14:textId="77777777" w:rsidR="00C90CA1" w:rsidRPr="007D095B" w:rsidRDefault="00C90CA1">
            <w:pPr>
              <w:pStyle w:val="TableText"/>
              <w:keepNext/>
              <w:keepLines/>
              <w:jc w:val="center"/>
            </w:pPr>
            <w:r>
              <w:t>76% (65%, 84%)</w:t>
            </w:r>
          </w:p>
        </w:tc>
        <w:tc>
          <w:tcPr>
            <w:tcW w:w="2157" w:type="dxa"/>
          </w:tcPr>
          <w:p w14:paraId="4E12308B" w14:textId="77777777" w:rsidR="00C90CA1" w:rsidRPr="007D095B" w:rsidRDefault="00C90CA1">
            <w:pPr>
              <w:pStyle w:val="TableText"/>
              <w:keepNext/>
              <w:keepLines/>
              <w:jc w:val="center"/>
            </w:pPr>
            <w:r>
              <w:t>80% (72%, 86%)</w:t>
            </w:r>
          </w:p>
        </w:tc>
      </w:tr>
      <w:tr w:rsidR="00C90CA1" w:rsidRPr="00031AFF" w14:paraId="1E341B0B" w14:textId="77777777" w:rsidTr="132E0B0E">
        <w:tc>
          <w:tcPr>
            <w:tcW w:w="2547" w:type="dxa"/>
          </w:tcPr>
          <w:p w14:paraId="7EB9883B" w14:textId="77777777" w:rsidR="00C90CA1" w:rsidRPr="007D095B" w:rsidRDefault="00C90CA1">
            <w:pPr>
              <w:pStyle w:val="TableText"/>
              <w:keepNext/>
              <w:keepLines/>
              <w:ind w:left="284"/>
            </w:pPr>
            <w:r>
              <w:t>24 months</w:t>
            </w:r>
          </w:p>
        </w:tc>
        <w:tc>
          <w:tcPr>
            <w:tcW w:w="2156" w:type="dxa"/>
          </w:tcPr>
          <w:p w14:paraId="2EAC41A9" w14:textId="77777777" w:rsidR="00C90CA1" w:rsidRPr="007D095B" w:rsidRDefault="00C90CA1">
            <w:pPr>
              <w:pStyle w:val="TableText"/>
              <w:keepNext/>
              <w:keepLines/>
              <w:jc w:val="center"/>
            </w:pPr>
            <w:r>
              <w:t>62% (41%, 77%)</w:t>
            </w:r>
          </w:p>
        </w:tc>
        <w:tc>
          <w:tcPr>
            <w:tcW w:w="2156" w:type="dxa"/>
          </w:tcPr>
          <w:p w14:paraId="215FBE8C" w14:textId="77777777" w:rsidR="00C90CA1" w:rsidRPr="007D095B" w:rsidRDefault="00C90CA1">
            <w:pPr>
              <w:pStyle w:val="TableText"/>
              <w:keepNext/>
              <w:keepLines/>
              <w:jc w:val="center"/>
            </w:pPr>
            <w:r>
              <w:t>55% (36%, 70%)</w:t>
            </w:r>
          </w:p>
        </w:tc>
        <w:tc>
          <w:tcPr>
            <w:tcW w:w="2157" w:type="dxa"/>
          </w:tcPr>
          <w:p w14:paraId="711DC5A4" w14:textId="77777777" w:rsidR="00C90CA1" w:rsidRPr="007D095B" w:rsidRDefault="00C90CA1">
            <w:pPr>
              <w:pStyle w:val="TableText"/>
              <w:keepNext/>
              <w:keepLines/>
              <w:jc w:val="center"/>
            </w:pPr>
            <w:r>
              <w:t>66% (57%, 74%)</w:t>
            </w:r>
          </w:p>
        </w:tc>
      </w:tr>
      <w:tr w:rsidR="00C90CA1" w:rsidRPr="00031AFF" w14:paraId="2947BFB2" w14:textId="77777777" w:rsidTr="132E0B0E">
        <w:tc>
          <w:tcPr>
            <w:tcW w:w="2547" w:type="dxa"/>
          </w:tcPr>
          <w:p w14:paraId="4FFE2F37" w14:textId="77777777" w:rsidR="00C90CA1" w:rsidRPr="007D095B" w:rsidRDefault="00C90CA1">
            <w:pPr>
              <w:pStyle w:val="TableText"/>
              <w:keepNext/>
              <w:keepLines/>
              <w:ind w:left="284"/>
            </w:pPr>
            <w:r>
              <w:t>36 months</w:t>
            </w:r>
          </w:p>
        </w:tc>
        <w:tc>
          <w:tcPr>
            <w:tcW w:w="2156" w:type="dxa"/>
          </w:tcPr>
          <w:p w14:paraId="65662FFD" w14:textId="77777777" w:rsidR="00C90CA1" w:rsidRPr="007D095B" w:rsidRDefault="00C90CA1">
            <w:pPr>
              <w:pStyle w:val="TableText"/>
              <w:keepNext/>
              <w:keepLines/>
              <w:jc w:val="center"/>
            </w:pPr>
            <w:r>
              <w:t>Not reached</w:t>
            </w:r>
          </w:p>
        </w:tc>
        <w:tc>
          <w:tcPr>
            <w:tcW w:w="2156" w:type="dxa"/>
          </w:tcPr>
          <w:p w14:paraId="1C4BE30A" w14:textId="77777777" w:rsidR="00C90CA1" w:rsidRPr="007D095B" w:rsidRDefault="00C90CA1">
            <w:pPr>
              <w:pStyle w:val="TableText"/>
              <w:keepNext/>
              <w:keepLines/>
              <w:jc w:val="center"/>
            </w:pPr>
            <w:r>
              <w:t>Not reached</w:t>
            </w:r>
          </w:p>
        </w:tc>
        <w:tc>
          <w:tcPr>
            <w:tcW w:w="2157" w:type="dxa"/>
          </w:tcPr>
          <w:p w14:paraId="2651C037" w14:textId="2938AFCD" w:rsidR="00C90CA1" w:rsidRPr="007D095B" w:rsidRDefault="00C90CA1">
            <w:pPr>
              <w:pStyle w:val="TableText"/>
              <w:keepNext/>
              <w:keepLines/>
              <w:jc w:val="center"/>
            </w:pPr>
            <w:r>
              <w:t>57% (48%, 65%)</w:t>
            </w:r>
          </w:p>
        </w:tc>
      </w:tr>
      <w:tr w:rsidR="00C90CA1" w:rsidRPr="00031AFF" w14:paraId="3B320A05" w14:textId="77777777" w:rsidTr="132E0B0E">
        <w:tc>
          <w:tcPr>
            <w:tcW w:w="2547" w:type="dxa"/>
          </w:tcPr>
          <w:p w14:paraId="4091CE9B" w14:textId="77777777" w:rsidR="00C90CA1" w:rsidRPr="007D095B" w:rsidRDefault="00C90CA1">
            <w:pPr>
              <w:pStyle w:val="TableText"/>
              <w:keepNext/>
              <w:keepLines/>
              <w:ind w:left="284"/>
            </w:pPr>
            <w:r>
              <w:t>48 months</w:t>
            </w:r>
          </w:p>
        </w:tc>
        <w:tc>
          <w:tcPr>
            <w:tcW w:w="2156" w:type="dxa"/>
          </w:tcPr>
          <w:p w14:paraId="34AFD9F7" w14:textId="77777777" w:rsidR="00C90CA1" w:rsidRPr="007D095B" w:rsidRDefault="00C90CA1">
            <w:pPr>
              <w:pStyle w:val="TableText"/>
              <w:keepNext/>
              <w:keepLines/>
              <w:jc w:val="center"/>
            </w:pPr>
            <w:r>
              <w:t>Not reached</w:t>
            </w:r>
          </w:p>
        </w:tc>
        <w:tc>
          <w:tcPr>
            <w:tcW w:w="2156" w:type="dxa"/>
          </w:tcPr>
          <w:p w14:paraId="5949A169" w14:textId="77777777" w:rsidR="00C90CA1" w:rsidRPr="007D095B" w:rsidRDefault="00C90CA1">
            <w:pPr>
              <w:pStyle w:val="TableText"/>
              <w:keepNext/>
              <w:keepLines/>
              <w:jc w:val="center"/>
            </w:pPr>
            <w:r>
              <w:t>Not reached</w:t>
            </w:r>
          </w:p>
        </w:tc>
        <w:tc>
          <w:tcPr>
            <w:tcW w:w="2157" w:type="dxa"/>
            <w:shd w:val="clear" w:color="auto" w:fill="auto"/>
          </w:tcPr>
          <w:p w14:paraId="4978D28B" w14:textId="77777777" w:rsidR="00C90CA1" w:rsidRPr="0089026A" w:rsidRDefault="00C90CA1">
            <w:pPr>
              <w:pStyle w:val="TableText"/>
              <w:keepNext/>
              <w:keepLines/>
              <w:jc w:val="center"/>
            </w:pPr>
            <w:r w:rsidRPr="00031AFF">
              <w:t>53% (43%, 62%)</w:t>
            </w:r>
          </w:p>
        </w:tc>
      </w:tr>
    </w:tbl>
    <w:p w14:paraId="6F59DFD5" w14:textId="77777777" w:rsidR="0025008A" w:rsidRPr="00031AFF" w:rsidRDefault="0025008A" w:rsidP="00784759">
      <w:pPr>
        <w:pStyle w:val="TableFigNote"/>
        <w:rPr>
          <w:rFonts w:ascii="Arial Narrow" w:hAnsi="Arial Narrow"/>
        </w:rPr>
      </w:pPr>
      <w:r w:rsidRPr="00031AFF">
        <w:rPr>
          <w:rFonts w:ascii="Arial Narrow" w:hAnsi="Arial Narrow"/>
        </w:rPr>
        <w:t>Abbreviations: IAS=inferential analysis set; FAS=full analysis set; NE=not evaluable</w:t>
      </w:r>
    </w:p>
    <w:p w14:paraId="65ECE12B" w14:textId="760ADFB8" w:rsidR="0025008A" w:rsidRPr="00A762F5" w:rsidRDefault="0025008A" w:rsidP="00784759">
      <w:pPr>
        <w:pStyle w:val="TableFigNote"/>
        <w:rPr>
          <w:rFonts w:ascii="Arial Narrow" w:hAnsi="Arial Narrow"/>
        </w:rPr>
      </w:pPr>
      <w:r w:rsidRPr="00031AFF">
        <w:rPr>
          <w:rFonts w:ascii="Arial Narrow" w:hAnsi="Arial Narrow"/>
        </w:rPr>
        <w:t>Note: The median follow-up time for PFS in the primary analysis was 15.2 months (95% CI: 14.7, 17.8) and.17.1 months (95%CI: 14.9, 18.0 months) for the base case and sensitivity analysis, respectively.</w:t>
      </w:r>
      <w:r w:rsidRPr="00A762F5">
        <w:rPr>
          <w:rFonts w:ascii="Arial Narrow" w:hAnsi="Arial Narrow"/>
        </w:rPr>
        <w:t xml:space="preserve"> </w:t>
      </w:r>
    </w:p>
    <w:p w14:paraId="4B871E7D" w14:textId="64221838" w:rsidR="0025008A" w:rsidRPr="00A762F5" w:rsidRDefault="0025008A" w:rsidP="00784759">
      <w:pPr>
        <w:pStyle w:val="TableFigNote"/>
        <w:rPr>
          <w:rFonts w:ascii="Arial Narrow" w:hAnsi="Arial Narrow"/>
        </w:rPr>
      </w:pPr>
      <w:r w:rsidRPr="132E0B0E">
        <w:rPr>
          <w:rFonts w:ascii="Arial Narrow" w:hAnsi="Arial Narrow"/>
        </w:rPr>
        <w:t xml:space="preserve">The median follow-up time was 48.7 months (95% CI: 38.4, 49.2 months) in the </w:t>
      </w:r>
      <w:proofErr w:type="gramStart"/>
      <w:r w:rsidRPr="132E0B0E">
        <w:rPr>
          <w:rFonts w:ascii="Arial Narrow" w:hAnsi="Arial Narrow"/>
        </w:rPr>
        <w:t>48 month</w:t>
      </w:r>
      <w:proofErr w:type="gramEnd"/>
      <w:r w:rsidRPr="132E0B0E">
        <w:rPr>
          <w:rFonts w:ascii="Arial Narrow" w:hAnsi="Arial Narrow"/>
        </w:rPr>
        <w:t xml:space="preserve"> follow-up</w:t>
      </w:r>
      <w:r w:rsidR="005A3946" w:rsidRPr="132E0B0E">
        <w:rPr>
          <w:rFonts w:ascii="Arial Narrow" w:hAnsi="Arial Narrow"/>
        </w:rPr>
        <w:t>.</w:t>
      </w:r>
    </w:p>
    <w:p w14:paraId="19A98285" w14:textId="77777777" w:rsidR="0025008A" w:rsidRPr="00A762F5" w:rsidRDefault="0025008A" w:rsidP="00784759">
      <w:pPr>
        <w:pStyle w:val="TableFigNote"/>
        <w:rPr>
          <w:rFonts w:ascii="Arial Narrow" w:hAnsi="Arial Narrow"/>
        </w:rPr>
      </w:pPr>
      <w:r w:rsidRPr="00A762F5">
        <w:rPr>
          <w:rFonts w:ascii="Arial Narrow" w:hAnsi="Arial Narrow"/>
        </w:rPr>
        <w:t>* Central assessment</w:t>
      </w:r>
    </w:p>
    <w:p w14:paraId="1700EB61" w14:textId="77777777" w:rsidR="0025008A" w:rsidRPr="00A762F5" w:rsidRDefault="0025008A" w:rsidP="00784759">
      <w:pPr>
        <w:pStyle w:val="TableFigNote"/>
        <w:rPr>
          <w:rFonts w:ascii="Arial Narrow" w:hAnsi="Arial Narrow"/>
        </w:rPr>
      </w:pPr>
      <w:r w:rsidRPr="00A762F5">
        <w:rPr>
          <w:rFonts w:ascii="Arial Narrow" w:hAnsi="Arial Narrow"/>
        </w:rPr>
        <w:t>^ Investigator assessed</w:t>
      </w:r>
    </w:p>
    <w:p w14:paraId="728C5B28" w14:textId="4BD365B6" w:rsidR="00A92BE7" w:rsidRPr="00A762F5" w:rsidRDefault="00CA194A" w:rsidP="00784759">
      <w:pPr>
        <w:pStyle w:val="TableFigNote"/>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Table 42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14243A14" w14:textId="49335463" w:rsidR="008B4A04" w:rsidRDefault="219B77D5" w:rsidP="00DA632A">
      <w:r>
        <w:t xml:space="preserve">The comparative effectiveness </w:t>
      </w:r>
      <w:r w:rsidR="05CCAAAD">
        <w:t>of AXI</w:t>
      </w:r>
      <w:r>
        <w:t xml:space="preserve"> </w:t>
      </w:r>
      <w:r w:rsidR="168D800D">
        <w:t xml:space="preserve">vs </w:t>
      </w:r>
      <w:r w:rsidR="2963D97B">
        <w:t>SOC</w:t>
      </w:r>
      <w:r w:rsidR="168D800D">
        <w:t xml:space="preserve"> </w:t>
      </w:r>
      <w:r>
        <w:t>for the outcome of PFS reported in the assessment of ZUMA-5 vs SCHOLAR-5 is outlined in</w:t>
      </w:r>
      <w:r w:rsidR="05CCAAAD">
        <w:t xml:space="preserve"> </w:t>
      </w:r>
      <w:r w:rsidR="00244053">
        <w:fldChar w:fldCharType="begin"/>
      </w:r>
      <w:r w:rsidR="00244053">
        <w:instrText xml:space="preserve"> REF _Ref163120796 \h </w:instrText>
      </w:r>
      <w:r w:rsidR="00244053">
        <w:fldChar w:fldCharType="separate"/>
      </w:r>
      <w:r w:rsidR="168D800D">
        <w:t xml:space="preserve">Table </w:t>
      </w:r>
      <w:r w:rsidR="168D800D" w:rsidRPr="23728776">
        <w:rPr>
          <w:noProof/>
        </w:rPr>
        <w:t>10</w:t>
      </w:r>
      <w:r w:rsidR="00244053">
        <w:fldChar w:fldCharType="end"/>
      </w:r>
      <w:r>
        <w:t xml:space="preserve">. At the updated analysis of ZUMA-5 vs SCHOLAR-5, </w:t>
      </w:r>
      <w:r w:rsidR="76F04ADF">
        <w:t xml:space="preserve">results suggested that </w:t>
      </w:r>
      <w:r w:rsidR="05CCAAAD">
        <w:t>AXI</w:t>
      </w:r>
      <w:r>
        <w:t xml:space="preserve"> was associated with a significant improvement in PFS</w:t>
      </w:r>
      <w:r w:rsidR="23A5DCB7">
        <w:t xml:space="preserve"> (</w:t>
      </w:r>
      <w:r w:rsidR="2E1961F0">
        <w:t>h</w:t>
      </w:r>
      <w:r w:rsidR="0B3A55F0">
        <w:t>azard ratio (HR)= 0.27, 95%</w:t>
      </w:r>
      <w:r w:rsidR="2E1961F0">
        <w:t xml:space="preserve"> </w:t>
      </w:r>
      <w:r w:rsidR="0B3A55F0">
        <w:t>CI: 0.18, 0.40</w:t>
      </w:r>
      <w:r w:rsidR="23A5DCB7">
        <w:t>)</w:t>
      </w:r>
      <w:r w:rsidR="1BB6ED2F">
        <w:t>, and</w:t>
      </w:r>
      <w:r>
        <w:t xml:space="preserve"> patients treated with </w:t>
      </w:r>
      <w:r w:rsidR="1BB6ED2F">
        <w:t>AXI</w:t>
      </w:r>
      <w:r>
        <w:t xml:space="preserve"> reported an improvement in median PFS of 44.3 months (3.7 years) vs patients treated with </w:t>
      </w:r>
      <w:r w:rsidR="1BB6ED2F">
        <w:t>s</w:t>
      </w:r>
      <w:r>
        <w:t xml:space="preserve">tandard care. </w:t>
      </w:r>
    </w:p>
    <w:p w14:paraId="182DCE7A" w14:textId="180BD3CC" w:rsidR="008B4A04" w:rsidRPr="00784759" w:rsidRDefault="008B4A04" w:rsidP="008B4A04">
      <w:pPr>
        <w:pStyle w:val="Caption"/>
      </w:pPr>
      <w:bookmarkStart w:id="28" w:name="_Ref163120796"/>
      <w:r>
        <w:lastRenderedPageBreak/>
        <w:t xml:space="preserve">Table </w:t>
      </w:r>
      <w:r>
        <w:fldChar w:fldCharType="begin"/>
      </w:r>
      <w:r>
        <w:instrText>SEQ Table \* ARABIC</w:instrText>
      </w:r>
      <w:r>
        <w:fldChar w:fldCharType="separate"/>
      </w:r>
      <w:r w:rsidR="0020136D" w:rsidRPr="132E0B0E">
        <w:rPr>
          <w:noProof/>
        </w:rPr>
        <w:t>10</w:t>
      </w:r>
      <w:r>
        <w:fldChar w:fldCharType="end"/>
      </w:r>
      <w:bookmarkEnd w:id="28"/>
      <w:r>
        <w:tab/>
      </w:r>
      <w:r w:rsidR="00EF3835">
        <w:t>Progression free survival reported for ZUMA-5 vs weighted SCHOLAR-5</w:t>
      </w:r>
    </w:p>
    <w:tbl>
      <w:tblPr>
        <w:tblStyle w:val="TableGrid"/>
        <w:tblW w:w="0" w:type="auto"/>
        <w:tblLayout w:type="fixed"/>
        <w:tblLook w:val="04A0" w:firstRow="1" w:lastRow="0" w:firstColumn="1" w:lastColumn="0" w:noHBand="0" w:noVBand="1"/>
      </w:tblPr>
      <w:tblGrid>
        <w:gridCol w:w="1129"/>
        <w:gridCol w:w="985"/>
        <w:gridCol w:w="986"/>
        <w:gridCol w:w="986"/>
        <w:gridCol w:w="986"/>
        <w:gridCol w:w="986"/>
        <w:gridCol w:w="986"/>
        <w:gridCol w:w="986"/>
        <w:gridCol w:w="986"/>
      </w:tblGrid>
      <w:tr w:rsidR="00F73574" w:rsidRPr="00E01526" w14:paraId="151B20F7" w14:textId="77777777" w:rsidTr="132E0B0E">
        <w:tc>
          <w:tcPr>
            <w:tcW w:w="1129" w:type="dxa"/>
            <w:vMerge w:val="restart"/>
          </w:tcPr>
          <w:p w14:paraId="6B014FE0" w14:textId="58C48E6E" w:rsidR="00F73574" w:rsidRPr="00E01526" w:rsidRDefault="00F73574">
            <w:pPr>
              <w:pStyle w:val="TableHeading0"/>
              <w:keepNext/>
              <w:keepLines/>
              <w:rPr>
                <w:bCs/>
              </w:rPr>
            </w:pPr>
          </w:p>
        </w:tc>
        <w:tc>
          <w:tcPr>
            <w:tcW w:w="3943" w:type="dxa"/>
            <w:gridSpan w:val="4"/>
          </w:tcPr>
          <w:p w14:paraId="2C623B10" w14:textId="77777777" w:rsidR="00F73574" w:rsidRPr="00E01526" w:rsidRDefault="00F73574" w:rsidP="00B04266">
            <w:pPr>
              <w:pStyle w:val="TableHeading0"/>
              <w:keepNext/>
              <w:keepLines/>
              <w:jc w:val="center"/>
              <w:rPr>
                <w:bCs/>
              </w:rPr>
            </w:pPr>
            <w:r w:rsidRPr="00E01526">
              <w:rPr>
                <w:bCs/>
              </w:rPr>
              <w:t>ZUMA-5 vs SCHOLAR-5: Primary (18 month) comparative analysis</w:t>
            </w:r>
          </w:p>
        </w:tc>
        <w:tc>
          <w:tcPr>
            <w:tcW w:w="3944" w:type="dxa"/>
            <w:gridSpan w:val="4"/>
          </w:tcPr>
          <w:p w14:paraId="4F80A3DC" w14:textId="77777777" w:rsidR="00F73574" w:rsidRPr="00E01526" w:rsidRDefault="00F73574" w:rsidP="00B04266">
            <w:pPr>
              <w:pStyle w:val="TableHeading0"/>
              <w:keepNext/>
              <w:keepLines/>
              <w:jc w:val="center"/>
            </w:pPr>
            <w:r>
              <w:t xml:space="preserve">ZUMA-5 vs SCHOLAR-5: Updated </w:t>
            </w:r>
            <w:proofErr w:type="gramStart"/>
            <w:r>
              <w:t>48 month</w:t>
            </w:r>
            <w:proofErr w:type="gramEnd"/>
            <w:r>
              <w:t xml:space="preserve"> comparative analysis</w:t>
            </w:r>
          </w:p>
        </w:tc>
      </w:tr>
      <w:tr w:rsidR="00F73574" w:rsidRPr="00E01526" w14:paraId="55EE0A37" w14:textId="77777777" w:rsidTr="132E0B0E">
        <w:tc>
          <w:tcPr>
            <w:tcW w:w="1129" w:type="dxa"/>
            <w:vMerge/>
          </w:tcPr>
          <w:p w14:paraId="58DAFFAA" w14:textId="193C8C72" w:rsidR="00F73574" w:rsidRPr="00E01526" w:rsidRDefault="00F73574">
            <w:pPr>
              <w:pStyle w:val="TableHeading0"/>
              <w:keepNext/>
              <w:keepLines/>
              <w:jc w:val="center"/>
              <w:rPr>
                <w:bCs/>
              </w:rPr>
            </w:pPr>
          </w:p>
        </w:tc>
        <w:tc>
          <w:tcPr>
            <w:tcW w:w="985" w:type="dxa"/>
          </w:tcPr>
          <w:p w14:paraId="648EF0E6" w14:textId="77777777" w:rsidR="00F73574" w:rsidRPr="00E01526" w:rsidRDefault="00F73574" w:rsidP="00B04266">
            <w:pPr>
              <w:pStyle w:val="TableHeading0"/>
              <w:keepNext/>
              <w:keepLines/>
              <w:jc w:val="center"/>
              <w:rPr>
                <w:bCs/>
              </w:rPr>
            </w:pPr>
            <w:r w:rsidRPr="00E01526">
              <w:rPr>
                <w:bCs/>
              </w:rPr>
              <w:t>ZUMA-5 (N=86)</w:t>
            </w:r>
          </w:p>
        </w:tc>
        <w:tc>
          <w:tcPr>
            <w:tcW w:w="986" w:type="dxa"/>
          </w:tcPr>
          <w:p w14:paraId="5ABCA715" w14:textId="676347A9" w:rsidR="00F73574" w:rsidRPr="00E01526" w:rsidRDefault="00F73574" w:rsidP="132E0B0E">
            <w:pPr>
              <w:pStyle w:val="TableHeading0"/>
              <w:keepNext/>
              <w:keepLines/>
              <w:jc w:val="center"/>
            </w:pPr>
            <w:r>
              <w:t>SCHOLAR-5 (N=</w:t>
            </w:r>
            <w:proofErr w:type="gramStart"/>
            <w:r>
              <w:t>56)*</w:t>
            </w:r>
            <w:proofErr w:type="gramEnd"/>
          </w:p>
        </w:tc>
        <w:tc>
          <w:tcPr>
            <w:tcW w:w="986" w:type="dxa"/>
          </w:tcPr>
          <w:p w14:paraId="1262B051" w14:textId="1541D8FD" w:rsidR="00F73574" w:rsidRPr="00E01526" w:rsidRDefault="00F73574" w:rsidP="00B04266">
            <w:pPr>
              <w:pStyle w:val="TableHeading0"/>
              <w:keepNext/>
              <w:keepLines/>
              <w:jc w:val="center"/>
              <w:rPr>
                <w:bCs/>
              </w:rPr>
            </w:pPr>
            <w:r w:rsidRPr="00E01526">
              <w:rPr>
                <w:bCs/>
              </w:rPr>
              <w:t>Absolute diff</w:t>
            </w:r>
          </w:p>
        </w:tc>
        <w:tc>
          <w:tcPr>
            <w:tcW w:w="986" w:type="dxa"/>
          </w:tcPr>
          <w:p w14:paraId="6F12C52D" w14:textId="77777777" w:rsidR="00F73574" w:rsidRPr="00E01526" w:rsidRDefault="00F73574" w:rsidP="00B04266">
            <w:pPr>
              <w:pStyle w:val="TableHeading0"/>
              <w:keepNext/>
              <w:keepLines/>
              <w:jc w:val="center"/>
              <w:rPr>
                <w:bCs/>
              </w:rPr>
            </w:pPr>
            <w:r w:rsidRPr="00E01526">
              <w:rPr>
                <w:bCs/>
              </w:rPr>
              <w:t>Hazard ratio (95% CI)</w:t>
            </w:r>
          </w:p>
        </w:tc>
        <w:tc>
          <w:tcPr>
            <w:tcW w:w="986" w:type="dxa"/>
          </w:tcPr>
          <w:p w14:paraId="3E234091" w14:textId="77777777" w:rsidR="00F73574" w:rsidRPr="00E01526" w:rsidRDefault="00F73574" w:rsidP="00B04266">
            <w:pPr>
              <w:pStyle w:val="TableHeading0"/>
              <w:keepNext/>
              <w:keepLines/>
              <w:jc w:val="center"/>
              <w:rPr>
                <w:bCs/>
              </w:rPr>
            </w:pPr>
            <w:r w:rsidRPr="00E01526">
              <w:rPr>
                <w:bCs/>
              </w:rPr>
              <w:t>ZUMA-5 (N=127)</w:t>
            </w:r>
          </w:p>
        </w:tc>
        <w:tc>
          <w:tcPr>
            <w:tcW w:w="986" w:type="dxa"/>
          </w:tcPr>
          <w:p w14:paraId="6970BFD5" w14:textId="7F227158" w:rsidR="00F73574" w:rsidRPr="00E01526" w:rsidRDefault="00F73574" w:rsidP="132E0B0E">
            <w:pPr>
              <w:pStyle w:val="TableHeading0"/>
              <w:keepNext/>
              <w:keepLines/>
              <w:jc w:val="center"/>
            </w:pPr>
            <w:r>
              <w:t>SCHOLAR-5 (N=</w:t>
            </w:r>
            <w:proofErr w:type="gramStart"/>
            <w:r>
              <w:t>89)^</w:t>
            </w:r>
            <w:proofErr w:type="gramEnd"/>
          </w:p>
        </w:tc>
        <w:tc>
          <w:tcPr>
            <w:tcW w:w="986" w:type="dxa"/>
          </w:tcPr>
          <w:p w14:paraId="257C4152" w14:textId="1A2E13BD" w:rsidR="00F73574" w:rsidRPr="00E01526" w:rsidRDefault="00F73574" w:rsidP="00B04266">
            <w:pPr>
              <w:pStyle w:val="TableHeading0"/>
              <w:keepNext/>
              <w:keepLines/>
              <w:jc w:val="center"/>
              <w:rPr>
                <w:bCs/>
              </w:rPr>
            </w:pPr>
            <w:r w:rsidRPr="00E01526">
              <w:rPr>
                <w:bCs/>
              </w:rPr>
              <w:t>Absolute diff</w:t>
            </w:r>
          </w:p>
        </w:tc>
        <w:tc>
          <w:tcPr>
            <w:tcW w:w="986" w:type="dxa"/>
          </w:tcPr>
          <w:p w14:paraId="2AE2B2B1" w14:textId="77777777" w:rsidR="00F73574" w:rsidRPr="00E01526" w:rsidRDefault="00F73574" w:rsidP="00B04266">
            <w:pPr>
              <w:pStyle w:val="TableHeading0"/>
              <w:keepNext/>
              <w:keepLines/>
              <w:jc w:val="center"/>
              <w:rPr>
                <w:bCs/>
              </w:rPr>
            </w:pPr>
            <w:r w:rsidRPr="00E01526">
              <w:rPr>
                <w:bCs/>
              </w:rPr>
              <w:t>Hazard ratio (95% CI)</w:t>
            </w:r>
          </w:p>
        </w:tc>
      </w:tr>
      <w:tr w:rsidR="00E01526" w:rsidRPr="00E01526" w14:paraId="76E647DE" w14:textId="77777777" w:rsidTr="132E0B0E">
        <w:tc>
          <w:tcPr>
            <w:tcW w:w="1129" w:type="dxa"/>
          </w:tcPr>
          <w:p w14:paraId="3E598108" w14:textId="12FBF1F0" w:rsidR="00E01526" w:rsidRPr="00E01526" w:rsidRDefault="00E01526">
            <w:pPr>
              <w:pStyle w:val="TableText"/>
              <w:keepNext/>
              <w:keepLines/>
              <w:jc w:val="center"/>
            </w:pPr>
            <w:r w:rsidRPr="00E01526">
              <w:t>Kaplan-Meier median, months (95% CI)</w:t>
            </w:r>
          </w:p>
        </w:tc>
        <w:tc>
          <w:tcPr>
            <w:tcW w:w="985" w:type="dxa"/>
          </w:tcPr>
          <w:p w14:paraId="0AB7DE82" w14:textId="77777777" w:rsidR="00E01526" w:rsidRPr="00E01526" w:rsidRDefault="00E01526" w:rsidP="00B04266">
            <w:pPr>
              <w:pStyle w:val="TableText"/>
              <w:keepNext/>
              <w:keepLines/>
              <w:jc w:val="center"/>
            </w:pPr>
            <w:r w:rsidRPr="00E01526">
              <w:t>NR (23.5, NE)</w:t>
            </w:r>
          </w:p>
        </w:tc>
        <w:tc>
          <w:tcPr>
            <w:tcW w:w="986" w:type="dxa"/>
          </w:tcPr>
          <w:p w14:paraId="4ADFE975" w14:textId="77777777" w:rsidR="00E01526" w:rsidRPr="00E01526" w:rsidRDefault="00E01526" w:rsidP="00B04266">
            <w:pPr>
              <w:pStyle w:val="TableText"/>
              <w:keepNext/>
              <w:keepLines/>
              <w:jc w:val="center"/>
            </w:pPr>
            <w:r w:rsidRPr="00E01526">
              <w:t>12.7 (6.2, 14.7)</w:t>
            </w:r>
          </w:p>
        </w:tc>
        <w:tc>
          <w:tcPr>
            <w:tcW w:w="986" w:type="dxa"/>
          </w:tcPr>
          <w:p w14:paraId="0B0C0B3E" w14:textId="77777777" w:rsidR="00E01526" w:rsidRPr="00E01526" w:rsidRDefault="00E01526" w:rsidP="00B04266">
            <w:pPr>
              <w:pStyle w:val="TableText"/>
              <w:keepNext/>
              <w:keepLines/>
              <w:jc w:val="center"/>
            </w:pPr>
            <w:r w:rsidRPr="00E01526">
              <w:t>NE</w:t>
            </w:r>
          </w:p>
        </w:tc>
        <w:tc>
          <w:tcPr>
            <w:tcW w:w="986" w:type="dxa"/>
          </w:tcPr>
          <w:p w14:paraId="681805EA" w14:textId="77777777" w:rsidR="00E01526" w:rsidRPr="00E01526" w:rsidRDefault="00E01526" w:rsidP="00B04266">
            <w:pPr>
              <w:pStyle w:val="TableText"/>
              <w:keepNext/>
              <w:keepLines/>
              <w:jc w:val="center"/>
            </w:pPr>
            <w:r w:rsidRPr="00E01526">
              <w:t>0.30 (0.18, 0.49)</w:t>
            </w:r>
          </w:p>
        </w:tc>
        <w:tc>
          <w:tcPr>
            <w:tcW w:w="986" w:type="dxa"/>
          </w:tcPr>
          <w:p w14:paraId="7CA7CB47" w14:textId="77777777" w:rsidR="00E01526" w:rsidRPr="00E01526" w:rsidRDefault="00E01526" w:rsidP="00B04266">
            <w:pPr>
              <w:pStyle w:val="TableText"/>
              <w:keepNext/>
              <w:keepLines/>
              <w:jc w:val="center"/>
            </w:pPr>
            <w:r w:rsidRPr="00E01526">
              <w:t>57.3 (30.9, NE)</w:t>
            </w:r>
          </w:p>
        </w:tc>
        <w:tc>
          <w:tcPr>
            <w:tcW w:w="986" w:type="dxa"/>
          </w:tcPr>
          <w:p w14:paraId="4C2E6ADD" w14:textId="77777777" w:rsidR="00E01526" w:rsidRPr="00E01526" w:rsidRDefault="00E01526" w:rsidP="00B04266">
            <w:pPr>
              <w:pStyle w:val="TableText"/>
              <w:keepNext/>
              <w:keepLines/>
              <w:jc w:val="center"/>
            </w:pPr>
            <w:r w:rsidRPr="00E01526">
              <w:t>13.0 (7.8, 15.5)</w:t>
            </w:r>
          </w:p>
        </w:tc>
        <w:tc>
          <w:tcPr>
            <w:tcW w:w="986" w:type="dxa"/>
          </w:tcPr>
          <w:p w14:paraId="2BC674BB" w14:textId="77777777" w:rsidR="00E01526" w:rsidRPr="00E01526" w:rsidRDefault="00E01526" w:rsidP="00B04266">
            <w:pPr>
              <w:pStyle w:val="TableText"/>
              <w:keepNext/>
              <w:keepLines/>
              <w:jc w:val="center"/>
            </w:pPr>
            <w:r w:rsidRPr="00E01526">
              <w:t>44.3</w:t>
            </w:r>
          </w:p>
        </w:tc>
        <w:tc>
          <w:tcPr>
            <w:tcW w:w="986" w:type="dxa"/>
          </w:tcPr>
          <w:p w14:paraId="7778F89B" w14:textId="77777777" w:rsidR="00E01526" w:rsidRPr="00E01526" w:rsidRDefault="00E01526" w:rsidP="00B04266">
            <w:pPr>
              <w:pStyle w:val="TableText"/>
              <w:keepNext/>
              <w:keepLines/>
              <w:jc w:val="center"/>
            </w:pPr>
            <w:r w:rsidRPr="00E01526">
              <w:t>0.27 (0.18, 0.40)</w:t>
            </w:r>
          </w:p>
        </w:tc>
      </w:tr>
    </w:tbl>
    <w:p w14:paraId="7B600FB3" w14:textId="001D1CC3" w:rsidR="001F36C3" w:rsidRPr="00A762F5" w:rsidRDefault="001F36C3" w:rsidP="001F36C3">
      <w:pPr>
        <w:pStyle w:val="TableFigNote"/>
        <w:rPr>
          <w:rFonts w:ascii="Arial Narrow" w:hAnsi="Arial Narrow"/>
        </w:rPr>
      </w:pPr>
      <w:r w:rsidRPr="00A762F5">
        <w:rPr>
          <w:rFonts w:ascii="Arial Narrow" w:hAnsi="Arial Narrow"/>
        </w:rPr>
        <w:t xml:space="preserve">Abbreviations: </w:t>
      </w:r>
      <w:r w:rsidR="00893A03" w:rsidRPr="00A762F5">
        <w:rPr>
          <w:rFonts w:ascii="Arial Narrow" w:hAnsi="Arial Narrow"/>
        </w:rPr>
        <w:t xml:space="preserve">diff=difference; </w:t>
      </w:r>
      <w:r w:rsidRPr="00A762F5">
        <w:rPr>
          <w:rFonts w:ascii="Arial Narrow" w:hAnsi="Arial Narrow"/>
        </w:rPr>
        <w:t>NE=not evaluable; NR=not reached</w:t>
      </w:r>
    </w:p>
    <w:p w14:paraId="2F473034" w14:textId="77777777" w:rsidR="001F36C3" w:rsidRPr="00A762F5" w:rsidRDefault="001F36C3" w:rsidP="001F36C3">
      <w:pPr>
        <w:pStyle w:val="TableFigNote"/>
        <w:rPr>
          <w:rFonts w:ascii="Arial Narrow" w:hAnsi="Arial Narrow"/>
        </w:rPr>
      </w:pPr>
      <w:r w:rsidRPr="132E0B0E">
        <w:rPr>
          <w:rFonts w:ascii="Arial Narrow" w:hAnsi="Arial Narrow"/>
        </w:rPr>
        <w:t xml:space="preserve">* SCHOLAR-5 sample size for PFS was 56. The progression dates were not collected for the subsequent line of therapy in the DELTA trial; therefore, </w:t>
      </w:r>
      <w:proofErr w:type="spellStart"/>
      <w:r w:rsidRPr="132E0B0E">
        <w:rPr>
          <w:rFonts w:ascii="Arial Narrow" w:hAnsi="Arial Narrow"/>
        </w:rPr>
        <w:t>subcohort</w:t>
      </w:r>
      <w:proofErr w:type="spellEnd"/>
      <w:r w:rsidRPr="132E0B0E">
        <w:rPr>
          <w:rFonts w:ascii="Arial Narrow" w:hAnsi="Arial Narrow"/>
        </w:rPr>
        <w:t xml:space="preserve"> B was not included in the PFS analysis (p853, Ghione et al. 2022).</w:t>
      </w:r>
    </w:p>
    <w:p w14:paraId="5910FD33" w14:textId="77777777" w:rsidR="001F36C3" w:rsidRPr="00A762F5" w:rsidRDefault="001F36C3" w:rsidP="001F36C3">
      <w:pPr>
        <w:pStyle w:val="TableFigNote"/>
        <w:rPr>
          <w:rFonts w:ascii="Arial Narrow" w:hAnsi="Arial Narrow"/>
        </w:rPr>
      </w:pPr>
      <w:r w:rsidRPr="00A762F5">
        <w:rPr>
          <w:rFonts w:ascii="Arial Narrow" w:hAnsi="Arial Narrow"/>
        </w:rPr>
        <w:t xml:space="preserve">^ The reduced SCHOLAR-5 sample size for PFS was not explained by the submission. </w:t>
      </w:r>
    </w:p>
    <w:p w14:paraId="7BCE8436" w14:textId="04B236C4" w:rsidR="001F36C3" w:rsidRPr="00A762F5" w:rsidRDefault="001F36C3" w:rsidP="001F36C3">
      <w:pPr>
        <w:pStyle w:val="TableFigNote"/>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Table 43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2CBA450F" w14:textId="44C1CEED" w:rsidR="00C41953" w:rsidRDefault="69B7AAF5" w:rsidP="00717D86">
      <w:r>
        <w:t>The Kaplan-Meier plot of PFS based on the updated 48</w:t>
      </w:r>
      <w:r w:rsidR="00C06B64">
        <w:t>-</w:t>
      </w:r>
      <w:r>
        <w:t>month comparative analysis of ZUMA-5 vs SCHOLAR-5 is provided in</w:t>
      </w:r>
      <w:r w:rsidR="4A6684C7">
        <w:t xml:space="preserve"> </w:t>
      </w:r>
      <w:r>
        <w:fldChar w:fldCharType="begin"/>
      </w:r>
      <w:r>
        <w:instrText xml:space="preserve"> REF _Ref163122322 \h  \* MERGEFORMAT </w:instrText>
      </w:r>
      <w:r>
        <w:fldChar w:fldCharType="separate"/>
      </w:r>
      <w:r w:rsidR="112FA661">
        <w:t xml:space="preserve">Figure </w:t>
      </w:r>
      <w:r w:rsidR="112FA661" w:rsidRPr="132E0B0E">
        <w:rPr>
          <w:noProof/>
        </w:rPr>
        <w:t>1</w:t>
      </w:r>
      <w:r>
        <w:fldChar w:fldCharType="end"/>
      </w:r>
      <w:r w:rsidR="112FA661">
        <w:t xml:space="preserve">. </w:t>
      </w:r>
      <w:r w:rsidR="4A6684C7">
        <w:t xml:space="preserve">Early and sustained separation of the </w:t>
      </w:r>
      <w:r w:rsidR="4D144A8D">
        <w:t xml:space="preserve">AXI </w:t>
      </w:r>
      <w:r w:rsidR="4A6684C7">
        <w:t xml:space="preserve">PFS curve from the </w:t>
      </w:r>
      <w:r w:rsidR="15E45902">
        <w:t>SOC</w:t>
      </w:r>
      <w:r w:rsidR="4A6684C7">
        <w:t xml:space="preserve"> PFS curve </w:t>
      </w:r>
      <w:r w:rsidR="112FA661">
        <w:t>wa</w:t>
      </w:r>
      <w:r w:rsidR="4A6684C7">
        <w:t xml:space="preserve">s observed. </w:t>
      </w:r>
    </w:p>
    <w:p w14:paraId="1AC88C3D" w14:textId="7AC76B26" w:rsidR="00976850" w:rsidRDefault="001042DC" w:rsidP="001042DC">
      <w:pPr>
        <w:pStyle w:val="Caption"/>
      </w:pPr>
      <w:bookmarkStart w:id="29" w:name="_Ref163122322"/>
      <w:r>
        <w:t xml:space="preserve">Figure </w:t>
      </w:r>
      <w:r>
        <w:fldChar w:fldCharType="begin"/>
      </w:r>
      <w:r>
        <w:instrText>SEQ Figure \* ARABIC</w:instrText>
      </w:r>
      <w:r>
        <w:fldChar w:fldCharType="separate"/>
      </w:r>
      <w:r w:rsidR="005D0764" w:rsidRPr="132E0B0E">
        <w:rPr>
          <w:noProof/>
        </w:rPr>
        <w:t>1</w:t>
      </w:r>
      <w:r>
        <w:fldChar w:fldCharType="end"/>
      </w:r>
      <w:bookmarkEnd w:id="29"/>
      <w:r>
        <w:tab/>
        <w:t xml:space="preserve">Kaplan-Meier plot of progression free survival ZUMA-5 vs SCHOLAR-5: Updated comparative </w:t>
      </w:r>
      <w:proofErr w:type="gramStart"/>
      <w:r>
        <w:t>analysis</w:t>
      </w:r>
      <w:proofErr w:type="gramEnd"/>
    </w:p>
    <w:p w14:paraId="50389DE2" w14:textId="0A852B68" w:rsidR="00732AEB" w:rsidRDefault="00732AEB" w:rsidP="00E76AE0">
      <w:pPr>
        <w:pStyle w:val="Instructionaltext"/>
        <w:rPr>
          <w:color w:val="auto"/>
        </w:rPr>
      </w:pPr>
      <w:r>
        <w:rPr>
          <w:noProof/>
        </w:rPr>
        <w:drawing>
          <wp:inline distT="0" distB="0" distL="0" distR="0" wp14:anchorId="31DEE7F5" wp14:editId="2B61EF70">
            <wp:extent cx="4829175" cy="4514850"/>
            <wp:effectExtent l="0" t="0" r="9525" b="0"/>
            <wp:docPr id="559121026" name="Picture 559121026" descr="Kaplan-Meier plot of progression free survival ZUMA-5 vs SCHOLAR-5: Updated comparative analysi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21026" name="Picture 559121026" descr="Kaplan-Meier plot of progression free survival ZUMA-5 vs SCHOLAR-5: Updated comparative analysis&#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4514850"/>
                    </a:xfrm>
                    <a:prstGeom prst="rect">
                      <a:avLst/>
                    </a:prstGeom>
                    <a:noFill/>
                    <a:ln>
                      <a:noFill/>
                    </a:ln>
                  </pic:spPr>
                </pic:pic>
              </a:graphicData>
            </a:graphic>
          </wp:inline>
        </w:drawing>
      </w:r>
    </w:p>
    <w:p w14:paraId="1CD1B5AD" w14:textId="46023C92" w:rsidR="00FC7647" w:rsidRPr="00A762F5" w:rsidRDefault="00976850" w:rsidP="00976850">
      <w:pPr>
        <w:pStyle w:val="TableFigNote"/>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Figure 8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r w:rsidRPr="00A762F5">
        <w:rPr>
          <w:rFonts w:ascii="Arial Narrow" w:hAnsi="Arial Narrow"/>
        </w:rPr>
        <w:t xml:space="preserve">. </w:t>
      </w:r>
    </w:p>
    <w:p w14:paraId="14B74FAC" w14:textId="5BACA82D" w:rsidR="00DB58D9" w:rsidRPr="00A762F5" w:rsidRDefault="00FC7647" w:rsidP="009E42D5">
      <w:pPr>
        <w:pStyle w:val="TableFigNote"/>
        <w:rPr>
          <w:rFonts w:ascii="Arial Narrow" w:hAnsi="Arial Narrow"/>
        </w:rPr>
      </w:pPr>
      <w:r w:rsidRPr="132E0B0E">
        <w:rPr>
          <w:rFonts w:ascii="Arial Narrow" w:hAnsi="Arial Narrow"/>
        </w:rPr>
        <w:t xml:space="preserve">Note: </w:t>
      </w:r>
      <w:r w:rsidR="00976850" w:rsidRPr="132E0B0E">
        <w:rPr>
          <w:rFonts w:ascii="Arial Narrow" w:hAnsi="Arial Narrow"/>
        </w:rPr>
        <w:t xml:space="preserve">This could not be located and therefore could not be verified during the evaluation. </w:t>
      </w:r>
    </w:p>
    <w:p w14:paraId="4B5C475A" w14:textId="2CB10105" w:rsidR="00DB58D9" w:rsidRPr="00915C4D" w:rsidRDefault="2D467944" w:rsidP="00DB58D9">
      <w:r>
        <w:lastRenderedPageBreak/>
        <w:t xml:space="preserve">Results </w:t>
      </w:r>
      <w:r w:rsidR="11768D3B">
        <w:t xml:space="preserve">presented by the ADAR </w:t>
      </w:r>
      <w:r>
        <w:t xml:space="preserve">suggested superiority of AXI over </w:t>
      </w:r>
      <w:r w:rsidR="5E6243AB">
        <w:t>SOC</w:t>
      </w:r>
      <w:r>
        <w:t xml:space="preserve"> in terms of ORR</w:t>
      </w:r>
      <w:r w:rsidR="11768D3B">
        <w:t xml:space="preserve"> </w:t>
      </w:r>
      <w:r>
        <w:t xml:space="preserve">and PFS. However, the </w:t>
      </w:r>
      <w:r w:rsidR="56F25415">
        <w:t>Commentary</w:t>
      </w:r>
      <w:r w:rsidR="16F2A476">
        <w:t xml:space="preserve"> </w:t>
      </w:r>
      <w:r w:rsidR="5026B440">
        <w:t>considers</w:t>
      </w:r>
      <w:r w:rsidR="16F2A476">
        <w:t xml:space="preserve"> </w:t>
      </w:r>
      <w:r w:rsidR="072E239B">
        <w:t xml:space="preserve">that </w:t>
      </w:r>
      <w:r w:rsidR="16F2A476">
        <w:t>th</w:t>
      </w:r>
      <w:r w:rsidR="5026B440">
        <w:t>e</w:t>
      </w:r>
      <w:r w:rsidR="16F2A476">
        <w:t xml:space="preserve"> </w:t>
      </w:r>
      <w:r>
        <w:t>following points regarding the comparative efficacy of ZUMA-5 vs SCHOLAR-5 populations should be noted:</w:t>
      </w:r>
    </w:p>
    <w:p w14:paraId="2E2A1B2B" w14:textId="26555243" w:rsidR="00DB58D9" w:rsidRPr="007D0E24" w:rsidRDefault="00DB58D9" w:rsidP="007D0E24">
      <w:pPr>
        <w:pStyle w:val="Instructionaltext"/>
        <w:numPr>
          <w:ilvl w:val="0"/>
          <w:numId w:val="20"/>
        </w:numPr>
        <w:rPr>
          <w:color w:val="auto"/>
        </w:rPr>
      </w:pPr>
      <w:r w:rsidRPr="007D0E24">
        <w:rPr>
          <w:color w:val="auto"/>
        </w:rPr>
        <w:t xml:space="preserve">Potential transitivity issues may exist between the cohorts used in the </w:t>
      </w:r>
      <w:r w:rsidR="009266A4">
        <w:rPr>
          <w:color w:val="auto"/>
        </w:rPr>
        <w:t>ADAR</w:t>
      </w:r>
      <w:r w:rsidRPr="007D0E24">
        <w:rPr>
          <w:color w:val="auto"/>
        </w:rPr>
        <w:t>’s comparative analysis, despite the application of propensity scoring</w:t>
      </w:r>
      <w:r w:rsidR="4D5793D4" w:rsidRPr="512C1E7E">
        <w:rPr>
          <w:color w:val="auto"/>
        </w:rPr>
        <w:t>.</w:t>
      </w:r>
      <w:r w:rsidR="0013032E" w:rsidRPr="007D0E24">
        <w:rPr>
          <w:color w:val="auto"/>
        </w:rPr>
        <w:t xml:space="preserve"> </w:t>
      </w:r>
    </w:p>
    <w:p w14:paraId="20610170" w14:textId="5EDA7EEF" w:rsidR="00DB58D9" w:rsidRPr="007D0E24" w:rsidRDefault="00DB58D9" w:rsidP="007D0E24">
      <w:pPr>
        <w:pStyle w:val="Instructionaltext"/>
        <w:numPr>
          <w:ilvl w:val="0"/>
          <w:numId w:val="20"/>
        </w:numPr>
        <w:rPr>
          <w:color w:val="auto"/>
        </w:rPr>
      </w:pPr>
      <w:r w:rsidRPr="007D0E24">
        <w:rPr>
          <w:color w:val="auto"/>
        </w:rPr>
        <w:t xml:space="preserve">Even though the index date of treatment after July 2014 in SCHOLAR-5 cohort was chosen to reduce time-period bias due to the introduction of </w:t>
      </w:r>
      <w:r w:rsidR="00DC4F16" w:rsidRPr="00044B2B">
        <w:rPr>
          <w:color w:val="auto"/>
        </w:rPr>
        <w:t>PI3Kδ</w:t>
      </w:r>
      <w:r w:rsidRPr="007D0E24">
        <w:rPr>
          <w:color w:val="auto"/>
        </w:rPr>
        <w:t xml:space="preserve"> inhibitors and because the Lugano criteria for disease assessment was formalised in 2014, Ghione 2022; p854) acknowledged that “response assessment in </w:t>
      </w:r>
      <w:proofErr w:type="spellStart"/>
      <w:r w:rsidRPr="007D0E24">
        <w:rPr>
          <w:color w:val="auto"/>
        </w:rPr>
        <w:t>subcohorts</w:t>
      </w:r>
      <w:proofErr w:type="spellEnd"/>
      <w:r w:rsidRPr="007D0E24">
        <w:rPr>
          <w:color w:val="auto"/>
        </w:rPr>
        <w:t xml:space="preserve"> A and B included CT scans using older criteria”. Therefore, this introduced measurement bias (unclear in what direction) given the ZUMA-5 cohort was assessed per the Lugano classification. It was unclear how many patients may have been affected</w:t>
      </w:r>
      <w:r w:rsidR="5E258989" w:rsidRPr="1604A7BF">
        <w:rPr>
          <w:color w:val="auto"/>
        </w:rPr>
        <w:t>.</w:t>
      </w:r>
      <w:r w:rsidRPr="007D0E24">
        <w:rPr>
          <w:color w:val="auto"/>
        </w:rPr>
        <w:t xml:space="preserve"> </w:t>
      </w:r>
    </w:p>
    <w:p w14:paraId="4480DDBC" w14:textId="7B82778C" w:rsidR="00DB58D9" w:rsidRPr="007D0E24" w:rsidRDefault="00DB58D9" w:rsidP="007D0E24">
      <w:pPr>
        <w:pStyle w:val="Instructionaltext"/>
        <w:numPr>
          <w:ilvl w:val="0"/>
          <w:numId w:val="20"/>
        </w:numPr>
        <w:rPr>
          <w:color w:val="auto"/>
        </w:rPr>
      </w:pPr>
      <w:r w:rsidRPr="132E0B0E">
        <w:rPr>
          <w:color w:val="auto"/>
        </w:rPr>
        <w:t xml:space="preserve">PFS censoring applied in ZUMA-5 (where patients who received any subsequent anti-cancer therapy (including SCT or retreatment with AXI) in the absence of prior documented progression were censored) may be biased in favour of ZUMA-5, while censoring rules for SCHOLAR-5 cohort were not provided by the </w:t>
      </w:r>
      <w:r w:rsidR="009266A4" w:rsidRPr="132E0B0E">
        <w:rPr>
          <w:color w:val="auto"/>
        </w:rPr>
        <w:t>ADAR</w:t>
      </w:r>
      <w:r w:rsidRPr="132E0B0E">
        <w:rPr>
          <w:color w:val="auto"/>
        </w:rPr>
        <w:t xml:space="preserve"> and could not be located during the evaluation. Therefore, it was unclear how patients who ‘progressed’ were determined in SCHOLAR-5</w:t>
      </w:r>
      <w:r w:rsidR="225BB6D8" w:rsidRPr="132E0B0E">
        <w:rPr>
          <w:color w:val="auto"/>
        </w:rPr>
        <w:t>.</w:t>
      </w:r>
      <w:r w:rsidRPr="132E0B0E">
        <w:rPr>
          <w:color w:val="auto"/>
        </w:rPr>
        <w:t xml:space="preserve"> </w:t>
      </w:r>
    </w:p>
    <w:p w14:paraId="1EC74A0B" w14:textId="27ED3A5C" w:rsidR="00DB58D9" w:rsidRPr="009266A4" w:rsidRDefault="2D467944" w:rsidP="007D0E24">
      <w:pPr>
        <w:pStyle w:val="Instructionaltext"/>
        <w:numPr>
          <w:ilvl w:val="0"/>
          <w:numId w:val="20"/>
        </w:numPr>
        <w:rPr>
          <w:color w:val="auto"/>
        </w:rPr>
      </w:pPr>
      <w:r w:rsidRPr="23728776">
        <w:rPr>
          <w:color w:val="auto"/>
        </w:rPr>
        <w:t xml:space="preserve">Patients could be assessed as ‘progressed’ more quickly whilst receiving </w:t>
      </w:r>
      <w:r w:rsidR="3B437503" w:rsidRPr="23728776">
        <w:rPr>
          <w:color w:val="auto"/>
        </w:rPr>
        <w:t>SOC</w:t>
      </w:r>
      <w:r w:rsidRPr="23728776">
        <w:rPr>
          <w:color w:val="auto"/>
        </w:rPr>
        <w:t xml:space="preserve"> in SCHOLAR-5 than compared to ZUMA-5, as clinicians may be more likely to push </w:t>
      </w:r>
      <w:r w:rsidR="626B5E02" w:rsidRPr="23728776">
        <w:rPr>
          <w:color w:val="auto"/>
        </w:rPr>
        <w:t>SOC</w:t>
      </w:r>
      <w:r w:rsidRPr="23728776">
        <w:rPr>
          <w:color w:val="auto"/>
        </w:rPr>
        <w:t xml:space="preserve"> patients to progress quicker </w:t>
      </w:r>
      <w:proofErr w:type="gramStart"/>
      <w:r w:rsidRPr="23728776">
        <w:rPr>
          <w:color w:val="auto"/>
        </w:rPr>
        <w:t>in order to</w:t>
      </w:r>
      <w:proofErr w:type="gramEnd"/>
      <w:r w:rsidRPr="23728776">
        <w:rPr>
          <w:color w:val="auto"/>
        </w:rPr>
        <w:t xml:space="preserve"> switch treatments when </w:t>
      </w:r>
      <w:r w:rsidR="3F96EF6F" w:rsidRPr="23728776">
        <w:rPr>
          <w:color w:val="auto"/>
        </w:rPr>
        <w:t>SOC</w:t>
      </w:r>
      <w:r w:rsidRPr="23728776">
        <w:rPr>
          <w:color w:val="auto"/>
        </w:rPr>
        <w:t xml:space="preserve"> was perceived as not working, particularly in a real-world setting</w:t>
      </w:r>
      <w:r w:rsidR="0D9037C4" w:rsidRPr="23728776">
        <w:rPr>
          <w:color w:val="auto"/>
        </w:rPr>
        <w:t>.</w:t>
      </w:r>
    </w:p>
    <w:p w14:paraId="5E704C2E" w14:textId="1DC3BCD7" w:rsidR="00DB58D9" w:rsidRPr="009266A4" w:rsidRDefault="2D467944" w:rsidP="007D0E24">
      <w:pPr>
        <w:pStyle w:val="Instructionaltext"/>
        <w:numPr>
          <w:ilvl w:val="0"/>
          <w:numId w:val="20"/>
        </w:numPr>
        <w:rPr>
          <w:color w:val="auto"/>
        </w:rPr>
      </w:pPr>
      <w:r w:rsidRPr="23728776">
        <w:rPr>
          <w:color w:val="auto"/>
        </w:rPr>
        <w:t xml:space="preserve">Bias may be introduced from the misalignment of the timing of assessments between the two studies, potentially overestimating time to progression in the study with less frequent disease assessments. Patients enrolled in ZUMA-5 were assessed at Week 4, then 3 monthly, and if a patient’s disease had not progressed by Month 24, disease assessments were to continue to be performed per </w:t>
      </w:r>
      <w:r w:rsidR="78679C44" w:rsidRPr="23728776">
        <w:rPr>
          <w:color w:val="auto"/>
        </w:rPr>
        <w:t>SOC</w:t>
      </w:r>
      <w:r w:rsidRPr="23728776">
        <w:rPr>
          <w:color w:val="auto"/>
        </w:rPr>
        <w:t>, whereas the frequency of assessments in SCHOLAR-5 was not reported, though Ghione et al. (2022) expected this to be less frequent in real-world practice.</w:t>
      </w:r>
    </w:p>
    <w:p w14:paraId="3764B66C" w14:textId="446817D8" w:rsidR="00DB58D9" w:rsidRPr="00915C4D" w:rsidRDefault="00DB58D9" w:rsidP="00E25C70">
      <w:r w:rsidRPr="00915C4D">
        <w:t xml:space="preserve">Therefore, the results of this analysis should be considered highly uncertain. </w:t>
      </w:r>
    </w:p>
    <w:p w14:paraId="63786ED0" w14:textId="77777777" w:rsidR="00F82549" w:rsidRDefault="00F82549" w:rsidP="00067DEB">
      <w:pPr>
        <w:pStyle w:val="Heading3"/>
      </w:pPr>
      <w:r w:rsidRPr="00BE01CC">
        <w:t xml:space="preserve">Overall survival </w:t>
      </w:r>
    </w:p>
    <w:p w14:paraId="69C650BA" w14:textId="42A42095" w:rsidR="00832852" w:rsidRPr="00832852" w:rsidRDefault="00832852" w:rsidP="00717D86">
      <w:r w:rsidRPr="00832852">
        <w:t xml:space="preserve">Overall survival </w:t>
      </w:r>
      <w:r w:rsidR="00BE20EE">
        <w:t xml:space="preserve">(OS) </w:t>
      </w:r>
      <w:r w:rsidRPr="00832852">
        <w:t xml:space="preserve">was a secondary effectiveness outcome of ZUMA-5, defined as the time from the </w:t>
      </w:r>
      <w:r w:rsidR="001E2D36">
        <w:t>AXI</w:t>
      </w:r>
      <w:r w:rsidRPr="00832852">
        <w:t xml:space="preserve"> infusion date (analysis based on the </w:t>
      </w:r>
      <w:r w:rsidR="00EB4C23">
        <w:t>i</w:t>
      </w:r>
      <w:r w:rsidRPr="00832852">
        <w:t xml:space="preserve">nferential </w:t>
      </w:r>
      <w:r w:rsidR="00EB4C23">
        <w:t>a</w:t>
      </w:r>
      <w:r w:rsidRPr="00832852">
        <w:t xml:space="preserve">nalysis </w:t>
      </w:r>
      <w:r w:rsidR="00EB4C23">
        <w:t>s</w:t>
      </w:r>
      <w:r w:rsidRPr="00832852">
        <w:t>et</w:t>
      </w:r>
      <w:r w:rsidR="00EB4C23">
        <w:t>)</w:t>
      </w:r>
      <w:r w:rsidRPr="00832852">
        <w:t xml:space="preserve"> or the enrolment/leukapheresis date (analysis based on the</w:t>
      </w:r>
      <w:r w:rsidR="00EB4C23">
        <w:t xml:space="preserve"> f</w:t>
      </w:r>
      <w:r w:rsidRPr="00832852">
        <w:t xml:space="preserve">ull </w:t>
      </w:r>
      <w:r w:rsidR="00EB4C23">
        <w:t>a</w:t>
      </w:r>
      <w:r w:rsidRPr="00832852">
        <w:t xml:space="preserve">nalysis </w:t>
      </w:r>
      <w:r w:rsidR="00EB4C23">
        <w:t>s</w:t>
      </w:r>
      <w:r w:rsidRPr="00832852">
        <w:t>et) to the date of death due to any cause.</w:t>
      </w:r>
    </w:p>
    <w:p w14:paraId="60968C13" w14:textId="02B3B821" w:rsidR="00A72463" w:rsidRDefault="00832852" w:rsidP="00717D86">
      <w:r>
        <w:t xml:space="preserve">The assessment of OS for patients treated with </w:t>
      </w:r>
      <w:r w:rsidR="006206D6">
        <w:t xml:space="preserve">AXI </w:t>
      </w:r>
      <w:r>
        <w:t xml:space="preserve">in ZUMA-5 is summarised in </w:t>
      </w:r>
      <w:r>
        <w:fldChar w:fldCharType="begin"/>
      </w:r>
      <w:r>
        <w:instrText xml:space="preserve"> REF _Ref163122931 \h  \* MERGEFORMAT </w:instrText>
      </w:r>
      <w:r>
        <w:fldChar w:fldCharType="separate"/>
      </w:r>
      <w:r w:rsidR="00C7762D">
        <w:t xml:space="preserve">Table </w:t>
      </w:r>
      <w:r w:rsidR="00C7762D" w:rsidRPr="132E0B0E">
        <w:rPr>
          <w:noProof/>
        </w:rPr>
        <w:t>11</w:t>
      </w:r>
      <w:r>
        <w:fldChar w:fldCharType="end"/>
      </w:r>
      <w:r>
        <w:t>. At the primary analysis of ZUMA-5</w:t>
      </w:r>
      <w:r w:rsidR="3A86295C">
        <w:t>,</w:t>
      </w:r>
      <w:r>
        <w:t xml:space="preserve"> OS data was relatively immature with only 15%</w:t>
      </w:r>
      <w:r w:rsidR="00AF3770">
        <w:t xml:space="preserve"> (13/84)</w:t>
      </w:r>
      <w:r>
        <w:t xml:space="preserve"> of patients having died from any cause.</w:t>
      </w:r>
      <w:r w:rsidR="006206D6">
        <w:t xml:space="preserve"> </w:t>
      </w:r>
      <w:r>
        <w:t xml:space="preserve">At the updated analysis of ZUMA-5, </w:t>
      </w:r>
      <w:r w:rsidR="00643460">
        <w:t xml:space="preserve">death from any cause was reported in </w:t>
      </w:r>
      <w:r>
        <w:t>30%</w:t>
      </w:r>
      <w:r w:rsidR="00F777E8">
        <w:t xml:space="preserve"> (38/127)</w:t>
      </w:r>
      <w:r>
        <w:t xml:space="preserve"> of patients. Median OS was still not evaluable, however </w:t>
      </w:r>
      <w:r w:rsidR="00E25C70">
        <w:t xml:space="preserve">the ADAR claimed that </w:t>
      </w:r>
      <w:r>
        <w:t>based on the lower-bound of the 95% CI for median OS being 62.2 months</w:t>
      </w:r>
      <w:r w:rsidR="00C11FFB">
        <w:t>,</w:t>
      </w:r>
      <w:r>
        <w:t xml:space="preserve"> it can be deduced that there is a &lt;5% chance that the median duration of OS will be below 62.2 months (5.1 years). Patients in ZUMA-5 had a 72% chance of remaining alive 48 months (4 years) after enrolment</w:t>
      </w:r>
      <w:r w:rsidR="00A60C28">
        <w:t xml:space="preserve">. </w:t>
      </w:r>
    </w:p>
    <w:p w14:paraId="138B1390" w14:textId="4E366622" w:rsidR="005279FF" w:rsidRDefault="005279FF" w:rsidP="005279FF">
      <w:pPr>
        <w:pStyle w:val="Caption"/>
      </w:pPr>
      <w:bookmarkStart w:id="30" w:name="_Ref163122931"/>
      <w:r>
        <w:lastRenderedPageBreak/>
        <w:t xml:space="preserve">Table </w:t>
      </w:r>
      <w:r>
        <w:fldChar w:fldCharType="begin"/>
      </w:r>
      <w:r>
        <w:instrText>SEQ Table \* ARABIC</w:instrText>
      </w:r>
      <w:r>
        <w:fldChar w:fldCharType="separate"/>
      </w:r>
      <w:r w:rsidR="0020136D" w:rsidRPr="132E0B0E">
        <w:rPr>
          <w:noProof/>
        </w:rPr>
        <w:t>11</w:t>
      </w:r>
      <w:r>
        <w:fldChar w:fldCharType="end"/>
      </w:r>
      <w:bookmarkEnd w:id="30"/>
      <w:r>
        <w:tab/>
      </w:r>
      <w:r w:rsidR="00370CE2">
        <w:t>Overall survival reported in ZUMA-5</w:t>
      </w:r>
    </w:p>
    <w:tbl>
      <w:tblPr>
        <w:tblStyle w:val="TableGrid"/>
        <w:tblW w:w="0" w:type="auto"/>
        <w:tblLook w:val="04A0" w:firstRow="1" w:lastRow="0" w:firstColumn="1" w:lastColumn="0" w:noHBand="0" w:noVBand="1"/>
      </w:tblPr>
      <w:tblGrid>
        <w:gridCol w:w="3005"/>
        <w:gridCol w:w="3005"/>
        <w:gridCol w:w="3006"/>
      </w:tblGrid>
      <w:tr w:rsidR="00370CE2" w:rsidRPr="00370CE2" w14:paraId="298B80E2" w14:textId="77777777" w:rsidTr="132E0B0E">
        <w:tc>
          <w:tcPr>
            <w:tcW w:w="3005" w:type="dxa"/>
          </w:tcPr>
          <w:p w14:paraId="76C3414E" w14:textId="77777777" w:rsidR="005279FF" w:rsidRPr="00370CE2" w:rsidRDefault="005279FF">
            <w:pPr>
              <w:pStyle w:val="TableHeading0"/>
              <w:keepNext/>
              <w:keepLines/>
            </w:pPr>
          </w:p>
        </w:tc>
        <w:tc>
          <w:tcPr>
            <w:tcW w:w="3005" w:type="dxa"/>
          </w:tcPr>
          <w:p w14:paraId="3BAD4094" w14:textId="77777777" w:rsidR="005279FF" w:rsidRPr="00370CE2" w:rsidRDefault="005279FF">
            <w:pPr>
              <w:pStyle w:val="TableHeading0"/>
              <w:keepNext/>
              <w:keepLines/>
              <w:jc w:val="center"/>
            </w:pPr>
            <w:r w:rsidRPr="00370CE2">
              <w:rPr>
                <w:bCs/>
              </w:rPr>
              <w:t>Primary (12 month) analysis of ZUMA-5 (N=84): IAS</w:t>
            </w:r>
          </w:p>
        </w:tc>
        <w:tc>
          <w:tcPr>
            <w:tcW w:w="3006" w:type="dxa"/>
          </w:tcPr>
          <w:p w14:paraId="00932F55" w14:textId="77777777" w:rsidR="005279FF" w:rsidRPr="00370CE2" w:rsidRDefault="005279FF">
            <w:pPr>
              <w:pStyle w:val="TableHeading0"/>
              <w:keepNext/>
              <w:keepLines/>
              <w:jc w:val="center"/>
            </w:pPr>
            <w:r>
              <w:t xml:space="preserve">Updated </w:t>
            </w:r>
            <w:proofErr w:type="gramStart"/>
            <w:r>
              <w:t>48 month</w:t>
            </w:r>
            <w:proofErr w:type="gramEnd"/>
            <w:r>
              <w:t xml:space="preserve"> analysis of ZUMA-5 (N=127): FAS</w:t>
            </w:r>
          </w:p>
        </w:tc>
      </w:tr>
      <w:tr w:rsidR="00370CE2" w:rsidRPr="00370CE2" w14:paraId="126F7419" w14:textId="77777777" w:rsidTr="132E0B0E">
        <w:tc>
          <w:tcPr>
            <w:tcW w:w="3005" w:type="dxa"/>
          </w:tcPr>
          <w:p w14:paraId="67DC2FFF" w14:textId="77777777" w:rsidR="005279FF" w:rsidRPr="00370CE2" w:rsidRDefault="005279FF">
            <w:pPr>
              <w:pStyle w:val="TableText"/>
              <w:keepNext/>
              <w:keepLines/>
            </w:pPr>
            <w:r w:rsidRPr="00370CE2">
              <w:t>Death from any cause, n (%)</w:t>
            </w:r>
          </w:p>
        </w:tc>
        <w:tc>
          <w:tcPr>
            <w:tcW w:w="3005" w:type="dxa"/>
          </w:tcPr>
          <w:p w14:paraId="052A4370" w14:textId="77777777" w:rsidR="005279FF" w:rsidRPr="007D095B" w:rsidRDefault="005279FF">
            <w:pPr>
              <w:pStyle w:val="TableText"/>
              <w:keepNext/>
              <w:keepLines/>
              <w:jc w:val="center"/>
            </w:pPr>
            <w:r>
              <w:t>13 (15%)</w:t>
            </w:r>
          </w:p>
        </w:tc>
        <w:tc>
          <w:tcPr>
            <w:tcW w:w="3006" w:type="dxa"/>
          </w:tcPr>
          <w:p w14:paraId="4169C9CC" w14:textId="77777777" w:rsidR="005279FF" w:rsidRPr="007D095B" w:rsidRDefault="005279FF">
            <w:pPr>
              <w:pStyle w:val="TableText"/>
              <w:keepNext/>
              <w:keepLines/>
              <w:jc w:val="center"/>
            </w:pPr>
            <w:r>
              <w:t>38 (30%)</w:t>
            </w:r>
          </w:p>
        </w:tc>
      </w:tr>
      <w:tr w:rsidR="00370CE2" w:rsidRPr="00370CE2" w14:paraId="7A049F94" w14:textId="77777777" w:rsidTr="132E0B0E">
        <w:tc>
          <w:tcPr>
            <w:tcW w:w="3005" w:type="dxa"/>
          </w:tcPr>
          <w:p w14:paraId="58C5A684" w14:textId="77777777" w:rsidR="005279FF" w:rsidRPr="00370CE2" w:rsidRDefault="005279FF">
            <w:pPr>
              <w:pStyle w:val="TableText"/>
              <w:keepNext/>
              <w:keepLines/>
            </w:pPr>
            <w:r w:rsidRPr="00370CE2">
              <w:t>Alive</w:t>
            </w:r>
          </w:p>
        </w:tc>
        <w:tc>
          <w:tcPr>
            <w:tcW w:w="3005" w:type="dxa"/>
          </w:tcPr>
          <w:p w14:paraId="31920213" w14:textId="59C616D0" w:rsidR="005279FF" w:rsidRPr="007D095B" w:rsidRDefault="005279FF">
            <w:pPr>
              <w:pStyle w:val="TableText"/>
              <w:keepNext/>
              <w:keepLines/>
              <w:jc w:val="center"/>
            </w:pPr>
            <w:r>
              <w:t>71 (</w:t>
            </w:r>
            <w:r w:rsidR="00EA403A">
              <w:t>85</w:t>
            </w:r>
            <w:r>
              <w:t>%)</w:t>
            </w:r>
          </w:p>
        </w:tc>
        <w:tc>
          <w:tcPr>
            <w:tcW w:w="3006" w:type="dxa"/>
          </w:tcPr>
          <w:p w14:paraId="496670DD" w14:textId="77777777" w:rsidR="005279FF" w:rsidRPr="007D095B" w:rsidRDefault="005279FF">
            <w:pPr>
              <w:pStyle w:val="TableText"/>
              <w:keepNext/>
              <w:keepLines/>
              <w:jc w:val="center"/>
            </w:pPr>
            <w:r>
              <w:t>89 (70%)</w:t>
            </w:r>
          </w:p>
        </w:tc>
      </w:tr>
      <w:tr w:rsidR="00370CE2" w:rsidRPr="00370CE2" w14:paraId="3E2688C2" w14:textId="77777777" w:rsidTr="132E0B0E">
        <w:tc>
          <w:tcPr>
            <w:tcW w:w="3005" w:type="dxa"/>
            <w:tcBorders>
              <w:bottom w:val="single" w:sz="4" w:space="0" w:color="auto"/>
            </w:tcBorders>
          </w:tcPr>
          <w:p w14:paraId="1E6AF40B" w14:textId="77777777" w:rsidR="005279FF" w:rsidRPr="00370CE2" w:rsidRDefault="005279FF">
            <w:pPr>
              <w:pStyle w:val="TableText"/>
              <w:keepNext/>
              <w:keepLines/>
            </w:pPr>
            <w:r w:rsidRPr="00370CE2">
              <w:t>Kaplan-Meier median, months (95% CI)</w:t>
            </w:r>
          </w:p>
        </w:tc>
        <w:tc>
          <w:tcPr>
            <w:tcW w:w="3005" w:type="dxa"/>
            <w:tcBorders>
              <w:bottom w:val="single" w:sz="4" w:space="0" w:color="auto"/>
            </w:tcBorders>
          </w:tcPr>
          <w:p w14:paraId="08210678" w14:textId="77777777" w:rsidR="005279FF" w:rsidRPr="00031AFF" w:rsidRDefault="005279FF">
            <w:pPr>
              <w:pStyle w:val="TableText"/>
              <w:keepNext/>
              <w:keepLines/>
              <w:jc w:val="center"/>
            </w:pPr>
            <w:r w:rsidRPr="00031AFF">
              <w:t>NE (NE, NE)</w:t>
            </w:r>
          </w:p>
        </w:tc>
        <w:tc>
          <w:tcPr>
            <w:tcW w:w="3006" w:type="dxa"/>
            <w:tcBorders>
              <w:bottom w:val="single" w:sz="4" w:space="0" w:color="auto"/>
            </w:tcBorders>
          </w:tcPr>
          <w:p w14:paraId="7601CD1B" w14:textId="77777777" w:rsidR="005279FF" w:rsidRPr="00031AFF" w:rsidRDefault="005279FF">
            <w:pPr>
              <w:pStyle w:val="TableText"/>
              <w:keepNext/>
              <w:keepLines/>
              <w:jc w:val="center"/>
            </w:pPr>
            <w:r w:rsidRPr="00031AFF">
              <w:t>NE (62.2, NE)</w:t>
            </w:r>
          </w:p>
        </w:tc>
      </w:tr>
      <w:tr w:rsidR="00370CE2" w:rsidRPr="00370CE2" w14:paraId="15E17BCD" w14:textId="77777777" w:rsidTr="132E0B0E">
        <w:tc>
          <w:tcPr>
            <w:tcW w:w="3005" w:type="dxa"/>
            <w:tcBorders>
              <w:right w:val="nil"/>
            </w:tcBorders>
          </w:tcPr>
          <w:p w14:paraId="67594F5E" w14:textId="77777777" w:rsidR="005279FF" w:rsidRPr="00370CE2" w:rsidRDefault="005279FF">
            <w:pPr>
              <w:pStyle w:val="TableText"/>
              <w:keepNext/>
              <w:keepLines/>
            </w:pPr>
            <w:r w:rsidRPr="00370CE2">
              <w:t>Overall survival rate, % (95% CI)</w:t>
            </w:r>
          </w:p>
        </w:tc>
        <w:tc>
          <w:tcPr>
            <w:tcW w:w="3005" w:type="dxa"/>
            <w:tcBorders>
              <w:left w:val="nil"/>
              <w:right w:val="nil"/>
            </w:tcBorders>
          </w:tcPr>
          <w:p w14:paraId="6846C1A2" w14:textId="77777777" w:rsidR="005279FF" w:rsidRPr="00031AFF" w:rsidRDefault="005279FF">
            <w:pPr>
              <w:pStyle w:val="TableText"/>
              <w:keepNext/>
              <w:keepLines/>
              <w:jc w:val="center"/>
            </w:pPr>
          </w:p>
        </w:tc>
        <w:tc>
          <w:tcPr>
            <w:tcW w:w="3006" w:type="dxa"/>
            <w:tcBorders>
              <w:left w:val="nil"/>
            </w:tcBorders>
          </w:tcPr>
          <w:p w14:paraId="7D7F40AF" w14:textId="77777777" w:rsidR="005279FF" w:rsidRPr="00031AFF" w:rsidRDefault="005279FF">
            <w:pPr>
              <w:pStyle w:val="TableText"/>
              <w:keepNext/>
              <w:keepLines/>
              <w:jc w:val="center"/>
            </w:pPr>
          </w:p>
        </w:tc>
      </w:tr>
      <w:tr w:rsidR="00370CE2" w:rsidRPr="00370CE2" w14:paraId="33572288" w14:textId="77777777" w:rsidTr="132E0B0E">
        <w:tc>
          <w:tcPr>
            <w:tcW w:w="3005" w:type="dxa"/>
          </w:tcPr>
          <w:p w14:paraId="065735A0" w14:textId="77777777" w:rsidR="005279FF" w:rsidRPr="00370CE2" w:rsidRDefault="005279FF">
            <w:pPr>
              <w:pStyle w:val="TableText"/>
              <w:keepNext/>
              <w:keepLines/>
              <w:ind w:left="284"/>
            </w:pPr>
            <w:r w:rsidRPr="00370CE2">
              <w:t>12 months</w:t>
            </w:r>
          </w:p>
        </w:tc>
        <w:tc>
          <w:tcPr>
            <w:tcW w:w="3005" w:type="dxa"/>
          </w:tcPr>
          <w:p w14:paraId="5AB0FFE8" w14:textId="0C5E2856" w:rsidR="005279FF" w:rsidRPr="00877B56" w:rsidRDefault="005279FF">
            <w:pPr>
              <w:pStyle w:val="TableText"/>
              <w:keepNext/>
              <w:keepLines/>
              <w:jc w:val="center"/>
            </w:pPr>
            <w:r w:rsidRPr="00031AFF">
              <w:t>93% (85%, 97%)</w:t>
            </w:r>
          </w:p>
        </w:tc>
        <w:tc>
          <w:tcPr>
            <w:tcW w:w="3006" w:type="dxa"/>
          </w:tcPr>
          <w:p w14:paraId="53565DBE" w14:textId="77777777" w:rsidR="005279FF" w:rsidRPr="007D095B" w:rsidRDefault="005279FF">
            <w:pPr>
              <w:pStyle w:val="TableText"/>
              <w:keepNext/>
              <w:keepLines/>
              <w:jc w:val="center"/>
            </w:pPr>
            <w:r>
              <w:t>97% (92%, 99%)</w:t>
            </w:r>
          </w:p>
        </w:tc>
      </w:tr>
      <w:tr w:rsidR="00370CE2" w:rsidRPr="00370CE2" w14:paraId="06B2D8F8" w14:textId="77777777" w:rsidTr="132E0B0E">
        <w:tc>
          <w:tcPr>
            <w:tcW w:w="3005" w:type="dxa"/>
          </w:tcPr>
          <w:p w14:paraId="30D49373" w14:textId="77777777" w:rsidR="005279FF" w:rsidRPr="00370CE2" w:rsidRDefault="005279FF">
            <w:pPr>
              <w:pStyle w:val="TableText"/>
              <w:keepNext/>
              <w:keepLines/>
              <w:ind w:left="284"/>
            </w:pPr>
            <w:r w:rsidRPr="00370CE2">
              <w:t>24 months</w:t>
            </w:r>
          </w:p>
        </w:tc>
        <w:tc>
          <w:tcPr>
            <w:tcW w:w="3005" w:type="dxa"/>
          </w:tcPr>
          <w:p w14:paraId="662966A9" w14:textId="77777777" w:rsidR="005279FF" w:rsidRPr="007D095B" w:rsidRDefault="005279FF">
            <w:pPr>
              <w:pStyle w:val="TableText"/>
              <w:keepNext/>
              <w:keepLines/>
              <w:jc w:val="center"/>
            </w:pPr>
            <w:r>
              <w:t>72% (52%, 85%)</w:t>
            </w:r>
          </w:p>
        </w:tc>
        <w:tc>
          <w:tcPr>
            <w:tcW w:w="3006" w:type="dxa"/>
          </w:tcPr>
          <w:p w14:paraId="5D5450F6" w14:textId="77777777" w:rsidR="005279FF" w:rsidRPr="007D095B" w:rsidRDefault="005279FF">
            <w:pPr>
              <w:pStyle w:val="TableText"/>
              <w:keepNext/>
              <w:keepLines/>
              <w:jc w:val="center"/>
            </w:pPr>
            <w:r>
              <w:t>88% (81%, 93%)</w:t>
            </w:r>
          </w:p>
        </w:tc>
      </w:tr>
      <w:tr w:rsidR="00370CE2" w:rsidRPr="00370CE2" w14:paraId="2276A66C" w14:textId="77777777" w:rsidTr="132E0B0E">
        <w:tc>
          <w:tcPr>
            <w:tcW w:w="3005" w:type="dxa"/>
          </w:tcPr>
          <w:p w14:paraId="163A4F47" w14:textId="77777777" w:rsidR="005279FF" w:rsidRPr="00370CE2" w:rsidRDefault="005279FF">
            <w:pPr>
              <w:pStyle w:val="TableText"/>
              <w:keepNext/>
              <w:keepLines/>
              <w:ind w:left="284"/>
            </w:pPr>
            <w:r w:rsidRPr="00370CE2">
              <w:t>36 months</w:t>
            </w:r>
          </w:p>
        </w:tc>
        <w:tc>
          <w:tcPr>
            <w:tcW w:w="3005" w:type="dxa"/>
          </w:tcPr>
          <w:p w14:paraId="56001E93" w14:textId="77777777" w:rsidR="005279FF" w:rsidRPr="007D095B" w:rsidRDefault="005279FF">
            <w:pPr>
              <w:pStyle w:val="TableText"/>
              <w:keepNext/>
              <w:keepLines/>
              <w:jc w:val="center"/>
            </w:pPr>
            <w:r>
              <w:t>Not reached</w:t>
            </w:r>
          </w:p>
        </w:tc>
        <w:tc>
          <w:tcPr>
            <w:tcW w:w="3006" w:type="dxa"/>
          </w:tcPr>
          <w:p w14:paraId="5DA1C7B0" w14:textId="77777777" w:rsidR="005279FF" w:rsidRPr="007D095B" w:rsidRDefault="005279FF">
            <w:pPr>
              <w:pStyle w:val="TableText"/>
              <w:keepNext/>
              <w:keepLines/>
              <w:jc w:val="center"/>
            </w:pPr>
            <w:r>
              <w:t>76% (67%, 83%)</w:t>
            </w:r>
          </w:p>
        </w:tc>
      </w:tr>
      <w:tr w:rsidR="00370CE2" w:rsidRPr="00370CE2" w14:paraId="36FC82D8" w14:textId="77777777" w:rsidTr="132E0B0E">
        <w:tc>
          <w:tcPr>
            <w:tcW w:w="3005" w:type="dxa"/>
          </w:tcPr>
          <w:p w14:paraId="3CDB3DE6" w14:textId="77777777" w:rsidR="005279FF" w:rsidRPr="00370CE2" w:rsidRDefault="005279FF">
            <w:pPr>
              <w:pStyle w:val="TableText"/>
              <w:keepNext/>
              <w:keepLines/>
              <w:ind w:left="284"/>
            </w:pPr>
            <w:r w:rsidRPr="00370CE2">
              <w:t>48 months</w:t>
            </w:r>
          </w:p>
        </w:tc>
        <w:tc>
          <w:tcPr>
            <w:tcW w:w="3005" w:type="dxa"/>
            <w:vAlign w:val="center"/>
          </w:tcPr>
          <w:p w14:paraId="41E27107" w14:textId="77777777" w:rsidR="005279FF" w:rsidRPr="007D095B" w:rsidRDefault="005279FF">
            <w:pPr>
              <w:pStyle w:val="TableText"/>
              <w:keepNext/>
              <w:keepLines/>
              <w:jc w:val="center"/>
            </w:pPr>
            <w:r>
              <w:t>Not reached</w:t>
            </w:r>
          </w:p>
        </w:tc>
        <w:tc>
          <w:tcPr>
            <w:tcW w:w="3006" w:type="dxa"/>
          </w:tcPr>
          <w:p w14:paraId="2716F688" w14:textId="77777777" w:rsidR="005279FF" w:rsidRPr="00031AFF" w:rsidRDefault="005279FF">
            <w:pPr>
              <w:pStyle w:val="TableText"/>
              <w:keepNext/>
              <w:keepLines/>
              <w:jc w:val="center"/>
            </w:pPr>
            <w:r w:rsidRPr="00031AFF">
              <w:t>72% (64%, 79%)</w:t>
            </w:r>
          </w:p>
        </w:tc>
      </w:tr>
    </w:tbl>
    <w:p w14:paraId="10345E3B" w14:textId="77777777" w:rsidR="005279FF" w:rsidRPr="00A762F5" w:rsidRDefault="005279FF" w:rsidP="005279FF">
      <w:pPr>
        <w:pStyle w:val="TableFigNote"/>
        <w:rPr>
          <w:rFonts w:ascii="Arial Narrow" w:hAnsi="Arial Narrow"/>
        </w:rPr>
      </w:pPr>
      <w:r w:rsidRPr="00A762F5">
        <w:rPr>
          <w:rFonts w:ascii="Arial Narrow" w:hAnsi="Arial Narrow"/>
        </w:rPr>
        <w:t>Abbreviations: IAS=inferential analysis set; FAS=full analysis set; NE=not evaluable</w:t>
      </w:r>
    </w:p>
    <w:p w14:paraId="68FD2030" w14:textId="77777777" w:rsidR="00D15CC0" w:rsidRPr="00A762F5" w:rsidRDefault="00D15CC0" w:rsidP="00D15CC0">
      <w:pPr>
        <w:pStyle w:val="TableFigNote"/>
        <w:rPr>
          <w:rFonts w:ascii="Arial Narrow" w:hAnsi="Arial Narrow"/>
        </w:rPr>
      </w:pPr>
      <w:r w:rsidRPr="00A762F5">
        <w:rPr>
          <w:rFonts w:ascii="Arial Narrow" w:hAnsi="Arial Narrow"/>
        </w:rPr>
        <w:t>Note: The median follow-up time for OS in the primary analysis was 18.0 months (95%CI: 16.6, 18.2 months).</w:t>
      </w:r>
    </w:p>
    <w:p w14:paraId="0B8F10CD" w14:textId="51C8BDC8" w:rsidR="00D15CC0" w:rsidRPr="00A762F5" w:rsidRDefault="00D15CC0" w:rsidP="00D15CC0">
      <w:pPr>
        <w:pStyle w:val="TableFigNote"/>
        <w:rPr>
          <w:rFonts w:ascii="Arial Narrow" w:hAnsi="Arial Narrow"/>
        </w:rPr>
      </w:pPr>
      <w:r w:rsidRPr="132E0B0E">
        <w:rPr>
          <w:rFonts w:ascii="Arial Narrow" w:hAnsi="Arial Narrow"/>
        </w:rPr>
        <w:t xml:space="preserve">The median follow-up time for OS in the </w:t>
      </w:r>
      <w:proofErr w:type="gramStart"/>
      <w:r w:rsidRPr="132E0B0E">
        <w:rPr>
          <w:rFonts w:ascii="Arial Narrow" w:hAnsi="Arial Narrow"/>
        </w:rPr>
        <w:t>48 month</w:t>
      </w:r>
      <w:proofErr w:type="gramEnd"/>
      <w:r w:rsidRPr="132E0B0E">
        <w:rPr>
          <w:rFonts w:ascii="Arial Narrow" w:hAnsi="Arial Narrow"/>
        </w:rPr>
        <w:t xml:space="preserve"> follow-up was 53.4 months (95%CI: 50.7, 55.7 months).</w:t>
      </w:r>
    </w:p>
    <w:p w14:paraId="440FB508" w14:textId="43AB7094" w:rsidR="005279FF" w:rsidRPr="00A762F5" w:rsidRDefault="005279FF" w:rsidP="005279FF">
      <w:pPr>
        <w:pStyle w:val="TableFigNote"/>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Table 45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1CC7B10A" w14:textId="3E1313EA" w:rsidR="008D4F1E" w:rsidRDefault="3E0AD51E" w:rsidP="008D4F1E">
      <w:r>
        <w:t xml:space="preserve">The comparative effectiveness of </w:t>
      </w:r>
      <w:r w:rsidR="31A79296">
        <w:t>AXI</w:t>
      </w:r>
      <w:r>
        <w:t xml:space="preserve"> for the outcome of OS reported in the assessment of ZUMA-5 vs SCHOLAR-5 is outlined in</w:t>
      </w:r>
      <w:r w:rsidR="31A79296">
        <w:t xml:space="preserve"> </w:t>
      </w:r>
      <w:r>
        <w:fldChar w:fldCharType="begin"/>
      </w:r>
      <w:r>
        <w:instrText xml:space="preserve"> REF _Ref163123551 \h </w:instrText>
      </w:r>
      <w:r>
        <w:fldChar w:fldCharType="separate"/>
      </w:r>
      <w:r w:rsidR="742DBE6B">
        <w:t xml:space="preserve">Table </w:t>
      </w:r>
      <w:r w:rsidR="742DBE6B" w:rsidRPr="132E0B0E">
        <w:rPr>
          <w:noProof/>
        </w:rPr>
        <w:t>12</w:t>
      </w:r>
      <w:r>
        <w:fldChar w:fldCharType="end"/>
      </w:r>
      <w:r w:rsidR="630A8ADD">
        <w:t xml:space="preserve">. </w:t>
      </w:r>
      <w:r w:rsidR="322372A7">
        <w:t>At both the primary and updated analysis of OS</w:t>
      </w:r>
      <w:r w:rsidR="0946EB6F">
        <w:t>,</w:t>
      </w:r>
      <w:r w:rsidR="322372A7">
        <w:t xml:space="preserve"> patients treated with AXI were observed as having a reduced risk of death compared to patients treated with standard care</w:t>
      </w:r>
      <w:r w:rsidR="2B126E60">
        <w:t xml:space="preserve"> </w:t>
      </w:r>
      <w:r w:rsidR="322372A7">
        <w:t>(</w:t>
      </w:r>
      <w:r w:rsidR="2B126E60">
        <w:t>HR=0.42, 95%</w:t>
      </w:r>
      <w:r w:rsidR="115D4542">
        <w:t xml:space="preserve"> </w:t>
      </w:r>
      <w:r w:rsidR="2B126E60">
        <w:t xml:space="preserve">CI: </w:t>
      </w:r>
      <w:r w:rsidR="6534DE46">
        <w:t xml:space="preserve">0.21, 083 and </w:t>
      </w:r>
      <w:r w:rsidR="40CF6E36">
        <w:t>HR=0.58</w:t>
      </w:r>
      <w:r w:rsidR="1A628604">
        <w:t>, 95%</w:t>
      </w:r>
      <w:r w:rsidR="0A0407C9">
        <w:t xml:space="preserve"> </w:t>
      </w:r>
      <w:r w:rsidR="1A628604">
        <w:t>CI: 0.35, 0.96</w:t>
      </w:r>
      <w:r w:rsidR="6534DE46">
        <w:t>, respectively</w:t>
      </w:r>
      <w:r w:rsidR="1A628604">
        <w:t>)</w:t>
      </w:r>
      <w:r w:rsidR="322372A7">
        <w:t xml:space="preserve">. </w:t>
      </w:r>
      <w:r w:rsidR="228808A6">
        <w:t xml:space="preserve">The </w:t>
      </w:r>
      <w:r w:rsidR="2D8A4B2C">
        <w:t>Commentary</w:t>
      </w:r>
      <w:r w:rsidR="228808A6">
        <w:t xml:space="preserve"> noted that t</w:t>
      </w:r>
      <w:r w:rsidR="322372A7">
        <w:t>he 95%</w:t>
      </w:r>
      <w:r w:rsidR="70EB2910">
        <w:t xml:space="preserve"> </w:t>
      </w:r>
      <w:r w:rsidR="322372A7">
        <w:t xml:space="preserve">CI for the reported </w:t>
      </w:r>
      <w:r w:rsidR="4806EEFB">
        <w:t>HR</w:t>
      </w:r>
      <w:r w:rsidR="322372A7">
        <w:t xml:space="preserve"> in the updated analysis was wide (0.35, 0.96)</w:t>
      </w:r>
      <w:r w:rsidR="56A12AC3">
        <w:t>.</w:t>
      </w:r>
    </w:p>
    <w:p w14:paraId="48D35CD0" w14:textId="46CE265E" w:rsidR="00817A88" w:rsidRDefault="00247086" w:rsidP="00247086">
      <w:pPr>
        <w:pStyle w:val="Caption"/>
      </w:pPr>
      <w:bookmarkStart w:id="31" w:name="_Ref163123551"/>
      <w:r>
        <w:t xml:space="preserve">Table </w:t>
      </w:r>
      <w:r>
        <w:fldChar w:fldCharType="begin"/>
      </w:r>
      <w:r>
        <w:instrText>SEQ Table \* ARABIC</w:instrText>
      </w:r>
      <w:r>
        <w:fldChar w:fldCharType="separate"/>
      </w:r>
      <w:r w:rsidR="0020136D" w:rsidRPr="132E0B0E">
        <w:rPr>
          <w:noProof/>
        </w:rPr>
        <w:t>12</w:t>
      </w:r>
      <w:r>
        <w:fldChar w:fldCharType="end"/>
      </w:r>
      <w:bookmarkEnd w:id="31"/>
      <w:r>
        <w:tab/>
        <w:t xml:space="preserve">Overall survival </w:t>
      </w:r>
      <w:r w:rsidR="00FB7E73">
        <w:t>reported for ZUMA-5 vs weighted SCHOLAR-5</w:t>
      </w:r>
    </w:p>
    <w:tbl>
      <w:tblPr>
        <w:tblStyle w:val="TableGrid"/>
        <w:tblW w:w="9072" w:type="dxa"/>
        <w:tblInd w:w="-5" w:type="dxa"/>
        <w:tblLayout w:type="fixed"/>
        <w:tblLook w:val="04A0" w:firstRow="1" w:lastRow="0" w:firstColumn="1" w:lastColumn="0" w:noHBand="0" w:noVBand="1"/>
      </w:tblPr>
      <w:tblGrid>
        <w:gridCol w:w="1276"/>
        <w:gridCol w:w="974"/>
        <w:gridCol w:w="975"/>
        <w:gridCol w:w="974"/>
        <w:gridCol w:w="975"/>
        <w:gridCol w:w="974"/>
        <w:gridCol w:w="975"/>
        <w:gridCol w:w="974"/>
        <w:gridCol w:w="975"/>
      </w:tblGrid>
      <w:tr w:rsidR="00612B10" w14:paraId="53CCF6C8" w14:textId="77777777" w:rsidTr="132E0B0E">
        <w:tc>
          <w:tcPr>
            <w:tcW w:w="1276" w:type="dxa"/>
            <w:vMerge w:val="restart"/>
          </w:tcPr>
          <w:p w14:paraId="2F658A7E" w14:textId="77777777" w:rsidR="005647DF" w:rsidRDefault="005647DF">
            <w:pPr>
              <w:pStyle w:val="TableHeading0"/>
              <w:keepNext/>
              <w:keepLines/>
            </w:pPr>
          </w:p>
        </w:tc>
        <w:tc>
          <w:tcPr>
            <w:tcW w:w="3898" w:type="dxa"/>
            <w:gridSpan w:val="4"/>
          </w:tcPr>
          <w:p w14:paraId="4B70CB17" w14:textId="77777777" w:rsidR="005647DF" w:rsidRPr="00B04266" w:rsidRDefault="005647DF" w:rsidP="00B04266">
            <w:pPr>
              <w:pStyle w:val="TableHeading0"/>
              <w:keepNext/>
              <w:keepLines/>
              <w:jc w:val="center"/>
              <w:rPr>
                <w:bCs/>
              </w:rPr>
            </w:pPr>
            <w:r w:rsidRPr="00B04266">
              <w:rPr>
                <w:bCs/>
              </w:rPr>
              <w:t>ZUMA-5 vs SCHOLAR-5: Primary (18 month) comparative analysis</w:t>
            </w:r>
          </w:p>
        </w:tc>
        <w:tc>
          <w:tcPr>
            <w:tcW w:w="3898" w:type="dxa"/>
            <w:gridSpan w:val="4"/>
          </w:tcPr>
          <w:p w14:paraId="412C1922" w14:textId="77777777" w:rsidR="005647DF" w:rsidRPr="00B04266" w:rsidRDefault="005647DF" w:rsidP="00B04266">
            <w:pPr>
              <w:pStyle w:val="TableHeading0"/>
              <w:keepNext/>
              <w:keepLines/>
              <w:jc w:val="center"/>
            </w:pPr>
            <w:r>
              <w:t xml:space="preserve">ZUMA-5 vs SCHOLAR-5: Updated </w:t>
            </w:r>
            <w:proofErr w:type="gramStart"/>
            <w:r>
              <w:t>48 month</w:t>
            </w:r>
            <w:proofErr w:type="gramEnd"/>
            <w:r>
              <w:t xml:space="preserve"> comparative analysis</w:t>
            </w:r>
          </w:p>
        </w:tc>
      </w:tr>
      <w:tr w:rsidR="00612B10" w14:paraId="244F1E49" w14:textId="77777777" w:rsidTr="132E0B0E">
        <w:tc>
          <w:tcPr>
            <w:tcW w:w="1276" w:type="dxa"/>
            <w:vMerge/>
          </w:tcPr>
          <w:p w14:paraId="792430CB" w14:textId="77777777" w:rsidR="005647DF" w:rsidRDefault="005647DF">
            <w:pPr>
              <w:pStyle w:val="TableHeading0"/>
              <w:keepNext/>
              <w:keepLines/>
            </w:pPr>
          </w:p>
        </w:tc>
        <w:tc>
          <w:tcPr>
            <w:tcW w:w="974" w:type="dxa"/>
          </w:tcPr>
          <w:p w14:paraId="0DE70B4E" w14:textId="77777777" w:rsidR="005647DF" w:rsidRPr="00100EA8" w:rsidRDefault="005647DF" w:rsidP="00B04266">
            <w:pPr>
              <w:pStyle w:val="TableHeading0"/>
              <w:keepNext/>
              <w:keepLines/>
              <w:jc w:val="center"/>
              <w:rPr>
                <w:bCs/>
              </w:rPr>
            </w:pPr>
            <w:r w:rsidRPr="00033343">
              <w:rPr>
                <w:bCs/>
              </w:rPr>
              <w:t>ZUMA-5 (N=86)</w:t>
            </w:r>
          </w:p>
        </w:tc>
        <w:tc>
          <w:tcPr>
            <w:tcW w:w="975" w:type="dxa"/>
          </w:tcPr>
          <w:p w14:paraId="73A966B5" w14:textId="434EE64B" w:rsidR="005647DF" w:rsidRPr="00100EA8" w:rsidRDefault="005647DF" w:rsidP="00B04266">
            <w:pPr>
              <w:pStyle w:val="TableHeading0"/>
              <w:keepNext/>
              <w:keepLines/>
              <w:jc w:val="center"/>
              <w:rPr>
                <w:bCs/>
              </w:rPr>
            </w:pPr>
            <w:r w:rsidRPr="00033343">
              <w:rPr>
                <w:bCs/>
              </w:rPr>
              <w:t>SCHOLAR-5 (N=85)</w:t>
            </w:r>
          </w:p>
        </w:tc>
        <w:tc>
          <w:tcPr>
            <w:tcW w:w="974" w:type="dxa"/>
          </w:tcPr>
          <w:p w14:paraId="44D61082" w14:textId="17385F7B" w:rsidR="005647DF" w:rsidRPr="00033343" w:rsidRDefault="005647DF" w:rsidP="00B04266">
            <w:pPr>
              <w:pStyle w:val="TableHeading0"/>
              <w:keepNext/>
              <w:keepLines/>
              <w:jc w:val="center"/>
              <w:rPr>
                <w:bCs/>
              </w:rPr>
            </w:pPr>
            <w:r>
              <w:rPr>
                <w:bCs/>
              </w:rPr>
              <w:t>Absolute diff (95% CI)</w:t>
            </w:r>
          </w:p>
        </w:tc>
        <w:tc>
          <w:tcPr>
            <w:tcW w:w="975" w:type="dxa"/>
          </w:tcPr>
          <w:p w14:paraId="634434A6" w14:textId="77777777" w:rsidR="005647DF" w:rsidRPr="00100EA8" w:rsidRDefault="005647DF" w:rsidP="00B04266">
            <w:pPr>
              <w:pStyle w:val="TableHeading0"/>
              <w:keepNext/>
              <w:keepLines/>
              <w:jc w:val="center"/>
              <w:rPr>
                <w:bCs/>
              </w:rPr>
            </w:pPr>
            <w:r>
              <w:rPr>
                <w:bCs/>
              </w:rPr>
              <w:t>Hazard ratio (95% CI)</w:t>
            </w:r>
          </w:p>
        </w:tc>
        <w:tc>
          <w:tcPr>
            <w:tcW w:w="974" w:type="dxa"/>
          </w:tcPr>
          <w:p w14:paraId="4AA4B3F3" w14:textId="77777777" w:rsidR="005647DF" w:rsidRDefault="005647DF" w:rsidP="00B04266">
            <w:pPr>
              <w:pStyle w:val="TableHeading0"/>
              <w:keepNext/>
              <w:keepLines/>
              <w:jc w:val="center"/>
              <w:rPr>
                <w:bCs/>
              </w:rPr>
            </w:pPr>
            <w:r w:rsidRPr="003A5845">
              <w:rPr>
                <w:bCs/>
              </w:rPr>
              <w:t>ZUMA-5 (N=127)</w:t>
            </w:r>
          </w:p>
        </w:tc>
        <w:tc>
          <w:tcPr>
            <w:tcW w:w="975" w:type="dxa"/>
          </w:tcPr>
          <w:p w14:paraId="2B983D7B" w14:textId="2AE8E2BB" w:rsidR="005647DF" w:rsidRDefault="005647DF" w:rsidP="00B04266">
            <w:pPr>
              <w:pStyle w:val="TableHeading0"/>
              <w:keepNext/>
              <w:keepLines/>
              <w:jc w:val="center"/>
              <w:rPr>
                <w:bCs/>
              </w:rPr>
            </w:pPr>
            <w:r w:rsidRPr="003A5845">
              <w:rPr>
                <w:bCs/>
              </w:rPr>
              <w:t>SCHOLAR-5 (N=128</w:t>
            </w:r>
            <w:r>
              <w:rPr>
                <w:bCs/>
              </w:rPr>
              <w:t>)</w:t>
            </w:r>
          </w:p>
        </w:tc>
        <w:tc>
          <w:tcPr>
            <w:tcW w:w="974" w:type="dxa"/>
          </w:tcPr>
          <w:p w14:paraId="0A7B671C" w14:textId="7CBE484E" w:rsidR="005647DF" w:rsidRDefault="005647DF" w:rsidP="00B04266">
            <w:pPr>
              <w:pStyle w:val="TableHeading0"/>
              <w:keepNext/>
              <w:keepLines/>
              <w:jc w:val="center"/>
              <w:rPr>
                <w:bCs/>
              </w:rPr>
            </w:pPr>
            <w:r>
              <w:rPr>
                <w:bCs/>
              </w:rPr>
              <w:t>Absolute diff</w:t>
            </w:r>
            <w:r w:rsidR="00247086">
              <w:rPr>
                <w:bCs/>
              </w:rPr>
              <w:t xml:space="preserve"> (95% CI)</w:t>
            </w:r>
          </w:p>
        </w:tc>
        <w:tc>
          <w:tcPr>
            <w:tcW w:w="975" w:type="dxa"/>
          </w:tcPr>
          <w:p w14:paraId="3B2F6554" w14:textId="77777777" w:rsidR="005647DF" w:rsidRDefault="005647DF" w:rsidP="00B04266">
            <w:pPr>
              <w:pStyle w:val="TableHeading0"/>
              <w:keepNext/>
              <w:keepLines/>
              <w:jc w:val="center"/>
              <w:rPr>
                <w:bCs/>
              </w:rPr>
            </w:pPr>
            <w:r>
              <w:rPr>
                <w:bCs/>
              </w:rPr>
              <w:t>Hazard ratio (95% CI)</w:t>
            </w:r>
          </w:p>
        </w:tc>
      </w:tr>
      <w:tr w:rsidR="00226D35" w:rsidRPr="00871795" w14:paraId="76C51D4A" w14:textId="77777777" w:rsidTr="132E0B0E">
        <w:tc>
          <w:tcPr>
            <w:tcW w:w="1276" w:type="dxa"/>
          </w:tcPr>
          <w:p w14:paraId="0A499709" w14:textId="77777777" w:rsidR="005647DF" w:rsidRDefault="005647DF">
            <w:pPr>
              <w:pStyle w:val="TableText"/>
              <w:keepNext/>
              <w:keepLines/>
            </w:pPr>
            <w:r>
              <w:t>Kaplan-Meier median, months (95% CI)</w:t>
            </w:r>
          </w:p>
        </w:tc>
        <w:tc>
          <w:tcPr>
            <w:tcW w:w="974" w:type="dxa"/>
          </w:tcPr>
          <w:p w14:paraId="18902211" w14:textId="6876681D" w:rsidR="005647DF" w:rsidRPr="00E25C70" w:rsidRDefault="005647DF" w:rsidP="00B04266">
            <w:pPr>
              <w:pStyle w:val="TableText"/>
              <w:keepNext/>
              <w:keepLines/>
              <w:jc w:val="center"/>
            </w:pPr>
            <w:r w:rsidRPr="00E25C70">
              <w:t xml:space="preserve">NR </w:t>
            </w:r>
            <w:r w:rsidR="00643460">
              <w:br/>
            </w:r>
            <w:r w:rsidRPr="00E25C70">
              <w:t>(31.6, NE)</w:t>
            </w:r>
          </w:p>
        </w:tc>
        <w:tc>
          <w:tcPr>
            <w:tcW w:w="975" w:type="dxa"/>
          </w:tcPr>
          <w:p w14:paraId="6C77A8DC" w14:textId="77777777" w:rsidR="005647DF" w:rsidRPr="00E25C70" w:rsidRDefault="005647DF" w:rsidP="00B04266">
            <w:pPr>
              <w:pStyle w:val="TableText"/>
              <w:keepNext/>
              <w:keepLines/>
              <w:jc w:val="center"/>
            </w:pPr>
            <w:r w:rsidRPr="00E25C70">
              <w:t>59.8 (21.9, NE)</w:t>
            </w:r>
          </w:p>
        </w:tc>
        <w:tc>
          <w:tcPr>
            <w:tcW w:w="974" w:type="dxa"/>
          </w:tcPr>
          <w:p w14:paraId="4595F316" w14:textId="77777777" w:rsidR="005647DF" w:rsidRPr="00E25C70" w:rsidRDefault="005647DF" w:rsidP="00B04266">
            <w:pPr>
              <w:pStyle w:val="TableText"/>
              <w:keepNext/>
              <w:keepLines/>
              <w:jc w:val="center"/>
            </w:pPr>
            <w:r w:rsidRPr="00E25C70">
              <w:t>NE</w:t>
            </w:r>
          </w:p>
        </w:tc>
        <w:tc>
          <w:tcPr>
            <w:tcW w:w="975" w:type="dxa"/>
          </w:tcPr>
          <w:p w14:paraId="249B73E0" w14:textId="77777777" w:rsidR="005647DF" w:rsidRPr="00E25C70" w:rsidRDefault="005647DF" w:rsidP="00B04266">
            <w:pPr>
              <w:pStyle w:val="TableText"/>
              <w:keepNext/>
              <w:keepLines/>
              <w:jc w:val="center"/>
            </w:pPr>
            <w:r w:rsidRPr="00E25C70">
              <w:t>0.42 (0.21, 0.83)</w:t>
            </w:r>
          </w:p>
        </w:tc>
        <w:tc>
          <w:tcPr>
            <w:tcW w:w="974" w:type="dxa"/>
          </w:tcPr>
          <w:p w14:paraId="7AB92CE4" w14:textId="0C000ADA" w:rsidR="005647DF" w:rsidRPr="00E25C70" w:rsidRDefault="005647DF" w:rsidP="00B04266">
            <w:pPr>
              <w:pStyle w:val="TableText"/>
              <w:keepNext/>
              <w:keepLines/>
              <w:jc w:val="center"/>
            </w:pPr>
            <w:r w:rsidRPr="00E25C70">
              <w:t xml:space="preserve">NE </w:t>
            </w:r>
            <w:r w:rsidR="00643460">
              <w:br/>
            </w:r>
            <w:r w:rsidRPr="00E25C70">
              <w:t>(62.2, NE)</w:t>
            </w:r>
          </w:p>
        </w:tc>
        <w:tc>
          <w:tcPr>
            <w:tcW w:w="975" w:type="dxa"/>
          </w:tcPr>
          <w:p w14:paraId="2CFC22D6" w14:textId="7E8BB922" w:rsidR="005647DF" w:rsidRPr="00E25C70" w:rsidRDefault="005647DF" w:rsidP="00B04266">
            <w:pPr>
              <w:pStyle w:val="TableText"/>
              <w:keepNext/>
              <w:keepLines/>
              <w:jc w:val="center"/>
            </w:pPr>
            <w:r w:rsidRPr="00E25C70">
              <w:t xml:space="preserve">NE </w:t>
            </w:r>
            <w:r w:rsidR="00643460">
              <w:br/>
            </w:r>
            <w:r w:rsidRPr="00E25C70">
              <w:t>(38.4, NE)</w:t>
            </w:r>
          </w:p>
        </w:tc>
        <w:tc>
          <w:tcPr>
            <w:tcW w:w="974" w:type="dxa"/>
          </w:tcPr>
          <w:p w14:paraId="5FD136E5" w14:textId="77777777" w:rsidR="005647DF" w:rsidRPr="00E25C70" w:rsidRDefault="005647DF" w:rsidP="00B04266">
            <w:pPr>
              <w:pStyle w:val="TableText"/>
              <w:keepNext/>
              <w:keepLines/>
              <w:jc w:val="center"/>
            </w:pPr>
            <w:r w:rsidRPr="00E25C70">
              <w:t>NE</w:t>
            </w:r>
          </w:p>
        </w:tc>
        <w:tc>
          <w:tcPr>
            <w:tcW w:w="975" w:type="dxa"/>
          </w:tcPr>
          <w:p w14:paraId="7833D025" w14:textId="77777777" w:rsidR="005647DF" w:rsidRPr="00E25C70" w:rsidRDefault="005647DF" w:rsidP="00B04266">
            <w:pPr>
              <w:pStyle w:val="TableText"/>
              <w:keepNext/>
              <w:keepLines/>
              <w:jc w:val="center"/>
            </w:pPr>
            <w:r w:rsidRPr="00E25C70">
              <w:t>0.58 (0.35, 0.96)</w:t>
            </w:r>
          </w:p>
        </w:tc>
      </w:tr>
    </w:tbl>
    <w:p w14:paraId="5F89CB8C" w14:textId="35379F17" w:rsidR="00B04266" w:rsidRPr="00A762F5" w:rsidRDefault="00B04266" w:rsidP="00B04266">
      <w:pPr>
        <w:pStyle w:val="TableFigNote"/>
        <w:rPr>
          <w:rFonts w:ascii="Arial Narrow" w:hAnsi="Arial Narrow"/>
        </w:rPr>
      </w:pPr>
      <w:r w:rsidRPr="00A762F5">
        <w:rPr>
          <w:rFonts w:ascii="Arial Narrow" w:hAnsi="Arial Narrow"/>
        </w:rPr>
        <w:t xml:space="preserve">Abbreviations: </w:t>
      </w:r>
      <w:r w:rsidR="00317EC5" w:rsidRPr="00A762F5">
        <w:rPr>
          <w:rFonts w:ascii="Arial Narrow" w:hAnsi="Arial Narrow"/>
        </w:rPr>
        <w:t xml:space="preserve">diff=difference; </w:t>
      </w:r>
      <w:r w:rsidRPr="00A762F5">
        <w:rPr>
          <w:rFonts w:ascii="Arial Narrow" w:hAnsi="Arial Narrow"/>
        </w:rPr>
        <w:t>NE=not evaluable</w:t>
      </w:r>
    </w:p>
    <w:p w14:paraId="12C6313F" w14:textId="6A94DC1D" w:rsidR="00A82770" w:rsidRPr="00A762F5" w:rsidRDefault="00B04266" w:rsidP="00B04266">
      <w:pPr>
        <w:pStyle w:val="TableFigNote"/>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Table 46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p>
    <w:p w14:paraId="0B8CE12A" w14:textId="19F626A4" w:rsidR="00BE20EE" w:rsidRDefault="2941C764" w:rsidP="00A82770">
      <w:r>
        <w:t>The Kaplan-Meier plot of OS based on the updated comparative analysis of ZUMA-5 vs SCHOLAR-5 is provided in</w:t>
      </w:r>
      <w:r w:rsidR="5F3073C1">
        <w:t xml:space="preserve"> </w:t>
      </w:r>
      <w:r>
        <w:fldChar w:fldCharType="begin"/>
      </w:r>
      <w:r>
        <w:instrText xml:space="preserve"> REF _Ref163123683 \h </w:instrText>
      </w:r>
      <w:r>
        <w:fldChar w:fldCharType="separate"/>
      </w:r>
      <w:r w:rsidR="5F3073C1">
        <w:t xml:space="preserve">Figure </w:t>
      </w:r>
      <w:r w:rsidR="5F3073C1" w:rsidRPr="132E0B0E">
        <w:rPr>
          <w:noProof/>
        </w:rPr>
        <w:t>2</w:t>
      </w:r>
      <w:r>
        <w:fldChar w:fldCharType="end"/>
      </w:r>
      <w:r w:rsidR="36C02BAC">
        <w:t xml:space="preserve">. Early and sustained separation of the </w:t>
      </w:r>
      <w:r w:rsidR="5F3073C1">
        <w:t>AXI</w:t>
      </w:r>
      <w:r w:rsidR="36C02BAC">
        <w:t xml:space="preserve"> OS curve from the </w:t>
      </w:r>
      <w:r w:rsidR="7B434784">
        <w:t>SOC</w:t>
      </w:r>
      <w:r w:rsidR="36C02BAC">
        <w:t xml:space="preserve"> OS curve was observed.</w:t>
      </w:r>
    </w:p>
    <w:p w14:paraId="35E46850" w14:textId="5B58F67F" w:rsidR="00BE20EE" w:rsidRDefault="00BE20EE" w:rsidP="00BE20EE">
      <w:pPr>
        <w:pStyle w:val="Caption"/>
      </w:pPr>
      <w:bookmarkStart w:id="32" w:name="_Ref163123683"/>
      <w:r>
        <w:lastRenderedPageBreak/>
        <w:t xml:space="preserve">Figure </w:t>
      </w:r>
      <w:r>
        <w:fldChar w:fldCharType="begin"/>
      </w:r>
      <w:r>
        <w:instrText>SEQ Figure \* ARABIC</w:instrText>
      </w:r>
      <w:r>
        <w:fldChar w:fldCharType="separate"/>
      </w:r>
      <w:r>
        <w:rPr>
          <w:noProof/>
        </w:rPr>
        <w:t>2</w:t>
      </w:r>
      <w:r>
        <w:fldChar w:fldCharType="end"/>
      </w:r>
      <w:bookmarkEnd w:id="32"/>
      <w:r>
        <w:tab/>
        <w:t xml:space="preserve">Kaplan-Meier plot of overall survival ZUMA-5 vs SCHOLAR-5: Updated comparative </w:t>
      </w:r>
      <w:proofErr w:type="gramStart"/>
      <w:r>
        <w:t>analysis</w:t>
      </w:r>
      <w:proofErr w:type="gramEnd"/>
    </w:p>
    <w:p w14:paraId="2867CFAC" w14:textId="11C4EF31" w:rsidR="00A82770" w:rsidRDefault="00266A41" w:rsidP="00A82770">
      <w:r w:rsidRPr="00AF6844">
        <w:rPr>
          <w:noProof/>
        </w:rPr>
        <w:drawing>
          <wp:inline distT="0" distB="0" distL="0" distR="0" wp14:anchorId="4B18DC41" wp14:editId="1A8513F2">
            <wp:extent cx="4629150" cy="4629150"/>
            <wp:effectExtent l="0" t="0" r="0" b="0"/>
            <wp:docPr id="1460997491" name="Picture 1460997491" descr="Kaplan-Meier plot of overall survival ZUMA-5 vs SCHOLAR-5: Updated comparativ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97491" name="Picture 1460997491" descr="Kaplan-Meier plot of overall survival ZUMA-5 vs SCHOLAR-5: Updated comparative analy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4629150"/>
                    </a:xfrm>
                    <a:prstGeom prst="rect">
                      <a:avLst/>
                    </a:prstGeom>
                    <a:noFill/>
                    <a:ln>
                      <a:noFill/>
                    </a:ln>
                  </pic:spPr>
                </pic:pic>
              </a:graphicData>
            </a:graphic>
          </wp:inline>
        </w:drawing>
      </w:r>
    </w:p>
    <w:p w14:paraId="0ABC80C4" w14:textId="6BCD3C58" w:rsidR="009519E1" w:rsidRPr="00A762F5" w:rsidRDefault="009519E1" w:rsidP="00140F2F">
      <w:pPr>
        <w:pStyle w:val="TableFigNoteLast"/>
        <w:rPr>
          <w:rFonts w:ascii="Arial Narrow" w:hAnsi="Arial Narrow"/>
        </w:rPr>
      </w:pPr>
      <w:r w:rsidRPr="00A762F5">
        <w:rPr>
          <w:rFonts w:ascii="Arial Narrow" w:hAnsi="Arial Narrow"/>
        </w:rPr>
        <w:t xml:space="preserve">Source: </w:t>
      </w:r>
      <w:r w:rsidR="00643460" w:rsidRPr="00A762F5">
        <w:rPr>
          <w:rFonts w:ascii="Arial Narrow" w:hAnsi="Arial Narrow"/>
        </w:rPr>
        <w:t xml:space="preserve">Figure 10 of MSAC 1771 </w:t>
      </w:r>
      <w:proofErr w:type="spellStart"/>
      <w:r w:rsidR="00643460" w:rsidRPr="00A762F5">
        <w:rPr>
          <w:rFonts w:ascii="Arial Narrow" w:hAnsi="Arial Narrow"/>
        </w:rPr>
        <w:t>ADAR+in-line</w:t>
      </w:r>
      <w:proofErr w:type="spellEnd"/>
      <w:r w:rsidR="00643460" w:rsidRPr="00A762F5">
        <w:rPr>
          <w:rFonts w:ascii="Arial Narrow" w:hAnsi="Arial Narrow"/>
        </w:rPr>
        <w:t xml:space="preserve"> commentary</w:t>
      </w:r>
      <w:r w:rsidRPr="00A762F5">
        <w:rPr>
          <w:rFonts w:ascii="Arial Narrow" w:hAnsi="Arial Narrow"/>
        </w:rPr>
        <w:t xml:space="preserve"> </w:t>
      </w:r>
    </w:p>
    <w:p w14:paraId="026C9D60" w14:textId="360D31C1" w:rsidR="00A82770" w:rsidRPr="00A762F5" w:rsidRDefault="009519E1" w:rsidP="00140F2F">
      <w:pPr>
        <w:pStyle w:val="TableFigNoteLast"/>
        <w:rPr>
          <w:rFonts w:ascii="Arial Narrow" w:hAnsi="Arial Narrow"/>
        </w:rPr>
      </w:pPr>
      <w:r w:rsidRPr="132E0B0E">
        <w:rPr>
          <w:rFonts w:ascii="Arial Narrow" w:hAnsi="Arial Narrow"/>
        </w:rPr>
        <w:t>Note: This could not be located and therefore could not be verified during the evaluation.</w:t>
      </w:r>
    </w:p>
    <w:p w14:paraId="4636B646" w14:textId="4BBBB286" w:rsidR="00267287" w:rsidRPr="005279FF" w:rsidRDefault="4AA7C6A7" w:rsidP="00267287">
      <w:r>
        <w:t xml:space="preserve">The results presented by the </w:t>
      </w:r>
      <w:r w:rsidR="6ADE981E">
        <w:t>ADAR</w:t>
      </w:r>
      <w:r>
        <w:t xml:space="preserve"> suggested superiority of AXI compared to </w:t>
      </w:r>
      <w:r w:rsidR="51B60F03">
        <w:t>SOC</w:t>
      </w:r>
      <w:r>
        <w:t xml:space="preserve"> </w:t>
      </w:r>
      <w:r w:rsidR="603C6E6B">
        <w:t xml:space="preserve">(ZUMA-5 vs SCHOLAR-5) </w:t>
      </w:r>
      <w:r>
        <w:t>in terms of OS benefi</w:t>
      </w:r>
      <w:r w:rsidR="603C6E6B">
        <w:t>t</w:t>
      </w:r>
      <w:r>
        <w:t xml:space="preserve">. However, </w:t>
      </w:r>
      <w:r w:rsidR="069ABD97">
        <w:t xml:space="preserve">the </w:t>
      </w:r>
      <w:r w:rsidR="6F35C02C">
        <w:t>Commentary</w:t>
      </w:r>
      <w:r w:rsidR="069ABD97">
        <w:t xml:space="preserve"> had </w:t>
      </w:r>
      <w:r w:rsidR="202C2099">
        <w:t xml:space="preserve">concerns regarding the transitivity between the compared populations and </w:t>
      </w:r>
      <w:r w:rsidR="73CDF8F5">
        <w:t>bias</w:t>
      </w:r>
      <w:r w:rsidR="0C894FAD">
        <w:t xml:space="preserve">. Overall, </w:t>
      </w:r>
      <w:r>
        <w:t xml:space="preserve">the </w:t>
      </w:r>
      <w:r w:rsidR="484F8D68">
        <w:t>Commentary</w:t>
      </w:r>
      <w:r>
        <w:t xml:space="preserve"> considered that the magnitude of benefit was highly uncertain.</w:t>
      </w:r>
    </w:p>
    <w:p w14:paraId="68BC128D" w14:textId="40D1382C" w:rsidR="00863E6D" w:rsidRPr="00683E27" w:rsidRDefault="00863E6D" w:rsidP="00067DEB">
      <w:pPr>
        <w:pStyle w:val="Heading3"/>
      </w:pPr>
      <w:r w:rsidRPr="00E25C70">
        <w:t>Supportive evidence (</w:t>
      </w:r>
      <w:proofErr w:type="spellStart"/>
      <w:r w:rsidR="0091603E" w:rsidRPr="00E25C70">
        <w:t>Kambhampati</w:t>
      </w:r>
      <w:proofErr w:type="spellEnd"/>
      <w:r w:rsidR="0091603E" w:rsidRPr="00E25C70">
        <w:t xml:space="preserve"> et al. 2023)</w:t>
      </w:r>
    </w:p>
    <w:p w14:paraId="67ED2211" w14:textId="5B147445" w:rsidR="00851FD4" w:rsidRDefault="19FC46B2" w:rsidP="00717D86">
      <w:r>
        <w:t xml:space="preserve">Supplementary evidence was presented </w:t>
      </w:r>
      <w:r w:rsidR="4F833530">
        <w:t xml:space="preserve">by the ADAR </w:t>
      </w:r>
      <w:r>
        <w:t xml:space="preserve">from a study </w:t>
      </w:r>
      <w:r w:rsidR="4F833530">
        <w:t>(</w:t>
      </w:r>
      <w:proofErr w:type="spellStart"/>
      <w:r w:rsidR="4F833530">
        <w:t>Kambhampati</w:t>
      </w:r>
      <w:proofErr w:type="spellEnd"/>
      <w:r w:rsidR="4F833530">
        <w:t xml:space="preserve"> 2023) </w:t>
      </w:r>
      <w:r>
        <w:t xml:space="preserve">comparing outcomes reported for a real-world cohort of patients treated with </w:t>
      </w:r>
      <w:r w:rsidR="652B32A4">
        <w:t>AXI</w:t>
      </w:r>
      <w:r>
        <w:t xml:space="preserve"> </w:t>
      </w:r>
      <w:r w:rsidR="05411900">
        <w:t xml:space="preserve">as 3L treatment </w:t>
      </w:r>
      <w:r>
        <w:t>at the CIBMTR with a group of patients from the SCHOLAR-5 cohort</w:t>
      </w:r>
      <w:r w:rsidR="6177E725">
        <w:t xml:space="preserve">. </w:t>
      </w:r>
      <w:r w:rsidR="05411900">
        <w:t xml:space="preserve">It is unknown whether any of these patients were enrolled in ZUMA-5. </w:t>
      </w:r>
      <w:r w:rsidR="02ECFEAA">
        <w:t xml:space="preserve">The </w:t>
      </w:r>
      <w:r w:rsidR="10D5448F">
        <w:t>Commentary</w:t>
      </w:r>
      <w:r w:rsidR="02ECFEAA">
        <w:t xml:space="preserve"> noted that w</w:t>
      </w:r>
      <w:r w:rsidR="10E23419">
        <w:t xml:space="preserve">hile the SCHOLAR-5 cohort </w:t>
      </w:r>
      <w:r w:rsidR="1ADCD59A">
        <w:t>was used</w:t>
      </w:r>
      <w:r w:rsidR="10E23419">
        <w:t>, it was unclear how these patients were derived, as the cohort numbers (N=120) differed from those presented in the comparative analysis against ZUMA-5 (SCHOLAR-5 N=143, later reduced to 85 after the application of propensity scoring; Ghione 2022)</w:t>
      </w:r>
      <w:r w:rsidR="1ADCD59A">
        <w:t>, and i</w:t>
      </w:r>
      <w:r w:rsidR="10E23419">
        <w:t xml:space="preserve">t was also unclear what </w:t>
      </w:r>
      <w:r w:rsidR="08D08E11">
        <w:t>SOC</w:t>
      </w:r>
      <w:r w:rsidR="10E23419">
        <w:t xml:space="preserve"> treatments were received by this cohort as this was not reported</w:t>
      </w:r>
      <w:r w:rsidR="1ADCD59A">
        <w:t xml:space="preserve">. </w:t>
      </w:r>
      <w:r w:rsidR="6177E725">
        <w:t xml:space="preserve">The </w:t>
      </w:r>
      <w:r w:rsidR="755643BD">
        <w:t>Commentary</w:t>
      </w:r>
      <w:r w:rsidR="6177E725">
        <w:t xml:space="preserve"> </w:t>
      </w:r>
      <w:r w:rsidR="1ADCD59A">
        <w:t xml:space="preserve">further </w:t>
      </w:r>
      <w:r w:rsidR="6177E725">
        <w:t xml:space="preserve">noted that a full publication of </w:t>
      </w:r>
      <w:r w:rsidR="4F833530">
        <w:t>this</w:t>
      </w:r>
      <w:r w:rsidR="6177E725">
        <w:t xml:space="preserve"> analysis was not available at the time of the evaluation, and only an abstract was provided by the </w:t>
      </w:r>
      <w:r w:rsidR="6ADE981E">
        <w:t>ADAR</w:t>
      </w:r>
      <w:r w:rsidR="6177E725">
        <w:t>. As such, the results of this analysis should be interpreted with caution.</w:t>
      </w:r>
    </w:p>
    <w:p w14:paraId="0FC5B025" w14:textId="0EC40CC2" w:rsidR="00B541A5" w:rsidRDefault="001E620D" w:rsidP="00717D86">
      <w:r>
        <w:lastRenderedPageBreak/>
        <w:t xml:space="preserve">A summary of </w:t>
      </w:r>
      <w:r w:rsidR="008E38C4">
        <w:t xml:space="preserve">efficacy outcomes from ZUMA-5 and </w:t>
      </w:r>
      <w:r w:rsidR="00E25C70">
        <w:t xml:space="preserve">the </w:t>
      </w:r>
      <w:proofErr w:type="spellStart"/>
      <w:r w:rsidR="00B541A5">
        <w:t>Kambhampati</w:t>
      </w:r>
      <w:proofErr w:type="spellEnd"/>
      <w:r w:rsidR="00B541A5">
        <w:t xml:space="preserve"> (2023) analysis </w:t>
      </w:r>
      <w:r w:rsidR="06926B32">
        <w:t xml:space="preserve">is </w:t>
      </w:r>
      <w:r w:rsidR="00B541A5">
        <w:t xml:space="preserve">provided in </w:t>
      </w:r>
      <w:r>
        <w:fldChar w:fldCharType="begin"/>
      </w:r>
      <w:r>
        <w:instrText xml:space="preserve"> REF _Ref163127075 \h  \* MERGEFORMAT </w:instrText>
      </w:r>
      <w:r>
        <w:fldChar w:fldCharType="separate"/>
      </w:r>
      <w:r w:rsidR="00732D31">
        <w:t xml:space="preserve">Table </w:t>
      </w:r>
      <w:r w:rsidR="00732D31" w:rsidRPr="3944511B">
        <w:rPr>
          <w:noProof/>
        </w:rPr>
        <w:t>13</w:t>
      </w:r>
      <w:r>
        <w:fldChar w:fldCharType="end"/>
      </w:r>
      <w:r w:rsidR="00B541A5">
        <w:t xml:space="preserve">. </w:t>
      </w:r>
    </w:p>
    <w:p w14:paraId="34435F22" w14:textId="0C70F560" w:rsidR="001E620D" w:rsidRDefault="6CFFFD2F" w:rsidP="00121C2E">
      <w:pPr>
        <w:pStyle w:val="Caption"/>
      </w:pPr>
      <w:r>
        <w:t xml:space="preserve"> </w:t>
      </w:r>
      <w:bookmarkStart w:id="33" w:name="_Ref163127075"/>
      <w:r w:rsidR="1ADCD59A">
        <w:t xml:space="preserve">Table </w:t>
      </w:r>
      <w:r w:rsidRPr="132E0B0E">
        <w:fldChar w:fldCharType="begin"/>
      </w:r>
      <w:r>
        <w:instrText xml:space="preserve"> SEQ Table \* ARABIC </w:instrText>
      </w:r>
      <w:r w:rsidRPr="132E0B0E">
        <w:fldChar w:fldCharType="separate"/>
      </w:r>
      <w:r w:rsidR="43AAED44" w:rsidRPr="132E0B0E">
        <w:rPr>
          <w:noProof/>
        </w:rPr>
        <w:t>13</w:t>
      </w:r>
      <w:r w:rsidRPr="132E0B0E">
        <w:rPr>
          <w:noProof/>
        </w:rPr>
        <w:fldChar w:fldCharType="end"/>
      </w:r>
      <w:bookmarkEnd w:id="33"/>
      <w:r>
        <w:tab/>
      </w:r>
      <w:r>
        <w:tab/>
      </w:r>
      <w:r w:rsidR="57AA6891">
        <w:t xml:space="preserve">Summary of efficacy </w:t>
      </w:r>
      <w:r w:rsidR="47BBF83C">
        <w:t xml:space="preserve">outcomes </w:t>
      </w:r>
      <w:r w:rsidR="57AA6891">
        <w:t xml:space="preserve">from ZUMA-5 and </w:t>
      </w:r>
      <w:r w:rsidR="25931BC5">
        <w:t xml:space="preserve">AXI RWE vs </w:t>
      </w:r>
      <w:r w:rsidR="698752F2">
        <w:t>SOC</w:t>
      </w:r>
    </w:p>
    <w:tbl>
      <w:tblPr>
        <w:tblStyle w:val="TableGrid"/>
        <w:tblW w:w="0" w:type="auto"/>
        <w:tblLook w:val="04A0" w:firstRow="1" w:lastRow="0" w:firstColumn="1" w:lastColumn="0" w:noHBand="0" w:noVBand="1"/>
      </w:tblPr>
      <w:tblGrid>
        <w:gridCol w:w="1839"/>
        <w:gridCol w:w="1435"/>
        <w:gridCol w:w="1435"/>
        <w:gridCol w:w="1436"/>
        <w:gridCol w:w="1435"/>
        <w:gridCol w:w="1436"/>
      </w:tblGrid>
      <w:tr w:rsidR="003370BA" w14:paraId="26E2C3B6" w14:textId="77777777" w:rsidTr="132E0B0E">
        <w:tc>
          <w:tcPr>
            <w:tcW w:w="1839" w:type="dxa"/>
            <w:vMerge w:val="restart"/>
          </w:tcPr>
          <w:p w14:paraId="378F94AF" w14:textId="77777777" w:rsidR="003370BA" w:rsidRDefault="003370BA">
            <w:pPr>
              <w:pStyle w:val="TableHeading0"/>
              <w:keepNext/>
              <w:keepLines/>
            </w:pPr>
          </w:p>
        </w:tc>
        <w:tc>
          <w:tcPr>
            <w:tcW w:w="1435" w:type="dxa"/>
            <w:vAlign w:val="center"/>
          </w:tcPr>
          <w:p w14:paraId="1A47D9BD" w14:textId="77777777" w:rsidR="003370BA" w:rsidRPr="00100EA8" w:rsidRDefault="003370BA" w:rsidP="00B541A5">
            <w:pPr>
              <w:pStyle w:val="TableHeading0"/>
              <w:keepNext/>
              <w:keepLines/>
              <w:jc w:val="center"/>
              <w:rPr>
                <w:bCs/>
              </w:rPr>
            </w:pPr>
            <w:r>
              <w:rPr>
                <w:bCs/>
              </w:rPr>
              <w:t>ZUMA-5</w:t>
            </w:r>
          </w:p>
        </w:tc>
        <w:tc>
          <w:tcPr>
            <w:tcW w:w="5742" w:type="dxa"/>
            <w:gridSpan w:val="4"/>
            <w:vAlign w:val="center"/>
          </w:tcPr>
          <w:p w14:paraId="5178EB2B" w14:textId="4D8D4DD7" w:rsidR="003370BA" w:rsidRDefault="548956AF" w:rsidP="00B541A5">
            <w:pPr>
              <w:pStyle w:val="TableHeading0"/>
              <w:keepNext/>
              <w:keepLines/>
              <w:jc w:val="center"/>
            </w:pPr>
            <w:r>
              <w:t>AXI</w:t>
            </w:r>
            <w:r w:rsidR="63AE58A4">
              <w:t xml:space="preserve"> RWE</w:t>
            </w:r>
            <w:r>
              <w:t xml:space="preserve"> vs </w:t>
            </w:r>
            <w:r w:rsidR="43F8F30E">
              <w:t>SOC</w:t>
            </w:r>
          </w:p>
        </w:tc>
      </w:tr>
      <w:tr w:rsidR="003370BA" w14:paraId="6DC53652" w14:textId="77777777" w:rsidTr="132E0B0E">
        <w:tc>
          <w:tcPr>
            <w:tcW w:w="1839" w:type="dxa"/>
            <w:vMerge/>
          </w:tcPr>
          <w:p w14:paraId="647AF6F4" w14:textId="77777777" w:rsidR="003370BA" w:rsidRDefault="003370BA">
            <w:pPr>
              <w:pStyle w:val="TableHeading0"/>
              <w:keepNext/>
              <w:keepLines/>
            </w:pPr>
          </w:p>
        </w:tc>
        <w:tc>
          <w:tcPr>
            <w:tcW w:w="1435" w:type="dxa"/>
            <w:vAlign w:val="center"/>
          </w:tcPr>
          <w:p w14:paraId="5C60E6AD" w14:textId="5A52D9EE" w:rsidR="003370BA" w:rsidRPr="00033343" w:rsidRDefault="003370BA" w:rsidP="00B541A5">
            <w:pPr>
              <w:pStyle w:val="TableHeading0"/>
              <w:keepNext/>
              <w:keepLines/>
              <w:jc w:val="center"/>
            </w:pPr>
            <w:r>
              <w:t xml:space="preserve">Updated </w:t>
            </w:r>
            <w:proofErr w:type="gramStart"/>
            <w:r>
              <w:t>48 month</w:t>
            </w:r>
            <w:proofErr w:type="gramEnd"/>
            <w:r>
              <w:t xml:space="preserve"> analysis of ZUMA-5 (N=127)</w:t>
            </w:r>
            <w:r w:rsidR="00EE5305">
              <w:t>: FAS</w:t>
            </w:r>
          </w:p>
        </w:tc>
        <w:tc>
          <w:tcPr>
            <w:tcW w:w="1435" w:type="dxa"/>
            <w:vAlign w:val="center"/>
          </w:tcPr>
          <w:p w14:paraId="0C7E543E" w14:textId="452F374D" w:rsidR="003370BA" w:rsidRPr="00100EA8" w:rsidRDefault="003370BA" w:rsidP="00B541A5">
            <w:pPr>
              <w:pStyle w:val="TableHeading0"/>
              <w:keepNext/>
              <w:keepLines/>
              <w:jc w:val="center"/>
              <w:rPr>
                <w:bCs/>
              </w:rPr>
            </w:pPr>
            <w:r>
              <w:rPr>
                <w:bCs/>
              </w:rPr>
              <w:t>AXI</w:t>
            </w:r>
            <w:r w:rsidR="00393C8E">
              <w:rPr>
                <w:bCs/>
              </w:rPr>
              <w:t xml:space="preserve"> RWE</w:t>
            </w:r>
          </w:p>
        </w:tc>
        <w:tc>
          <w:tcPr>
            <w:tcW w:w="1436" w:type="dxa"/>
            <w:vAlign w:val="center"/>
          </w:tcPr>
          <w:p w14:paraId="65727662" w14:textId="6E02F9D1" w:rsidR="003370BA" w:rsidRPr="00100EA8" w:rsidRDefault="7B8A969A" w:rsidP="00B541A5">
            <w:pPr>
              <w:pStyle w:val="TableHeading0"/>
              <w:keepNext/>
              <w:keepLines/>
              <w:jc w:val="center"/>
            </w:pPr>
            <w:r>
              <w:t>SOC</w:t>
            </w:r>
            <w:r w:rsidR="548956AF">
              <w:t xml:space="preserve"> (weighted SCHOLAR-5)</w:t>
            </w:r>
          </w:p>
        </w:tc>
        <w:tc>
          <w:tcPr>
            <w:tcW w:w="1435" w:type="dxa"/>
            <w:vAlign w:val="center"/>
          </w:tcPr>
          <w:p w14:paraId="73347FB7" w14:textId="77777777" w:rsidR="003370BA" w:rsidRPr="00A1662B" w:rsidRDefault="003370BA" w:rsidP="132E0B0E">
            <w:pPr>
              <w:pStyle w:val="TableHeading0"/>
              <w:keepNext/>
              <w:keepLines/>
              <w:jc w:val="center"/>
              <w:rPr>
                <w:vertAlign w:val="superscript"/>
              </w:rPr>
            </w:pPr>
            <w:r>
              <w:t xml:space="preserve">Absolute difference (95% </w:t>
            </w:r>
            <w:proofErr w:type="gramStart"/>
            <w:r>
              <w:t>CI)</w:t>
            </w:r>
            <w:r w:rsidRPr="132E0B0E">
              <w:rPr>
                <w:vertAlign w:val="superscript"/>
              </w:rPr>
              <w:t>a</w:t>
            </w:r>
            <w:proofErr w:type="gramEnd"/>
          </w:p>
        </w:tc>
        <w:tc>
          <w:tcPr>
            <w:tcW w:w="1436" w:type="dxa"/>
            <w:vAlign w:val="center"/>
          </w:tcPr>
          <w:p w14:paraId="401481D2" w14:textId="77777777" w:rsidR="003370BA" w:rsidRPr="00100EA8" w:rsidRDefault="003370BA" w:rsidP="00B541A5">
            <w:pPr>
              <w:pStyle w:val="TableHeading0"/>
              <w:keepNext/>
              <w:keepLines/>
              <w:jc w:val="center"/>
              <w:rPr>
                <w:bCs/>
              </w:rPr>
            </w:pPr>
            <w:r>
              <w:rPr>
                <w:bCs/>
              </w:rPr>
              <w:t>Odds (ORR)/Hazard (PFS and OS) ratio (95% CI)</w:t>
            </w:r>
          </w:p>
        </w:tc>
      </w:tr>
      <w:tr w:rsidR="00851FD4" w14:paraId="4278A070" w14:textId="77777777" w:rsidTr="132E0B0E">
        <w:tc>
          <w:tcPr>
            <w:tcW w:w="9016" w:type="dxa"/>
            <w:gridSpan w:val="6"/>
          </w:tcPr>
          <w:p w14:paraId="41C1CA3F" w14:textId="122A2015" w:rsidR="00851FD4" w:rsidRDefault="00BA4385">
            <w:pPr>
              <w:pStyle w:val="TableText"/>
              <w:keepNext/>
              <w:keepLines/>
            </w:pPr>
            <w:r>
              <w:t>Overall</w:t>
            </w:r>
            <w:r w:rsidR="00851FD4">
              <w:t xml:space="preserve"> response rate</w:t>
            </w:r>
          </w:p>
        </w:tc>
      </w:tr>
      <w:tr w:rsidR="00851FD4" w14:paraId="1C18F747" w14:textId="77777777" w:rsidTr="132E0B0E">
        <w:tc>
          <w:tcPr>
            <w:tcW w:w="1839" w:type="dxa"/>
          </w:tcPr>
          <w:p w14:paraId="28AFC274" w14:textId="751D828B" w:rsidR="00851FD4" w:rsidRDefault="00851FD4">
            <w:pPr>
              <w:pStyle w:val="TableText"/>
              <w:keepNext/>
              <w:keepLines/>
            </w:pPr>
            <w:r>
              <w:t xml:space="preserve">Number of </w:t>
            </w:r>
            <w:r w:rsidR="00BA4385">
              <w:t>overall</w:t>
            </w:r>
            <w:r>
              <w:t xml:space="preserve"> responders (CR+PR), % (95% CI)</w:t>
            </w:r>
          </w:p>
        </w:tc>
        <w:tc>
          <w:tcPr>
            <w:tcW w:w="1435" w:type="dxa"/>
            <w:vAlign w:val="center"/>
          </w:tcPr>
          <w:p w14:paraId="6569E124" w14:textId="59413B1C" w:rsidR="00B541A5" w:rsidRDefault="00851FD4" w:rsidP="00B541A5">
            <w:pPr>
              <w:pStyle w:val="TableText"/>
              <w:keepNext/>
              <w:keepLines/>
              <w:jc w:val="center"/>
            </w:pPr>
            <w:r w:rsidRPr="00CD42D9">
              <w:t>94%</w:t>
            </w:r>
          </w:p>
          <w:p w14:paraId="79C3A6D7" w14:textId="43992694" w:rsidR="00851FD4" w:rsidRPr="00CD42D9" w:rsidRDefault="00851FD4" w:rsidP="00B541A5">
            <w:pPr>
              <w:pStyle w:val="TableText"/>
              <w:keepNext/>
              <w:keepLines/>
              <w:jc w:val="center"/>
            </w:pPr>
            <w:r w:rsidRPr="00CD42D9">
              <w:t>(88%, 97%)</w:t>
            </w:r>
          </w:p>
        </w:tc>
        <w:tc>
          <w:tcPr>
            <w:tcW w:w="1435" w:type="dxa"/>
            <w:vAlign w:val="center"/>
          </w:tcPr>
          <w:p w14:paraId="18B96C2C" w14:textId="36857504" w:rsidR="00B541A5" w:rsidRDefault="00851FD4" w:rsidP="00B541A5">
            <w:pPr>
              <w:pStyle w:val="TableText"/>
              <w:keepNext/>
              <w:keepLines/>
              <w:jc w:val="center"/>
            </w:pPr>
            <w:r w:rsidRPr="00CD42D9">
              <w:t>92%</w:t>
            </w:r>
          </w:p>
          <w:p w14:paraId="61E489FA" w14:textId="1112C919" w:rsidR="00851FD4" w:rsidRPr="00CD42D9" w:rsidRDefault="00851FD4" w:rsidP="00B541A5">
            <w:pPr>
              <w:pStyle w:val="TableText"/>
              <w:keepNext/>
              <w:keepLines/>
              <w:jc w:val="center"/>
            </w:pPr>
            <w:r w:rsidRPr="00CD42D9">
              <w:t>(88%, 95%)</w:t>
            </w:r>
          </w:p>
        </w:tc>
        <w:tc>
          <w:tcPr>
            <w:tcW w:w="1436" w:type="dxa"/>
            <w:vAlign w:val="center"/>
          </w:tcPr>
          <w:p w14:paraId="440CD93C" w14:textId="38E6FE1C" w:rsidR="00B541A5" w:rsidRDefault="00851FD4" w:rsidP="00B541A5">
            <w:pPr>
              <w:pStyle w:val="TableText"/>
              <w:keepNext/>
              <w:keepLines/>
              <w:jc w:val="center"/>
            </w:pPr>
            <w:r w:rsidRPr="00CD42D9">
              <w:t>67%</w:t>
            </w:r>
          </w:p>
          <w:p w14:paraId="178E3009" w14:textId="0A56EE9E" w:rsidR="00851FD4" w:rsidRPr="00CD42D9" w:rsidRDefault="00851FD4" w:rsidP="00B541A5">
            <w:pPr>
              <w:pStyle w:val="TableText"/>
              <w:keepNext/>
              <w:keepLines/>
              <w:jc w:val="center"/>
            </w:pPr>
            <w:r w:rsidRPr="00CD42D9">
              <w:t>(60%, 74%)</w:t>
            </w:r>
          </w:p>
        </w:tc>
        <w:tc>
          <w:tcPr>
            <w:tcW w:w="1435" w:type="dxa"/>
            <w:vAlign w:val="center"/>
          </w:tcPr>
          <w:p w14:paraId="44D5988B" w14:textId="77777777" w:rsidR="00851FD4" w:rsidRPr="00724A59" w:rsidRDefault="00851FD4" w:rsidP="00B541A5">
            <w:pPr>
              <w:pStyle w:val="TableText"/>
              <w:keepNext/>
              <w:keepLines/>
              <w:jc w:val="center"/>
              <w:rPr>
                <w:color w:val="FF0000"/>
              </w:rPr>
            </w:pPr>
            <w:r w:rsidRPr="007B5384">
              <w:t>25% (17%, 33%), p &lt;0.0001</w:t>
            </w:r>
          </w:p>
        </w:tc>
        <w:tc>
          <w:tcPr>
            <w:tcW w:w="1436" w:type="dxa"/>
            <w:vAlign w:val="center"/>
          </w:tcPr>
          <w:p w14:paraId="5149ED14" w14:textId="77777777" w:rsidR="00851FD4" w:rsidRPr="00CD42D9" w:rsidRDefault="00851FD4" w:rsidP="00B541A5">
            <w:pPr>
              <w:pStyle w:val="TableText"/>
              <w:keepNext/>
              <w:keepLines/>
              <w:jc w:val="center"/>
            </w:pPr>
            <w:r w:rsidRPr="00CD42D9">
              <w:t>4.9 (2.4, 10.3)</w:t>
            </w:r>
          </w:p>
        </w:tc>
      </w:tr>
      <w:tr w:rsidR="00851FD4" w14:paraId="32481D88" w14:textId="77777777" w:rsidTr="132E0B0E">
        <w:tc>
          <w:tcPr>
            <w:tcW w:w="9016" w:type="dxa"/>
            <w:gridSpan w:val="6"/>
          </w:tcPr>
          <w:p w14:paraId="04D31E90" w14:textId="77777777" w:rsidR="00851FD4" w:rsidRPr="00FB633D" w:rsidRDefault="00851FD4" w:rsidP="009D5ED7">
            <w:pPr>
              <w:pStyle w:val="TableText"/>
              <w:keepNext/>
              <w:keepLines/>
            </w:pPr>
            <w:r w:rsidRPr="00FB633D">
              <w:t>Progression free survival</w:t>
            </w:r>
          </w:p>
        </w:tc>
      </w:tr>
      <w:tr w:rsidR="00851FD4" w14:paraId="5EB3B0A9" w14:textId="77777777" w:rsidTr="132E0B0E">
        <w:tc>
          <w:tcPr>
            <w:tcW w:w="1839" w:type="dxa"/>
            <w:tcBorders>
              <w:bottom w:val="single" w:sz="4" w:space="0" w:color="auto"/>
            </w:tcBorders>
          </w:tcPr>
          <w:p w14:paraId="13A1AC1F" w14:textId="77777777" w:rsidR="00851FD4" w:rsidRDefault="00851FD4">
            <w:pPr>
              <w:pStyle w:val="TableText"/>
              <w:keepNext/>
              <w:keepLines/>
            </w:pPr>
            <w:r>
              <w:t>Progression free at 6 months, % (95% CI)</w:t>
            </w:r>
          </w:p>
        </w:tc>
        <w:tc>
          <w:tcPr>
            <w:tcW w:w="1435" w:type="dxa"/>
            <w:tcBorders>
              <w:bottom w:val="single" w:sz="4" w:space="0" w:color="auto"/>
            </w:tcBorders>
            <w:vAlign w:val="center"/>
          </w:tcPr>
          <w:p w14:paraId="54A165BC" w14:textId="5065C6CE" w:rsidR="00B541A5" w:rsidRPr="00031AFF" w:rsidRDefault="00851FD4" w:rsidP="00B541A5">
            <w:pPr>
              <w:pStyle w:val="TableText"/>
              <w:keepNext/>
              <w:keepLines/>
              <w:jc w:val="center"/>
            </w:pPr>
            <w:r>
              <w:t>90%</w:t>
            </w:r>
          </w:p>
          <w:p w14:paraId="3C54E034" w14:textId="29EF1911" w:rsidR="00851FD4" w:rsidRPr="00031AFF" w:rsidRDefault="00851FD4" w:rsidP="00B541A5">
            <w:pPr>
              <w:pStyle w:val="TableText"/>
              <w:keepNext/>
              <w:keepLines/>
              <w:jc w:val="center"/>
            </w:pPr>
            <w:r>
              <w:t>(84%, 94%)</w:t>
            </w:r>
          </w:p>
        </w:tc>
        <w:tc>
          <w:tcPr>
            <w:tcW w:w="1435" w:type="dxa"/>
            <w:tcBorders>
              <w:bottom w:val="single" w:sz="4" w:space="0" w:color="auto"/>
            </w:tcBorders>
            <w:vAlign w:val="center"/>
          </w:tcPr>
          <w:p w14:paraId="319A1FC6" w14:textId="6B88ACAB" w:rsidR="00B541A5" w:rsidRPr="00031AFF" w:rsidRDefault="00851FD4" w:rsidP="00B541A5">
            <w:pPr>
              <w:pStyle w:val="TableText"/>
              <w:keepNext/>
              <w:keepLines/>
              <w:jc w:val="center"/>
            </w:pPr>
            <w:r w:rsidRPr="00031AFF">
              <w:t>88%</w:t>
            </w:r>
          </w:p>
          <w:p w14:paraId="1F29F48C" w14:textId="1C778E48" w:rsidR="00851FD4" w:rsidRPr="00031AFF" w:rsidRDefault="00851FD4" w:rsidP="00B541A5">
            <w:pPr>
              <w:pStyle w:val="TableText"/>
              <w:keepNext/>
              <w:keepLines/>
              <w:jc w:val="center"/>
            </w:pPr>
            <w:r w:rsidRPr="00031AFF">
              <w:t>(83%, 91%)</w:t>
            </w:r>
          </w:p>
        </w:tc>
        <w:tc>
          <w:tcPr>
            <w:tcW w:w="1436" w:type="dxa"/>
            <w:tcBorders>
              <w:bottom w:val="single" w:sz="4" w:space="0" w:color="auto"/>
            </w:tcBorders>
            <w:vAlign w:val="center"/>
          </w:tcPr>
          <w:p w14:paraId="0156AA45" w14:textId="7555022C" w:rsidR="00B541A5" w:rsidRPr="00031AFF" w:rsidRDefault="00851FD4" w:rsidP="00B541A5">
            <w:pPr>
              <w:pStyle w:val="TableText"/>
              <w:keepNext/>
              <w:keepLines/>
              <w:jc w:val="center"/>
            </w:pPr>
            <w:r w:rsidRPr="00031AFF">
              <w:t>64%</w:t>
            </w:r>
          </w:p>
          <w:p w14:paraId="2797678B" w14:textId="3BF6ACF9" w:rsidR="00851FD4" w:rsidRPr="00031AFF" w:rsidRDefault="00851FD4" w:rsidP="00B541A5">
            <w:pPr>
              <w:pStyle w:val="TableText"/>
              <w:keepNext/>
              <w:keepLines/>
              <w:jc w:val="center"/>
            </w:pPr>
            <w:r w:rsidRPr="00031AFF">
              <w:t>(46%, 77%)</w:t>
            </w:r>
          </w:p>
        </w:tc>
        <w:tc>
          <w:tcPr>
            <w:tcW w:w="1435" w:type="dxa"/>
            <w:tcBorders>
              <w:bottom w:val="single" w:sz="4" w:space="0" w:color="auto"/>
            </w:tcBorders>
            <w:vAlign w:val="center"/>
          </w:tcPr>
          <w:p w14:paraId="766BFA50" w14:textId="77777777" w:rsidR="00851FD4" w:rsidRPr="00FB633D" w:rsidRDefault="00851FD4" w:rsidP="00B541A5">
            <w:pPr>
              <w:pStyle w:val="TableText"/>
              <w:keepNext/>
              <w:keepLines/>
              <w:jc w:val="center"/>
            </w:pPr>
            <w:r w:rsidRPr="00FB633D">
              <w:t>24% (16%, 32%), p&lt;0.0001</w:t>
            </w:r>
          </w:p>
        </w:tc>
        <w:tc>
          <w:tcPr>
            <w:tcW w:w="1436" w:type="dxa"/>
            <w:tcBorders>
              <w:bottom w:val="single" w:sz="4" w:space="0" w:color="auto"/>
            </w:tcBorders>
            <w:vAlign w:val="center"/>
          </w:tcPr>
          <w:p w14:paraId="0581E964" w14:textId="77777777" w:rsidR="00B541A5" w:rsidRDefault="00851FD4" w:rsidP="00B541A5">
            <w:pPr>
              <w:pStyle w:val="TableText"/>
              <w:keepNext/>
              <w:keepLines/>
              <w:jc w:val="center"/>
            </w:pPr>
            <w:r w:rsidRPr="00CD42D9">
              <w:t>0.41</w:t>
            </w:r>
          </w:p>
          <w:p w14:paraId="276EBF75" w14:textId="63E34691" w:rsidR="00851FD4" w:rsidRPr="00CD42D9" w:rsidRDefault="00851FD4" w:rsidP="00B541A5">
            <w:pPr>
              <w:pStyle w:val="TableText"/>
              <w:keepNext/>
              <w:keepLines/>
              <w:jc w:val="center"/>
            </w:pPr>
            <w:r w:rsidRPr="00CD42D9">
              <w:t>(0.220, 0.77)</w:t>
            </w:r>
          </w:p>
        </w:tc>
      </w:tr>
      <w:tr w:rsidR="00851FD4" w14:paraId="6FAF16EC" w14:textId="77777777" w:rsidTr="132E0B0E">
        <w:tc>
          <w:tcPr>
            <w:tcW w:w="1839" w:type="dxa"/>
            <w:tcBorders>
              <w:right w:val="nil"/>
            </w:tcBorders>
          </w:tcPr>
          <w:p w14:paraId="2E8D3656" w14:textId="77777777" w:rsidR="00851FD4" w:rsidRDefault="00851FD4">
            <w:pPr>
              <w:pStyle w:val="TableText"/>
              <w:keepNext/>
              <w:keepLines/>
            </w:pPr>
            <w:r>
              <w:t>Overall survival</w:t>
            </w:r>
          </w:p>
        </w:tc>
        <w:tc>
          <w:tcPr>
            <w:tcW w:w="1435" w:type="dxa"/>
            <w:tcBorders>
              <w:left w:val="nil"/>
              <w:right w:val="nil"/>
            </w:tcBorders>
          </w:tcPr>
          <w:p w14:paraId="7A6A4D24" w14:textId="77777777" w:rsidR="00851FD4" w:rsidRPr="00031AFF" w:rsidRDefault="00851FD4">
            <w:pPr>
              <w:pStyle w:val="TableText"/>
              <w:keepNext/>
              <w:keepLines/>
              <w:jc w:val="center"/>
            </w:pPr>
          </w:p>
        </w:tc>
        <w:tc>
          <w:tcPr>
            <w:tcW w:w="1435" w:type="dxa"/>
            <w:tcBorders>
              <w:left w:val="nil"/>
              <w:right w:val="nil"/>
            </w:tcBorders>
          </w:tcPr>
          <w:p w14:paraId="5B1E5E5B" w14:textId="77777777" w:rsidR="00851FD4" w:rsidRPr="00031AFF" w:rsidRDefault="00851FD4">
            <w:pPr>
              <w:pStyle w:val="TableText"/>
              <w:keepNext/>
              <w:keepLines/>
              <w:jc w:val="center"/>
            </w:pPr>
          </w:p>
        </w:tc>
        <w:tc>
          <w:tcPr>
            <w:tcW w:w="1436" w:type="dxa"/>
            <w:tcBorders>
              <w:left w:val="nil"/>
              <w:right w:val="nil"/>
            </w:tcBorders>
          </w:tcPr>
          <w:p w14:paraId="3716A1B3" w14:textId="77777777" w:rsidR="00851FD4" w:rsidRPr="00031AFF" w:rsidRDefault="00851FD4">
            <w:pPr>
              <w:pStyle w:val="TableText"/>
              <w:keepNext/>
              <w:keepLines/>
              <w:jc w:val="center"/>
            </w:pPr>
          </w:p>
        </w:tc>
        <w:tc>
          <w:tcPr>
            <w:tcW w:w="1435" w:type="dxa"/>
            <w:tcBorders>
              <w:left w:val="nil"/>
              <w:right w:val="nil"/>
            </w:tcBorders>
          </w:tcPr>
          <w:p w14:paraId="7A46254B" w14:textId="77777777" w:rsidR="00851FD4" w:rsidRPr="00FB633D" w:rsidRDefault="00851FD4">
            <w:pPr>
              <w:pStyle w:val="TableText"/>
              <w:keepNext/>
              <w:keepLines/>
              <w:jc w:val="center"/>
            </w:pPr>
          </w:p>
        </w:tc>
        <w:tc>
          <w:tcPr>
            <w:tcW w:w="1436" w:type="dxa"/>
            <w:tcBorders>
              <w:left w:val="nil"/>
            </w:tcBorders>
          </w:tcPr>
          <w:p w14:paraId="7011A335" w14:textId="77777777" w:rsidR="00851FD4" w:rsidRPr="00CD42D9" w:rsidRDefault="00851FD4">
            <w:pPr>
              <w:pStyle w:val="TableText"/>
              <w:keepNext/>
              <w:keepLines/>
              <w:jc w:val="center"/>
            </w:pPr>
          </w:p>
        </w:tc>
      </w:tr>
      <w:tr w:rsidR="00851FD4" w14:paraId="6DE5696F" w14:textId="77777777" w:rsidTr="132E0B0E">
        <w:tc>
          <w:tcPr>
            <w:tcW w:w="1839" w:type="dxa"/>
          </w:tcPr>
          <w:p w14:paraId="2B0F4084" w14:textId="77777777" w:rsidR="00851FD4" w:rsidRDefault="00851FD4">
            <w:pPr>
              <w:pStyle w:val="TableText"/>
              <w:keepNext/>
              <w:keepLines/>
            </w:pPr>
            <w:r>
              <w:t>Overall survival at 6 months, % (95% CI)</w:t>
            </w:r>
          </w:p>
        </w:tc>
        <w:tc>
          <w:tcPr>
            <w:tcW w:w="1435" w:type="dxa"/>
            <w:vAlign w:val="center"/>
          </w:tcPr>
          <w:p w14:paraId="064E9E12" w14:textId="7F054D18" w:rsidR="00B541A5" w:rsidRPr="00031AFF" w:rsidRDefault="00851FD4" w:rsidP="00B541A5">
            <w:pPr>
              <w:pStyle w:val="TableText"/>
              <w:keepNext/>
              <w:keepLines/>
              <w:jc w:val="center"/>
            </w:pPr>
            <w:r>
              <w:t>97%</w:t>
            </w:r>
          </w:p>
          <w:p w14:paraId="032AC746" w14:textId="4EC8BEDA" w:rsidR="00851FD4" w:rsidRPr="00031AFF" w:rsidRDefault="00851FD4" w:rsidP="00B541A5">
            <w:pPr>
              <w:pStyle w:val="TableText"/>
              <w:keepNext/>
              <w:keepLines/>
              <w:jc w:val="center"/>
            </w:pPr>
            <w:r>
              <w:t>(92%, 99%)</w:t>
            </w:r>
          </w:p>
        </w:tc>
        <w:tc>
          <w:tcPr>
            <w:tcW w:w="1435" w:type="dxa"/>
            <w:vAlign w:val="center"/>
          </w:tcPr>
          <w:p w14:paraId="20B9935C" w14:textId="096B94C6" w:rsidR="00B541A5" w:rsidRPr="00031AFF" w:rsidRDefault="00851FD4" w:rsidP="00B541A5">
            <w:pPr>
              <w:pStyle w:val="TableText"/>
              <w:keepNext/>
              <w:keepLines/>
              <w:jc w:val="center"/>
            </w:pPr>
            <w:r w:rsidRPr="00031AFF">
              <w:t>97%</w:t>
            </w:r>
          </w:p>
          <w:p w14:paraId="1B2B6834" w14:textId="00C1AA94" w:rsidR="00851FD4" w:rsidRPr="00031AFF" w:rsidRDefault="00851FD4" w:rsidP="00B541A5">
            <w:pPr>
              <w:pStyle w:val="TableText"/>
              <w:keepNext/>
              <w:keepLines/>
              <w:jc w:val="center"/>
            </w:pPr>
            <w:r w:rsidRPr="00031AFF">
              <w:t>(94%, 99%)</w:t>
            </w:r>
          </w:p>
        </w:tc>
        <w:tc>
          <w:tcPr>
            <w:tcW w:w="1436" w:type="dxa"/>
            <w:vAlign w:val="center"/>
          </w:tcPr>
          <w:p w14:paraId="3EEB26C1" w14:textId="7F371790" w:rsidR="00B541A5" w:rsidRPr="00031AFF" w:rsidRDefault="00851FD4" w:rsidP="00B541A5">
            <w:pPr>
              <w:pStyle w:val="TableText"/>
              <w:keepNext/>
              <w:keepLines/>
              <w:jc w:val="center"/>
            </w:pPr>
            <w:r w:rsidRPr="00031AFF">
              <w:t>85%</w:t>
            </w:r>
          </w:p>
          <w:p w14:paraId="6B4946F7" w14:textId="74CEDC6D" w:rsidR="00851FD4" w:rsidRPr="00031AFF" w:rsidRDefault="00851FD4" w:rsidP="00B541A5">
            <w:pPr>
              <w:pStyle w:val="TableText"/>
              <w:keepNext/>
              <w:keepLines/>
              <w:jc w:val="center"/>
            </w:pPr>
            <w:r w:rsidRPr="00031AFF">
              <w:t>(73%, 92%)</w:t>
            </w:r>
          </w:p>
        </w:tc>
        <w:tc>
          <w:tcPr>
            <w:tcW w:w="1435" w:type="dxa"/>
            <w:vAlign w:val="center"/>
          </w:tcPr>
          <w:p w14:paraId="75346BC9" w14:textId="77777777" w:rsidR="00851FD4" w:rsidRPr="00FB633D" w:rsidRDefault="00851FD4" w:rsidP="00B541A5">
            <w:pPr>
              <w:pStyle w:val="TableText"/>
              <w:keepNext/>
              <w:keepLines/>
              <w:jc w:val="center"/>
            </w:pPr>
            <w:r w:rsidRPr="00FB633D">
              <w:t>12% (6%, 18%), p=0.0006</w:t>
            </w:r>
          </w:p>
        </w:tc>
        <w:tc>
          <w:tcPr>
            <w:tcW w:w="1436" w:type="dxa"/>
            <w:vAlign w:val="center"/>
          </w:tcPr>
          <w:p w14:paraId="0C5DA165" w14:textId="7F8FF2E2" w:rsidR="00B541A5" w:rsidRDefault="00851FD4" w:rsidP="00B541A5">
            <w:pPr>
              <w:pStyle w:val="TableText"/>
              <w:keepNext/>
              <w:keepLines/>
              <w:jc w:val="center"/>
            </w:pPr>
            <w:r w:rsidRPr="00CD42D9">
              <w:t>0.15</w:t>
            </w:r>
          </w:p>
          <w:p w14:paraId="7717FA2C" w14:textId="21170D15" w:rsidR="00851FD4" w:rsidRPr="00CD42D9" w:rsidRDefault="00851FD4" w:rsidP="00B541A5">
            <w:pPr>
              <w:pStyle w:val="TableText"/>
              <w:keepNext/>
              <w:keepLines/>
              <w:jc w:val="center"/>
            </w:pPr>
            <w:r w:rsidRPr="00CD42D9">
              <w:t>(0.06, 0.34)</w:t>
            </w:r>
          </w:p>
        </w:tc>
      </w:tr>
    </w:tbl>
    <w:p w14:paraId="769471D9" w14:textId="10DE9194" w:rsidR="00D15CC0" w:rsidRPr="00A762F5" w:rsidRDefault="750CBA18" w:rsidP="001726E9">
      <w:pPr>
        <w:pStyle w:val="TableFigNote"/>
        <w:spacing w:after="0"/>
        <w:rPr>
          <w:rFonts w:ascii="Arial Narrow" w:hAnsi="Arial Narrow"/>
        </w:rPr>
      </w:pPr>
      <w:r w:rsidRPr="23728776">
        <w:rPr>
          <w:rFonts w:ascii="Arial Narrow" w:hAnsi="Arial Narrow"/>
        </w:rPr>
        <w:t xml:space="preserve">Abbreviations: </w:t>
      </w:r>
      <w:r w:rsidR="5ECC12D9" w:rsidRPr="23728776">
        <w:rPr>
          <w:rFonts w:ascii="Arial Narrow" w:hAnsi="Arial Narrow"/>
        </w:rPr>
        <w:t xml:space="preserve">CR=complete response; </w:t>
      </w:r>
      <w:r w:rsidRPr="23728776">
        <w:rPr>
          <w:rFonts w:ascii="Arial Narrow" w:hAnsi="Arial Narrow"/>
        </w:rPr>
        <w:t>FAS=full analysis set; ORR=</w:t>
      </w:r>
      <w:r w:rsidR="1F79D51B" w:rsidRPr="23728776">
        <w:rPr>
          <w:rFonts w:ascii="Arial Narrow" w:hAnsi="Arial Narrow"/>
        </w:rPr>
        <w:t>overall</w:t>
      </w:r>
      <w:r w:rsidRPr="23728776">
        <w:rPr>
          <w:rFonts w:ascii="Arial Narrow" w:hAnsi="Arial Narrow"/>
        </w:rPr>
        <w:t xml:space="preserve"> response rate; </w:t>
      </w:r>
      <w:r w:rsidR="68963FCC" w:rsidRPr="23728776">
        <w:rPr>
          <w:rFonts w:ascii="Arial Narrow" w:hAnsi="Arial Narrow"/>
        </w:rPr>
        <w:t xml:space="preserve">OS=overall survival; </w:t>
      </w:r>
      <w:r w:rsidRPr="23728776">
        <w:rPr>
          <w:rFonts w:ascii="Arial Narrow" w:hAnsi="Arial Narrow"/>
        </w:rPr>
        <w:t xml:space="preserve">PFS=progression free survival; </w:t>
      </w:r>
      <w:r w:rsidR="5ECC12D9" w:rsidRPr="23728776">
        <w:rPr>
          <w:rFonts w:ascii="Arial Narrow" w:hAnsi="Arial Narrow"/>
        </w:rPr>
        <w:t xml:space="preserve">PR=partial response; </w:t>
      </w:r>
      <w:r w:rsidRPr="23728776">
        <w:rPr>
          <w:rFonts w:ascii="Arial Narrow" w:hAnsi="Arial Narrow"/>
        </w:rPr>
        <w:t>RWE=real world evidence</w:t>
      </w:r>
      <w:r w:rsidR="676749AD" w:rsidRPr="23728776">
        <w:rPr>
          <w:rFonts w:ascii="Arial Narrow" w:hAnsi="Arial Narrow"/>
        </w:rPr>
        <w:t>; SOC=standard of care</w:t>
      </w:r>
    </w:p>
    <w:p w14:paraId="596D1999" w14:textId="3B90E6D1" w:rsidR="00851FD4" w:rsidRPr="00A762F5" w:rsidRDefault="00851FD4" w:rsidP="00397AE0">
      <w:pPr>
        <w:pStyle w:val="TableFigNote"/>
        <w:spacing w:after="0"/>
        <w:rPr>
          <w:rFonts w:ascii="Arial Narrow" w:hAnsi="Arial Narrow"/>
        </w:rPr>
      </w:pPr>
      <w:r w:rsidRPr="00A762F5">
        <w:rPr>
          <w:rFonts w:ascii="Arial Narrow" w:hAnsi="Arial Narrow"/>
        </w:rPr>
        <w:t xml:space="preserve">a: Calculated during </w:t>
      </w:r>
      <w:r w:rsidR="00643460" w:rsidRPr="00A762F5">
        <w:rPr>
          <w:rFonts w:ascii="Arial Narrow" w:hAnsi="Arial Narrow"/>
        </w:rPr>
        <w:t xml:space="preserve">the </w:t>
      </w:r>
      <w:proofErr w:type="gramStart"/>
      <w:r w:rsidR="00643460" w:rsidRPr="00A762F5">
        <w:rPr>
          <w:rFonts w:ascii="Arial Narrow" w:hAnsi="Arial Narrow"/>
        </w:rPr>
        <w:t>evaluation</w:t>
      </w:r>
      <w:proofErr w:type="gramEnd"/>
    </w:p>
    <w:p w14:paraId="497BF645" w14:textId="32F0AC73" w:rsidR="00851FD4" w:rsidRPr="00A762F5" w:rsidRDefault="00851FD4" w:rsidP="00397AE0">
      <w:pPr>
        <w:pStyle w:val="TableFigNoteLast"/>
        <w:spacing w:before="0"/>
        <w:rPr>
          <w:rFonts w:ascii="Arial Narrow" w:hAnsi="Arial Narrow"/>
        </w:rPr>
      </w:pPr>
      <w:r w:rsidRPr="00A762F5">
        <w:rPr>
          <w:rFonts w:ascii="Arial Narrow" w:hAnsi="Arial Narrow"/>
        </w:rPr>
        <w:t>Note: The absolute difference calculated by the submission could not be replicated during the evaluation. The values calculated during the evaluation were: PFS: 24% (95%</w:t>
      </w:r>
      <w:r w:rsidR="00643460" w:rsidRPr="00A762F5">
        <w:rPr>
          <w:rFonts w:ascii="Arial Narrow" w:hAnsi="Arial Narrow"/>
        </w:rPr>
        <w:t xml:space="preserve"> </w:t>
      </w:r>
      <w:r w:rsidRPr="00A762F5">
        <w:rPr>
          <w:rFonts w:ascii="Arial Narrow" w:hAnsi="Arial Narrow"/>
        </w:rPr>
        <w:t>CI: 8%, 40%), p=0.0033; and OS: 12% (95%</w:t>
      </w:r>
      <w:r w:rsidR="00643460" w:rsidRPr="00A762F5">
        <w:rPr>
          <w:rFonts w:ascii="Arial Narrow" w:hAnsi="Arial Narrow"/>
        </w:rPr>
        <w:t xml:space="preserve"> </w:t>
      </w:r>
      <w:r w:rsidRPr="00A762F5">
        <w:rPr>
          <w:rFonts w:ascii="Arial Narrow" w:hAnsi="Arial Narrow"/>
        </w:rPr>
        <w:t>CI: 2%, 22%), p=0.0167</w:t>
      </w:r>
    </w:p>
    <w:p w14:paraId="6AE0FB3C" w14:textId="40F3BAAA" w:rsidR="00D15CC0" w:rsidRPr="00A762F5" w:rsidRDefault="00D15CC0" w:rsidP="00397AE0">
      <w:pPr>
        <w:pStyle w:val="TableFigNoteLast"/>
        <w:spacing w:before="0"/>
        <w:rPr>
          <w:rFonts w:ascii="Arial Narrow" w:hAnsi="Arial Narrow"/>
        </w:rPr>
      </w:pPr>
      <w:r w:rsidRPr="00A762F5">
        <w:rPr>
          <w:rFonts w:ascii="Arial Narrow" w:hAnsi="Arial Narrow"/>
        </w:rPr>
        <w:t xml:space="preserve">Source: Table 51 in MSAC </w:t>
      </w:r>
      <w:r w:rsidR="00643460" w:rsidRPr="00A762F5">
        <w:rPr>
          <w:rFonts w:ascii="Arial Narrow" w:hAnsi="Arial Narrow"/>
        </w:rPr>
        <w:t xml:space="preserve">1771 </w:t>
      </w:r>
      <w:proofErr w:type="spellStart"/>
      <w:r w:rsidRPr="00A762F5">
        <w:rPr>
          <w:rFonts w:ascii="Arial Narrow" w:hAnsi="Arial Narrow"/>
        </w:rPr>
        <w:t>ADAR</w:t>
      </w:r>
      <w:r w:rsidR="00643460" w:rsidRPr="00A762F5">
        <w:rPr>
          <w:rFonts w:ascii="Arial Narrow" w:hAnsi="Arial Narrow"/>
        </w:rPr>
        <w:t>+in-line</w:t>
      </w:r>
      <w:proofErr w:type="spellEnd"/>
      <w:r w:rsidR="00643460" w:rsidRPr="00A762F5">
        <w:rPr>
          <w:rFonts w:ascii="Arial Narrow" w:hAnsi="Arial Narrow"/>
        </w:rPr>
        <w:t xml:space="preserve"> commentary </w:t>
      </w:r>
    </w:p>
    <w:p w14:paraId="51EC4FD2" w14:textId="4764A29C" w:rsidR="00451925" w:rsidRPr="00451925" w:rsidRDefault="152AC19B" w:rsidP="00717D86">
      <w:r>
        <w:t xml:space="preserve">The </w:t>
      </w:r>
      <w:r w:rsidR="68AA72E0">
        <w:t>Commentary</w:t>
      </w:r>
      <w:r>
        <w:t xml:space="preserve"> noted that while the results of the AXI RWE vs SCHOLAR-5 (</w:t>
      </w:r>
      <w:proofErr w:type="spellStart"/>
      <w:r>
        <w:t>Kambhampati</w:t>
      </w:r>
      <w:proofErr w:type="spellEnd"/>
      <w:r w:rsidR="002176CC">
        <w:t> </w:t>
      </w:r>
      <w:r>
        <w:t xml:space="preserve">2023) suggested superiority of AXI over </w:t>
      </w:r>
      <w:r w:rsidR="187377C4">
        <w:t>SOC</w:t>
      </w:r>
      <w:r>
        <w:t xml:space="preserve"> in terms of ORR, PFS, and OS, the following points regarding the comparative efficacy of the two populations should be noted:</w:t>
      </w:r>
    </w:p>
    <w:p w14:paraId="71BF0520" w14:textId="605254BB" w:rsidR="00451925" w:rsidRPr="00451925" w:rsidRDefault="00451925" w:rsidP="00717D86">
      <w:pPr>
        <w:pStyle w:val="ListParagraph"/>
        <w:numPr>
          <w:ilvl w:val="0"/>
          <w:numId w:val="39"/>
        </w:numPr>
      </w:pPr>
      <w:r w:rsidRPr="00451925">
        <w:t xml:space="preserve">Potential transitivity issues may exist between the cohorts used in the </w:t>
      </w:r>
      <w:r w:rsidR="00E25C70">
        <w:t>ADAR</w:t>
      </w:r>
      <w:r w:rsidRPr="00451925">
        <w:t>’s comparative analysis, despite the application of propensity scoring</w:t>
      </w:r>
      <w:r w:rsidR="4DED52B3">
        <w:t>.</w:t>
      </w:r>
      <w:r>
        <w:t xml:space="preserve"> </w:t>
      </w:r>
    </w:p>
    <w:p w14:paraId="483494A9" w14:textId="51896259" w:rsidR="00451925" w:rsidRPr="00451925" w:rsidRDefault="00451925" w:rsidP="00717D86">
      <w:pPr>
        <w:pStyle w:val="ListParagraph"/>
        <w:numPr>
          <w:ilvl w:val="0"/>
          <w:numId w:val="39"/>
        </w:numPr>
      </w:pPr>
      <w:r w:rsidRPr="00451925">
        <w:t>Results were based on immature data (where survival outcomes were reported at month 6) and may not be informative for decision making</w:t>
      </w:r>
      <w:r w:rsidR="3CEDDFAA">
        <w:t>.</w:t>
      </w:r>
      <w:r w:rsidRPr="00451925">
        <w:t xml:space="preserve"> </w:t>
      </w:r>
    </w:p>
    <w:p w14:paraId="2437F0F0" w14:textId="06372CCB" w:rsidR="00451925" w:rsidRPr="00451925" w:rsidRDefault="152AC19B" w:rsidP="00717D86">
      <w:pPr>
        <w:pStyle w:val="ListParagraph"/>
        <w:numPr>
          <w:ilvl w:val="0"/>
          <w:numId w:val="39"/>
        </w:numPr>
      </w:pPr>
      <w:r>
        <w:t xml:space="preserve">Analysis was based on patients who received commercial AXI between March 2021 – May 2023 compared to patients (SCHOLAR-5) who initiated historical </w:t>
      </w:r>
      <w:r w:rsidR="0699B834">
        <w:t>SOC</w:t>
      </w:r>
      <w:r>
        <w:t xml:space="preserve"> between July 2014 – December 2020, and may be biased in favour of AXI given older </w:t>
      </w:r>
      <w:r w:rsidR="229A7F20">
        <w:t>SOC</w:t>
      </w:r>
      <w:r>
        <w:t xml:space="preserve"> therapies </w:t>
      </w:r>
      <w:r w:rsidR="6ADE981E">
        <w:t xml:space="preserve">may have been </w:t>
      </w:r>
      <w:r>
        <w:t xml:space="preserve">used. It was also unclear what </w:t>
      </w:r>
      <w:r w:rsidR="10C137D7">
        <w:t>SOC</w:t>
      </w:r>
      <w:r>
        <w:t xml:space="preserve"> treatments were received by the SCHOLAR-5 cohort as this was not reported</w:t>
      </w:r>
      <w:r w:rsidR="0A976C45">
        <w:t>.</w:t>
      </w:r>
      <w:r>
        <w:t xml:space="preserve"> </w:t>
      </w:r>
    </w:p>
    <w:p w14:paraId="1122DCFD" w14:textId="68BF963E" w:rsidR="00451925" w:rsidRPr="00451925" w:rsidRDefault="00451925" w:rsidP="00717D86">
      <w:pPr>
        <w:pStyle w:val="ListParagraph"/>
        <w:numPr>
          <w:ilvl w:val="0"/>
          <w:numId w:val="39"/>
        </w:numPr>
      </w:pPr>
      <w:r w:rsidRPr="00451925">
        <w:t xml:space="preserve">It was unclear how response to treatment was assessed, or how censoring was applied in both cohorts as this was not reported by the </w:t>
      </w:r>
      <w:r w:rsidR="00E25C70">
        <w:t>ADAR</w:t>
      </w:r>
      <w:r w:rsidRPr="00451925">
        <w:t xml:space="preserve"> or </w:t>
      </w:r>
      <w:proofErr w:type="spellStart"/>
      <w:r w:rsidRPr="00451925">
        <w:t>Kambhampati</w:t>
      </w:r>
      <w:proofErr w:type="spellEnd"/>
      <w:r w:rsidRPr="00451925">
        <w:t xml:space="preserve"> (2023</w:t>
      </w:r>
      <w:r>
        <w:t>)</w:t>
      </w:r>
      <w:r w:rsidR="47A911DD">
        <w:t>.</w:t>
      </w:r>
      <w:r w:rsidRPr="00451925">
        <w:t xml:space="preserve"> </w:t>
      </w:r>
    </w:p>
    <w:p w14:paraId="0184996D" w14:textId="2C145610" w:rsidR="00451925" w:rsidRPr="00E25C70" w:rsidRDefault="152AC19B" w:rsidP="00717D86">
      <w:pPr>
        <w:pStyle w:val="ListParagraph"/>
        <w:numPr>
          <w:ilvl w:val="0"/>
          <w:numId w:val="39"/>
        </w:numPr>
      </w:pPr>
      <w:r>
        <w:t>Patients could be assessed as ‘progressed’ more quickly whil</w:t>
      </w:r>
      <w:r w:rsidR="2F2AE5FF">
        <w:t>e</w:t>
      </w:r>
      <w:r>
        <w:t xml:space="preserve"> receiving </w:t>
      </w:r>
      <w:r w:rsidR="211A4104">
        <w:t>SOC</w:t>
      </w:r>
      <w:r>
        <w:t xml:space="preserve"> in SCHOLAR-5 compared to AXI, as clinicians may be more likely to push </w:t>
      </w:r>
      <w:r w:rsidR="6B400249">
        <w:t>SOC</w:t>
      </w:r>
      <w:r>
        <w:t xml:space="preserve"> patients to progress quicker </w:t>
      </w:r>
      <w:proofErr w:type="gramStart"/>
      <w:r>
        <w:t>in order to</w:t>
      </w:r>
      <w:proofErr w:type="gramEnd"/>
      <w:r>
        <w:t xml:space="preserve"> switch treatments when </w:t>
      </w:r>
      <w:r w:rsidR="6762673A">
        <w:t>SOC</w:t>
      </w:r>
      <w:r>
        <w:t xml:space="preserve"> was perceived as not working, particularly in a real-world setting</w:t>
      </w:r>
      <w:r w:rsidR="6BB0F4DA">
        <w:t>.</w:t>
      </w:r>
      <w:r>
        <w:t xml:space="preserve"> </w:t>
      </w:r>
    </w:p>
    <w:p w14:paraId="56FE90F6" w14:textId="5A59B890" w:rsidR="00451925" w:rsidRPr="00E25C70" w:rsidRDefault="00451925" w:rsidP="00717D86">
      <w:pPr>
        <w:pStyle w:val="ListParagraph"/>
        <w:numPr>
          <w:ilvl w:val="0"/>
          <w:numId w:val="39"/>
        </w:numPr>
      </w:pPr>
      <w:r w:rsidRPr="00E25C70">
        <w:t xml:space="preserve">Bias may be introduced from the misalignment of the timing of assessments between the two studies, potentially overestimating time to progression in the study with less frequent disease assessments. The timing of assessments was not known as this was not reported for both cohorts. </w:t>
      </w:r>
    </w:p>
    <w:p w14:paraId="42F3610A" w14:textId="7F0C0734" w:rsidR="00851FD4" w:rsidRDefault="00451925" w:rsidP="00717D86">
      <w:r w:rsidRPr="00451925">
        <w:lastRenderedPageBreak/>
        <w:t>Therefore, the results of this analysis should be interpreted with caution and considered highly uncertain.</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6F5296FF" w14:textId="491A9CFF" w:rsidR="008658DD" w:rsidRPr="008658DD" w:rsidRDefault="6E74A3FB" w:rsidP="00717D86">
      <w:r>
        <w:t xml:space="preserve">The ADAR described AXI as superior compared with </w:t>
      </w:r>
      <w:r w:rsidR="15346E41">
        <w:t>SOC</w:t>
      </w:r>
      <w:r>
        <w:t xml:space="preserve"> in terms of effectiveness.</w:t>
      </w:r>
      <w:r w:rsidR="415242EF">
        <w:t xml:space="preserve"> </w:t>
      </w:r>
      <w:r w:rsidR="33E62D3E">
        <w:t>W</w:t>
      </w:r>
      <w:r>
        <w:t xml:space="preserve">hile the results suggested superiority of AXI compared to </w:t>
      </w:r>
      <w:r w:rsidR="55EDB81A">
        <w:t>SOC</w:t>
      </w:r>
      <w:r>
        <w:t xml:space="preserve"> (reported for ZUMA-5 vs SCHOLAR-5 (Ghione 2022); and AXI RWE vs SCHOLAR-5 (</w:t>
      </w:r>
      <w:proofErr w:type="spellStart"/>
      <w:r>
        <w:t>Kambhampati</w:t>
      </w:r>
      <w:proofErr w:type="spellEnd"/>
      <w:r>
        <w:t xml:space="preserve"> 2023)), key issues identified </w:t>
      </w:r>
      <w:r w:rsidR="3800509F">
        <w:t xml:space="preserve">in the </w:t>
      </w:r>
      <w:r w:rsidR="6BFC5F18">
        <w:t>Commentary</w:t>
      </w:r>
      <w:r>
        <w:t xml:space="preserve"> included: </w:t>
      </w:r>
    </w:p>
    <w:p w14:paraId="4E779D76" w14:textId="7A9C352F" w:rsidR="008658DD" w:rsidRPr="008658DD" w:rsidRDefault="008658DD" w:rsidP="00717D86">
      <w:pPr>
        <w:pStyle w:val="ListParagraph"/>
        <w:numPr>
          <w:ilvl w:val="0"/>
          <w:numId w:val="40"/>
        </w:numPr>
      </w:pPr>
      <w:r w:rsidRPr="008658DD">
        <w:t xml:space="preserve">Potential transitivity issues may exist between the cohorts used in the </w:t>
      </w:r>
      <w:r w:rsidR="00E25C70">
        <w:t>ADAR</w:t>
      </w:r>
      <w:r w:rsidRPr="008658DD">
        <w:t>’s comparative analysis, despite the application of propensity scoring</w:t>
      </w:r>
      <w:r w:rsidR="048A9D91">
        <w:t>.</w:t>
      </w:r>
      <w:r w:rsidRPr="008658DD">
        <w:t xml:space="preserve"> </w:t>
      </w:r>
    </w:p>
    <w:p w14:paraId="5DE09633" w14:textId="55B1362C" w:rsidR="008658DD" w:rsidRPr="008658DD" w:rsidRDefault="008658DD" w:rsidP="00717D86">
      <w:pPr>
        <w:pStyle w:val="ListParagraph"/>
        <w:numPr>
          <w:ilvl w:val="0"/>
          <w:numId w:val="40"/>
        </w:numPr>
      </w:pPr>
      <w:r w:rsidRPr="008658DD">
        <w:t xml:space="preserve">Lack of consistency (and </w:t>
      </w:r>
      <w:r w:rsidR="008A58CE">
        <w:t>information</w:t>
      </w:r>
      <w:r w:rsidRPr="008658DD">
        <w:t>) on how response to treatment was assessed between different cohorts</w:t>
      </w:r>
      <w:r w:rsidR="5121D838">
        <w:t>.</w:t>
      </w:r>
    </w:p>
    <w:p w14:paraId="0BEF16AB" w14:textId="7831D51D" w:rsidR="008658DD" w:rsidRPr="00E25C70" w:rsidRDefault="008658DD" w:rsidP="00717D86">
      <w:pPr>
        <w:pStyle w:val="ListParagraph"/>
        <w:numPr>
          <w:ilvl w:val="0"/>
          <w:numId w:val="40"/>
        </w:numPr>
      </w:pPr>
      <w:r>
        <w:t xml:space="preserve">Censoring methodology may favour AXI in ZUMA-5, while censoring rules were not reported for the SCHOLAR-5 cohort or in the analysis by </w:t>
      </w:r>
      <w:proofErr w:type="spellStart"/>
      <w:r>
        <w:t>Kambhampati</w:t>
      </w:r>
      <w:proofErr w:type="spellEnd"/>
      <w:r>
        <w:t xml:space="preserve"> (2023). </w:t>
      </w:r>
    </w:p>
    <w:p w14:paraId="6E45666D" w14:textId="1E05969C" w:rsidR="008658DD" w:rsidRPr="008658DD" w:rsidRDefault="6E74A3FB" w:rsidP="00717D86">
      <w:r>
        <w:t xml:space="preserve">Overall, </w:t>
      </w:r>
      <w:r w:rsidR="3800509F">
        <w:t xml:space="preserve">the </w:t>
      </w:r>
      <w:r w:rsidR="2F490A45">
        <w:t>Commentary</w:t>
      </w:r>
      <w:r w:rsidR="3800509F">
        <w:t xml:space="preserve"> considered that </w:t>
      </w:r>
      <w:r>
        <w:t xml:space="preserve">while the claim of superior efficacy may be reasonable, the magnitude of benefit was highly uncertain. </w:t>
      </w:r>
    </w:p>
    <w:p w14:paraId="7773D2DC" w14:textId="013BEAB3" w:rsidR="008658DD" w:rsidRPr="008658DD" w:rsidRDefault="6E74A3FB" w:rsidP="00717D86">
      <w:r>
        <w:t xml:space="preserve">The </w:t>
      </w:r>
      <w:r w:rsidR="3800509F">
        <w:t>ADAR</w:t>
      </w:r>
      <w:r>
        <w:t xml:space="preserve"> </w:t>
      </w:r>
      <w:r w:rsidR="3800509F">
        <w:t xml:space="preserve">described </w:t>
      </w:r>
      <w:r>
        <w:t xml:space="preserve">that AXI was inferior in terms of safety compared with </w:t>
      </w:r>
      <w:r w:rsidR="59888E73">
        <w:t>SOC</w:t>
      </w:r>
      <w:r w:rsidR="69EC9CDE">
        <w:t xml:space="preserve">. </w:t>
      </w:r>
      <w:r w:rsidR="7AEC24F7">
        <w:t xml:space="preserve">While a clinical claim of inferior safety vs </w:t>
      </w:r>
      <w:r w:rsidR="2D897FC8">
        <w:t>SOC</w:t>
      </w:r>
      <w:r w:rsidR="7AEC24F7">
        <w:t xml:space="preserve"> was made, the </w:t>
      </w:r>
      <w:r w:rsidR="6ADE981E">
        <w:t>ADAR</w:t>
      </w:r>
      <w:r w:rsidR="7AEC24F7">
        <w:t xml:space="preserve"> claimed that the adverse event profile of AXI is manageable in clinical practice. </w:t>
      </w:r>
      <w:r w:rsidR="69EC9CDE">
        <w:t xml:space="preserve">The </w:t>
      </w:r>
      <w:r w:rsidR="2F490A45">
        <w:t>Commentary</w:t>
      </w:r>
      <w:r w:rsidR="69EC9CDE">
        <w:t xml:space="preserve"> considered that th</w:t>
      </w:r>
      <w:r w:rsidR="7AEC24F7">
        <w:t>e claim</w:t>
      </w:r>
      <w:r w:rsidR="55B676A3">
        <w:t xml:space="preserve"> </w:t>
      </w:r>
      <w:r w:rsidR="7AEC24F7">
        <w:t>of inferiority safety of AXI</w:t>
      </w:r>
      <w:r>
        <w:t xml:space="preserve"> may be reasonable, though it was difficult to determine with certainty (including the extent of this inferiority) given the limited data presented. </w:t>
      </w:r>
    </w:p>
    <w:p w14:paraId="0D09C9E4" w14:textId="11BEBD87" w:rsidR="00772829" w:rsidRPr="00CE28E3" w:rsidRDefault="00B27795" w:rsidP="002A18BE">
      <w:pPr>
        <w:pStyle w:val="Heading2"/>
        <w:numPr>
          <w:ilvl w:val="0"/>
          <w:numId w:val="0"/>
        </w:numPr>
      </w:pPr>
      <w:bookmarkStart w:id="34" w:name="_Toc69491425"/>
      <w:r>
        <w:t>1</w:t>
      </w:r>
      <w:r w:rsidR="002176CC">
        <w:t>3</w:t>
      </w:r>
      <w:r w:rsidR="00C36633">
        <w:t>.</w:t>
      </w:r>
      <w:r>
        <w:tab/>
      </w:r>
      <w:r w:rsidR="00772829">
        <w:t>Economic evaluation</w:t>
      </w:r>
      <w:bookmarkEnd w:id="34"/>
    </w:p>
    <w:p w14:paraId="74B9AAAA" w14:textId="5D79AF0B" w:rsidR="00850A36" w:rsidRPr="00B26D37" w:rsidRDefault="614747C9" w:rsidP="00850A36">
      <w:r>
        <w:t xml:space="preserve">Based on the ADAR’s claim of superior efficacy and inferior safety, the ADAR presented a cost-utility analysis examining the cost-effectiveness of AXI </w:t>
      </w:r>
      <w:r w:rsidR="74F13029">
        <w:t>v</w:t>
      </w:r>
      <w:r w:rsidR="52218991">
        <w:t>er</w:t>
      </w:r>
      <w:r w:rsidR="74F13029">
        <w:t>s</w:t>
      </w:r>
      <w:r w:rsidR="52218991">
        <w:t xml:space="preserve">us </w:t>
      </w:r>
      <w:r w:rsidR="2557A9A2">
        <w:t>SOC</w:t>
      </w:r>
      <w:r w:rsidR="1A0FB877">
        <w:t xml:space="preserve"> </w:t>
      </w:r>
      <w:r>
        <w:t>for the treatment of patients</w:t>
      </w:r>
      <w:r w:rsidR="062AA461">
        <w:t xml:space="preserve"> with r/r FL </w:t>
      </w:r>
      <w:r>
        <w:t xml:space="preserve">after two or more lines of systemic therapy. The analysis is based on extrapolation of outcomes from ZUMA-5 and data from the propensity weighted SCHOLAR-5 analysis. </w:t>
      </w:r>
    </w:p>
    <w:p w14:paraId="11D54089" w14:textId="76BEF28D" w:rsidR="00850A36" w:rsidRPr="00B26D37" w:rsidRDefault="614747C9" w:rsidP="00850A36">
      <w:r>
        <w:t xml:space="preserve">Though the curves incorporated into the model appeared consistent with the </w:t>
      </w:r>
      <w:r w:rsidR="191222D8">
        <w:t xml:space="preserve">Kaplan Meier </w:t>
      </w:r>
      <w:r>
        <w:t xml:space="preserve">curves presented in </w:t>
      </w:r>
      <w:r w:rsidR="00850A36">
        <w:fldChar w:fldCharType="begin"/>
      </w:r>
      <w:r w:rsidR="00850A36">
        <w:instrText xml:space="preserve"> REF _Ref163122322 \h </w:instrText>
      </w:r>
      <w:r w:rsidR="00850A36">
        <w:fldChar w:fldCharType="separate"/>
      </w:r>
      <w:r w:rsidR="45607DBF">
        <w:t xml:space="preserve">Figure </w:t>
      </w:r>
      <w:r w:rsidR="45607DBF" w:rsidRPr="23728776">
        <w:rPr>
          <w:noProof/>
        </w:rPr>
        <w:t>1</w:t>
      </w:r>
      <w:r w:rsidR="00850A36">
        <w:fldChar w:fldCharType="end"/>
      </w:r>
      <w:r w:rsidR="45607DBF">
        <w:t xml:space="preserve"> and </w:t>
      </w:r>
      <w:r w:rsidR="00850A36">
        <w:fldChar w:fldCharType="begin"/>
      </w:r>
      <w:r w:rsidR="00850A36">
        <w:instrText xml:space="preserve"> REF _Ref163123683 \h </w:instrText>
      </w:r>
      <w:r w:rsidR="00850A36">
        <w:fldChar w:fldCharType="separate"/>
      </w:r>
      <w:r w:rsidR="45607DBF">
        <w:t xml:space="preserve">Figure </w:t>
      </w:r>
      <w:r w:rsidR="45607DBF" w:rsidRPr="23728776">
        <w:rPr>
          <w:noProof/>
        </w:rPr>
        <w:t>2</w:t>
      </w:r>
      <w:r w:rsidR="00850A36">
        <w:fldChar w:fldCharType="end"/>
      </w:r>
      <w:r>
        <w:t xml:space="preserve">, the </w:t>
      </w:r>
      <w:r w:rsidR="06C8E975">
        <w:t>Commentary</w:t>
      </w:r>
      <w:r>
        <w:t xml:space="preserve"> could not fully verify these curves due to the non-transparent nature of the analysis.</w:t>
      </w:r>
    </w:p>
    <w:p w14:paraId="3D197627" w14:textId="468EDB1B" w:rsidR="00850A36" w:rsidRDefault="00850A36" w:rsidP="00850A36">
      <w:r>
        <w:t xml:space="preserve">The ADAR modelled cure using a piecewise approach, assuming a cure point at 5 years, at which </w:t>
      </w:r>
      <w:r w:rsidR="008852BA">
        <w:t>overall survival (OS) in</w:t>
      </w:r>
      <w:r>
        <w:t xml:space="preserve"> 40% of </w:t>
      </w:r>
      <w:r w:rsidR="008852BA">
        <w:t xml:space="preserve">patients in </w:t>
      </w:r>
      <w:r>
        <w:t xml:space="preserve">the AXI arm was assumed to match general population mortality with a standardised mortality ratio applied to model excess mortality (with the remainder </w:t>
      </w:r>
      <w:r w:rsidR="008852BA">
        <w:t xml:space="preserve">of the population </w:t>
      </w:r>
      <w:r>
        <w:t>following the parametric extrapolation of survival</w:t>
      </w:r>
      <w:r w:rsidR="00E25C70">
        <w:t>)</w:t>
      </w:r>
      <w:r>
        <w:t xml:space="preserve">. </w:t>
      </w:r>
    </w:p>
    <w:p w14:paraId="14D67A5B" w14:textId="44483DF7" w:rsidR="00850A36" w:rsidRDefault="00850A36" w:rsidP="00850A36">
      <w:r>
        <w:t>This extrapolation was based on an unanchored propensity weighted comparison of ZUMA 5, (48</w:t>
      </w:r>
      <w:r w:rsidR="00876140">
        <w:t>-</w:t>
      </w:r>
      <w:r>
        <w:t>month median potential follow-up) and SCHOLAR-5.</w:t>
      </w:r>
    </w:p>
    <w:p w14:paraId="0320B3C7" w14:textId="29658F76" w:rsidR="00850A36" w:rsidRDefault="00A322F2" w:rsidP="00850A36">
      <w:r>
        <w:fldChar w:fldCharType="begin"/>
      </w:r>
      <w:r>
        <w:instrText xml:space="preserve"> REF _Ref69725820 \h </w:instrText>
      </w:r>
      <w:r>
        <w:fldChar w:fldCharType="separate"/>
      </w:r>
      <w:r w:rsidRPr="00CE28E3">
        <w:t>Table</w:t>
      </w:r>
      <w:r>
        <w:t> </w:t>
      </w:r>
      <w:r>
        <w:rPr>
          <w:noProof/>
        </w:rPr>
        <w:t>14</w:t>
      </w:r>
      <w:r>
        <w:fldChar w:fldCharType="end"/>
      </w:r>
      <w:r>
        <w:t xml:space="preserve"> </w:t>
      </w:r>
      <w:r w:rsidR="00850A36">
        <w:t xml:space="preserve">presents an overview of the model structure and key model parameters. </w:t>
      </w:r>
    </w:p>
    <w:p w14:paraId="6F5F110A" w14:textId="401F1D7A" w:rsidR="00850A36" w:rsidRPr="00CE28E3" w:rsidRDefault="00850A36" w:rsidP="00850A36">
      <w:pPr>
        <w:pStyle w:val="Caption"/>
        <w:tabs>
          <w:tab w:val="left" w:pos="1134"/>
        </w:tabs>
        <w:ind w:left="1134" w:hanging="1134"/>
      </w:pPr>
      <w:bookmarkStart w:id="35" w:name="_Ref69725820"/>
      <w:r>
        <w:lastRenderedPageBreak/>
        <w:t>Table </w:t>
      </w:r>
      <w:r w:rsidRPr="132E0B0E">
        <w:rPr>
          <w:noProof/>
        </w:rPr>
        <w:fldChar w:fldCharType="begin"/>
      </w:r>
      <w:r w:rsidRPr="132E0B0E">
        <w:rPr>
          <w:noProof/>
        </w:rPr>
        <w:instrText xml:space="preserve"> SEQ Table \* ARABIC </w:instrText>
      </w:r>
      <w:r w:rsidRPr="132E0B0E">
        <w:rPr>
          <w:noProof/>
        </w:rPr>
        <w:fldChar w:fldCharType="separate"/>
      </w:r>
      <w:r w:rsidR="00A322F2" w:rsidRPr="132E0B0E">
        <w:rPr>
          <w:noProof/>
        </w:rPr>
        <w:t>14</w:t>
      </w:r>
      <w:r w:rsidRPr="132E0B0E">
        <w:rPr>
          <w:noProof/>
        </w:rPr>
        <w:fldChar w:fldCharType="end"/>
      </w:r>
      <w:bookmarkEnd w:id="35"/>
      <w:r>
        <w:tab/>
        <w:t xml:space="preserve">Summary of the economic evaluation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508"/>
        <w:gridCol w:w="7559"/>
      </w:tblGrid>
      <w:tr w:rsidR="00A322F2" w:rsidRPr="00695EED" w14:paraId="3F12FCEF" w14:textId="77777777" w:rsidTr="23728776">
        <w:trPr>
          <w:tblHeader/>
        </w:trPr>
        <w:tc>
          <w:tcPr>
            <w:tcW w:w="0" w:type="auto"/>
          </w:tcPr>
          <w:p w14:paraId="2D1DA3B2" w14:textId="77777777" w:rsidR="00A322F2" w:rsidRPr="00695EED" w:rsidRDefault="00A322F2">
            <w:pPr>
              <w:pStyle w:val="TableHeading"/>
              <w:keepLines/>
              <w:rPr>
                <w:rFonts w:asciiTheme="minorHAnsi" w:hAnsiTheme="minorHAnsi" w:cstheme="minorHAnsi"/>
                <w:color w:val="000000" w:themeColor="text1"/>
                <w:szCs w:val="20"/>
              </w:rPr>
            </w:pPr>
            <w:bookmarkStart w:id="36" w:name="Title_Table5"/>
            <w:bookmarkStart w:id="37" w:name="_Hlk68276459"/>
            <w:bookmarkEnd w:id="36"/>
            <w:r w:rsidRPr="00695EED">
              <w:rPr>
                <w:rFonts w:asciiTheme="minorHAnsi" w:hAnsiTheme="minorHAnsi" w:cstheme="minorHAnsi"/>
                <w:color w:val="000000" w:themeColor="text1"/>
                <w:szCs w:val="20"/>
              </w:rPr>
              <w:t>Component</w:t>
            </w:r>
          </w:p>
        </w:tc>
        <w:tc>
          <w:tcPr>
            <w:tcW w:w="7559" w:type="dxa"/>
          </w:tcPr>
          <w:p w14:paraId="651DAF44" w14:textId="77777777" w:rsidR="00A322F2" w:rsidRPr="00695EED" w:rsidRDefault="00A322F2">
            <w:pPr>
              <w:pStyle w:val="TableHeading"/>
              <w:keepLines/>
              <w:jc w:val="center"/>
              <w:rPr>
                <w:rFonts w:asciiTheme="minorHAnsi" w:hAnsiTheme="minorHAnsi" w:cstheme="minorHAnsi"/>
                <w:color w:val="000000" w:themeColor="text1"/>
                <w:szCs w:val="20"/>
              </w:rPr>
            </w:pPr>
            <w:r w:rsidRPr="00695EED">
              <w:rPr>
                <w:rFonts w:asciiTheme="minorHAnsi" w:hAnsiTheme="minorHAnsi" w:cstheme="minorHAnsi"/>
                <w:color w:val="000000" w:themeColor="text1"/>
                <w:szCs w:val="20"/>
              </w:rPr>
              <w:t>Description</w:t>
            </w:r>
          </w:p>
        </w:tc>
      </w:tr>
      <w:tr w:rsidR="00A322F2" w:rsidRPr="00695EED" w14:paraId="1C51BC80" w14:textId="77777777" w:rsidTr="23728776">
        <w:tc>
          <w:tcPr>
            <w:tcW w:w="0" w:type="auto"/>
          </w:tcPr>
          <w:p w14:paraId="567E3098" w14:textId="77777777" w:rsidR="00A322F2" w:rsidRPr="00695EED" w:rsidRDefault="00A322F2">
            <w:pPr>
              <w:pStyle w:val="TableText"/>
              <w:keepNext/>
              <w:keepLines/>
              <w:rPr>
                <w:color w:val="000000" w:themeColor="text1"/>
              </w:rPr>
            </w:pPr>
            <w:r w:rsidRPr="00695EED">
              <w:rPr>
                <w:color w:val="000000" w:themeColor="text1"/>
              </w:rPr>
              <w:t>Perspective</w:t>
            </w:r>
          </w:p>
        </w:tc>
        <w:tc>
          <w:tcPr>
            <w:tcW w:w="7559" w:type="dxa"/>
          </w:tcPr>
          <w:p w14:paraId="421B13E8" w14:textId="77777777" w:rsidR="00A322F2" w:rsidRPr="00695EED" w:rsidRDefault="00A322F2">
            <w:pPr>
              <w:pStyle w:val="TableText"/>
              <w:keepNext/>
              <w:keepLines/>
              <w:rPr>
                <w:color w:val="000000" w:themeColor="text1"/>
              </w:rPr>
            </w:pPr>
            <w:r w:rsidRPr="00695EED">
              <w:rPr>
                <w:color w:val="000000" w:themeColor="text1"/>
              </w:rPr>
              <w:t>Health care system perspective</w:t>
            </w:r>
          </w:p>
        </w:tc>
      </w:tr>
      <w:tr w:rsidR="00A322F2" w:rsidRPr="00695EED" w14:paraId="34336895" w14:textId="77777777" w:rsidTr="23728776">
        <w:trPr>
          <w:tblHeader/>
        </w:trPr>
        <w:tc>
          <w:tcPr>
            <w:tcW w:w="0" w:type="auto"/>
          </w:tcPr>
          <w:p w14:paraId="06B9309A" w14:textId="77777777" w:rsidR="00A322F2" w:rsidRPr="00695EED" w:rsidRDefault="00A322F2">
            <w:pPr>
              <w:pStyle w:val="TableText"/>
              <w:keepNext/>
              <w:keepLines/>
              <w:rPr>
                <w:color w:val="000000" w:themeColor="text1"/>
              </w:rPr>
            </w:pPr>
            <w:r w:rsidRPr="00695EED">
              <w:rPr>
                <w:color w:val="000000" w:themeColor="text1"/>
              </w:rPr>
              <w:t>Population</w:t>
            </w:r>
          </w:p>
        </w:tc>
        <w:tc>
          <w:tcPr>
            <w:tcW w:w="7559" w:type="dxa"/>
          </w:tcPr>
          <w:p w14:paraId="098A3CF8" w14:textId="77777777" w:rsidR="00A322F2" w:rsidRPr="00695EED" w:rsidRDefault="00A322F2">
            <w:pPr>
              <w:pStyle w:val="TableText"/>
              <w:keepNext/>
              <w:keepLines/>
              <w:rPr>
                <w:color w:val="000000" w:themeColor="text1"/>
              </w:rPr>
            </w:pPr>
            <w:r w:rsidRPr="00695EED">
              <w:rPr>
                <w:color w:val="000000" w:themeColor="text1"/>
              </w:rPr>
              <w:t>Adult patients with relapsed or refractory follicular lymphoma after two or more lines of systemic therapy</w:t>
            </w:r>
          </w:p>
        </w:tc>
      </w:tr>
      <w:tr w:rsidR="00A322F2" w:rsidRPr="00695EED" w14:paraId="5675BD39" w14:textId="77777777" w:rsidTr="23728776">
        <w:tc>
          <w:tcPr>
            <w:tcW w:w="0" w:type="auto"/>
          </w:tcPr>
          <w:p w14:paraId="333FDFB7" w14:textId="77777777" w:rsidR="00A322F2" w:rsidRPr="00695EED" w:rsidRDefault="00A322F2">
            <w:pPr>
              <w:pStyle w:val="TableText"/>
              <w:keepNext/>
              <w:keepLines/>
              <w:rPr>
                <w:color w:val="000000" w:themeColor="text1"/>
              </w:rPr>
            </w:pPr>
            <w:r w:rsidRPr="00695EED">
              <w:rPr>
                <w:color w:val="000000" w:themeColor="text1"/>
              </w:rPr>
              <w:t>Prior testing</w:t>
            </w:r>
          </w:p>
        </w:tc>
        <w:tc>
          <w:tcPr>
            <w:tcW w:w="7559" w:type="dxa"/>
          </w:tcPr>
          <w:p w14:paraId="3476432D" w14:textId="77777777" w:rsidR="00A322F2" w:rsidRPr="00695EED" w:rsidRDefault="00A322F2">
            <w:pPr>
              <w:pStyle w:val="TableText"/>
              <w:keepNext/>
              <w:keepLines/>
              <w:rPr>
                <w:color w:val="000000" w:themeColor="text1"/>
              </w:rPr>
            </w:pPr>
            <w:r w:rsidRPr="00695EED">
              <w:rPr>
                <w:color w:val="000000" w:themeColor="text1"/>
              </w:rPr>
              <w:t>Not applicable</w:t>
            </w:r>
          </w:p>
        </w:tc>
      </w:tr>
      <w:tr w:rsidR="00A322F2" w:rsidRPr="00695EED" w14:paraId="69EA2488" w14:textId="77777777" w:rsidTr="23728776">
        <w:tc>
          <w:tcPr>
            <w:tcW w:w="0" w:type="auto"/>
          </w:tcPr>
          <w:p w14:paraId="7DE90992" w14:textId="77777777" w:rsidR="00A322F2" w:rsidRPr="00695EED" w:rsidRDefault="00A322F2">
            <w:pPr>
              <w:pStyle w:val="TableText"/>
              <w:keepNext/>
              <w:keepLines/>
              <w:rPr>
                <w:color w:val="000000" w:themeColor="text1"/>
              </w:rPr>
            </w:pPr>
            <w:r w:rsidRPr="00695EED">
              <w:rPr>
                <w:color w:val="000000" w:themeColor="text1"/>
              </w:rPr>
              <w:t>Comparator</w:t>
            </w:r>
          </w:p>
        </w:tc>
        <w:tc>
          <w:tcPr>
            <w:tcW w:w="7559" w:type="dxa"/>
          </w:tcPr>
          <w:p w14:paraId="70212C62" w14:textId="14C64F75" w:rsidR="00A322F2" w:rsidRPr="00695EED" w:rsidRDefault="5787589A">
            <w:pPr>
              <w:pStyle w:val="TableText"/>
              <w:keepNext/>
              <w:keepLines/>
              <w:rPr>
                <w:color w:val="000000" w:themeColor="text1"/>
              </w:rPr>
            </w:pPr>
            <w:r w:rsidRPr="23728776">
              <w:rPr>
                <w:color w:val="000000" w:themeColor="text1"/>
              </w:rPr>
              <w:t>SOC</w:t>
            </w:r>
            <w:r w:rsidR="737341AE" w:rsidRPr="23728776">
              <w:rPr>
                <w:color w:val="000000" w:themeColor="text1"/>
              </w:rPr>
              <w:t xml:space="preserve"> (including cyclophosphamide, fludarabine, </w:t>
            </w:r>
            <w:proofErr w:type="spellStart"/>
            <w:r w:rsidR="737341AE" w:rsidRPr="23728776">
              <w:rPr>
                <w:color w:val="000000" w:themeColor="text1"/>
              </w:rPr>
              <w:t>bendamustine</w:t>
            </w:r>
            <w:proofErr w:type="spellEnd"/>
            <w:r w:rsidR="737341AE" w:rsidRPr="23728776">
              <w:rPr>
                <w:color w:val="000000" w:themeColor="text1"/>
              </w:rPr>
              <w:t xml:space="preserve">, </w:t>
            </w:r>
            <w:proofErr w:type="spellStart"/>
            <w:r w:rsidR="737341AE" w:rsidRPr="23728776">
              <w:rPr>
                <w:color w:val="000000" w:themeColor="text1"/>
              </w:rPr>
              <w:t>obinutuzumab</w:t>
            </w:r>
            <w:proofErr w:type="spellEnd"/>
            <w:r w:rsidR="737341AE" w:rsidRPr="23728776">
              <w:rPr>
                <w:color w:val="000000" w:themeColor="text1"/>
              </w:rPr>
              <w:t xml:space="preserve">, rituximab, doxorubicin, vincristine, bortezomib, </w:t>
            </w:r>
            <w:proofErr w:type="spellStart"/>
            <w:r w:rsidR="737341AE" w:rsidRPr="23728776">
              <w:rPr>
                <w:color w:val="000000" w:themeColor="text1"/>
              </w:rPr>
              <w:t>idelalisib</w:t>
            </w:r>
            <w:proofErr w:type="spellEnd"/>
            <w:r w:rsidR="737341AE" w:rsidRPr="23728776">
              <w:rPr>
                <w:color w:val="000000" w:themeColor="text1"/>
              </w:rPr>
              <w:t>, prednisolone)</w:t>
            </w:r>
          </w:p>
        </w:tc>
      </w:tr>
      <w:tr w:rsidR="00A322F2" w:rsidRPr="00695EED" w14:paraId="1004CB3F" w14:textId="77777777" w:rsidTr="23728776">
        <w:tc>
          <w:tcPr>
            <w:tcW w:w="0" w:type="auto"/>
          </w:tcPr>
          <w:p w14:paraId="56886533" w14:textId="77777777" w:rsidR="00A322F2" w:rsidRPr="00695EED" w:rsidRDefault="00A322F2">
            <w:pPr>
              <w:pStyle w:val="TableText"/>
              <w:keepNext/>
              <w:keepLines/>
              <w:rPr>
                <w:color w:val="000000" w:themeColor="text1"/>
              </w:rPr>
            </w:pPr>
            <w:r w:rsidRPr="00695EED">
              <w:rPr>
                <w:color w:val="000000" w:themeColor="text1"/>
              </w:rPr>
              <w:t>Type(s) of analysis</w:t>
            </w:r>
          </w:p>
        </w:tc>
        <w:tc>
          <w:tcPr>
            <w:tcW w:w="7559" w:type="dxa"/>
          </w:tcPr>
          <w:p w14:paraId="499F2FAA" w14:textId="77777777" w:rsidR="00A322F2" w:rsidRPr="00695EED" w:rsidRDefault="00A322F2">
            <w:pPr>
              <w:pStyle w:val="TableText"/>
              <w:keepNext/>
              <w:keepLines/>
              <w:rPr>
                <w:color w:val="000000" w:themeColor="text1"/>
              </w:rPr>
            </w:pPr>
            <w:r w:rsidRPr="00695EED">
              <w:rPr>
                <w:color w:val="000000" w:themeColor="text1"/>
              </w:rPr>
              <w:t>Cost-utility analysis</w:t>
            </w:r>
          </w:p>
        </w:tc>
      </w:tr>
      <w:tr w:rsidR="00A322F2" w:rsidRPr="00695EED" w14:paraId="2650593F" w14:textId="77777777" w:rsidTr="23728776">
        <w:tc>
          <w:tcPr>
            <w:tcW w:w="0" w:type="auto"/>
          </w:tcPr>
          <w:p w14:paraId="22F5D953" w14:textId="77777777" w:rsidR="00A322F2" w:rsidRPr="00695EED" w:rsidRDefault="00A322F2">
            <w:pPr>
              <w:pStyle w:val="TableText"/>
              <w:keepNext/>
              <w:keepLines/>
              <w:rPr>
                <w:color w:val="000000" w:themeColor="text1"/>
              </w:rPr>
            </w:pPr>
            <w:r w:rsidRPr="00695EED">
              <w:rPr>
                <w:color w:val="000000" w:themeColor="text1"/>
              </w:rPr>
              <w:t>Outcomes</w:t>
            </w:r>
          </w:p>
        </w:tc>
        <w:tc>
          <w:tcPr>
            <w:tcW w:w="7559" w:type="dxa"/>
          </w:tcPr>
          <w:p w14:paraId="4C9F09C9" w14:textId="77777777" w:rsidR="00A322F2" w:rsidRPr="00695EED" w:rsidRDefault="00A322F2">
            <w:pPr>
              <w:pStyle w:val="TableText"/>
              <w:keepNext/>
              <w:keepLines/>
              <w:rPr>
                <w:color w:val="000000" w:themeColor="text1"/>
              </w:rPr>
            </w:pPr>
            <w:r w:rsidRPr="00695EED">
              <w:rPr>
                <w:color w:val="000000" w:themeColor="text1"/>
              </w:rPr>
              <w:t>Life years gained, quality-adjusted life years</w:t>
            </w:r>
          </w:p>
        </w:tc>
      </w:tr>
      <w:tr w:rsidR="00A322F2" w:rsidRPr="00695EED" w14:paraId="62910356" w14:textId="77777777" w:rsidTr="23728776">
        <w:tc>
          <w:tcPr>
            <w:tcW w:w="0" w:type="auto"/>
          </w:tcPr>
          <w:p w14:paraId="737C9D2D" w14:textId="77777777" w:rsidR="00A322F2" w:rsidRPr="00695EED" w:rsidRDefault="00A322F2">
            <w:pPr>
              <w:pStyle w:val="TableText"/>
              <w:keepNext/>
              <w:keepLines/>
              <w:rPr>
                <w:color w:val="000000" w:themeColor="text1"/>
              </w:rPr>
            </w:pPr>
            <w:r w:rsidRPr="00695EED">
              <w:rPr>
                <w:color w:val="000000" w:themeColor="text1"/>
              </w:rPr>
              <w:t>Time horizon</w:t>
            </w:r>
          </w:p>
        </w:tc>
        <w:tc>
          <w:tcPr>
            <w:tcW w:w="7559" w:type="dxa"/>
          </w:tcPr>
          <w:p w14:paraId="0EA6B8A4" w14:textId="620C1CBC" w:rsidR="00A322F2" w:rsidRPr="00695EED" w:rsidRDefault="00A322F2">
            <w:pPr>
              <w:pStyle w:val="TableText"/>
              <w:keepNext/>
              <w:keepLines/>
              <w:rPr>
                <w:color w:val="000000" w:themeColor="text1"/>
              </w:rPr>
            </w:pPr>
            <w:r w:rsidRPr="00695EED">
              <w:rPr>
                <w:color w:val="000000" w:themeColor="text1"/>
              </w:rPr>
              <w:t xml:space="preserve">30 years in the model base case vs 4 years in the ZUMA-5 </w:t>
            </w:r>
            <w:r w:rsidR="000145DC">
              <w:rPr>
                <w:color w:val="000000" w:themeColor="text1"/>
              </w:rPr>
              <w:t>study</w:t>
            </w:r>
          </w:p>
        </w:tc>
      </w:tr>
      <w:tr w:rsidR="00A322F2" w:rsidRPr="00695EED" w14:paraId="775EB65A" w14:textId="77777777" w:rsidTr="23728776">
        <w:tc>
          <w:tcPr>
            <w:tcW w:w="0" w:type="auto"/>
          </w:tcPr>
          <w:p w14:paraId="7039F100" w14:textId="77777777" w:rsidR="00A322F2" w:rsidRPr="00695EED" w:rsidRDefault="00A322F2">
            <w:pPr>
              <w:pStyle w:val="TableText"/>
              <w:keepNext/>
              <w:keepLines/>
              <w:rPr>
                <w:color w:val="000000" w:themeColor="text1"/>
              </w:rPr>
            </w:pPr>
            <w:r w:rsidRPr="00695EED">
              <w:rPr>
                <w:color w:val="000000" w:themeColor="text1"/>
              </w:rPr>
              <w:t>Computational method</w:t>
            </w:r>
          </w:p>
        </w:tc>
        <w:tc>
          <w:tcPr>
            <w:tcW w:w="7559" w:type="dxa"/>
          </w:tcPr>
          <w:p w14:paraId="79DF8961" w14:textId="77777777" w:rsidR="00A322F2" w:rsidRPr="00695EED" w:rsidRDefault="00A322F2">
            <w:pPr>
              <w:pStyle w:val="TableText"/>
              <w:keepNext/>
              <w:keepLines/>
              <w:rPr>
                <w:color w:val="000000" w:themeColor="text1"/>
              </w:rPr>
            </w:pPr>
            <w:r w:rsidRPr="00695EED">
              <w:rPr>
                <w:color w:val="000000" w:themeColor="text1"/>
              </w:rPr>
              <w:t>Partitioned survival analysis</w:t>
            </w:r>
          </w:p>
        </w:tc>
      </w:tr>
      <w:tr w:rsidR="00A322F2" w:rsidRPr="00695EED" w14:paraId="5F717598" w14:textId="77777777" w:rsidTr="23728776">
        <w:tc>
          <w:tcPr>
            <w:tcW w:w="0" w:type="auto"/>
          </w:tcPr>
          <w:p w14:paraId="07868326" w14:textId="77777777" w:rsidR="00A322F2" w:rsidRPr="00695EED" w:rsidRDefault="00A322F2">
            <w:pPr>
              <w:pStyle w:val="TableText"/>
              <w:keepNext/>
              <w:keepLines/>
              <w:rPr>
                <w:color w:val="000000" w:themeColor="text1"/>
              </w:rPr>
            </w:pPr>
            <w:r w:rsidRPr="00695EED">
              <w:rPr>
                <w:color w:val="000000" w:themeColor="text1"/>
              </w:rPr>
              <w:t>Generation of the base case</w:t>
            </w:r>
          </w:p>
        </w:tc>
        <w:tc>
          <w:tcPr>
            <w:tcW w:w="7559" w:type="dxa"/>
          </w:tcPr>
          <w:p w14:paraId="4E62045F" w14:textId="0116EC25" w:rsidR="00A322F2" w:rsidRPr="00695EED" w:rsidRDefault="00A322F2">
            <w:pPr>
              <w:pStyle w:val="TableText"/>
              <w:keepNext/>
              <w:keepLines/>
              <w:rPr>
                <w:color w:val="000000" w:themeColor="text1"/>
              </w:rPr>
            </w:pPr>
            <w:r w:rsidRPr="00695EED">
              <w:rPr>
                <w:color w:val="000000" w:themeColor="text1"/>
              </w:rPr>
              <w:t>Modelled. The economic model applies outcomes from the modelled comparison of ZUMA-5 vs SCHOLAR-5 presented in</w:t>
            </w:r>
            <w:r w:rsidR="001726E9">
              <w:rPr>
                <w:color w:val="000000" w:themeColor="text1"/>
              </w:rPr>
              <w:t xml:space="preserve"> </w:t>
            </w:r>
            <w:r w:rsidR="001726E9">
              <w:rPr>
                <w:color w:val="000000" w:themeColor="text1"/>
              </w:rPr>
              <w:fldChar w:fldCharType="begin"/>
            </w:r>
            <w:r w:rsidR="001726E9">
              <w:rPr>
                <w:color w:val="000000" w:themeColor="text1"/>
              </w:rPr>
              <w:instrText xml:space="preserve"> REF _Ref163122322 \h </w:instrText>
            </w:r>
            <w:r w:rsidR="001726E9">
              <w:rPr>
                <w:color w:val="000000" w:themeColor="text1"/>
              </w:rPr>
            </w:r>
            <w:r w:rsidR="001726E9">
              <w:rPr>
                <w:color w:val="000000" w:themeColor="text1"/>
              </w:rPr>
              <w:fldChar w:fldCharType="separate"/>
            </w:r>
            <w:r w:rsidR="001726E9">
              <w:t xml:space="preserve">Figure </w:t>
            </w:r>
            <w:r w:rsidR="001726E9">
              <w:rPr>
                <w:noProof/>
              </w:rPr>
              <w:t>1</w:t>
            </w:r>
            <w:r w:rsidR="001726E9">
              <w:rPr>
                <w:color w:val="000000" w:themeColor="text1"/>
              </w:rPr>
              <w:fldChar w:fldCharType="end"/>
            </w:r>
            <w:r w:rsidR="001726E9" w:rsidRPr="001726E9">
              <w:rPr>
                <w:color w:val="000000" w:themeColor="text1"/>
              </w:rPr>
              <w:t xml:space="preserve"> and </w:t>
            </w:r>
            <w:r w:rsidR="001726E9">
              <w:rPr>
                <w:color w:val="000000" w:themeColor="text1"/>
              </w:rPr>
              <w:fldChar w:fldCharType="begin"/>
            </w:r>
            <w:r w:rsidR="001726E9">
              <w:rPr>
                <w:color w:val="000000" w:themeColor="text1"/>
              </w:rPr>
              <w:instrText xml:space="preserve"> REF _Ref163123683 \h </w:instrText>
            </w:r>
            <w:r w:rsidR="001726E9">
              <w:rPr>
                <w:color w:val="000000" w:themeColor="text1"/>
              </w:rPr>
            </w:r>
            <w:r w:rsidR="001726E9">
              <w:rPr>
                <w:color w:val="000000" w:themeColor="text1"/>
              </w:rPr>
              <w:fldChar w:fldCharType="separate"/>
            </w:r>
            <w:r w:rsidR="001726E9">
              <w:t xml:space="preserve">Figure </w:t>
            </w:r>
            <w:r w:rsidR="001726E9">
              <w:rPr>
                <w:noProof/>
              </w:rPr>
              <w:t>2</w:t>
            </w:r>
            <w:r w:rsidR="001726E9">
              <w:rPr>
                <w:color w:val="000000" w:themeColor="text1"/>
              </w:rPr>
              <w:fldChar w:fldCharType="end"/>
            </w:r>
            <w:r w:rsidRPr="00695EED">
              <w:rPr>
                <w:color w:val="000000" w:themeColor="text1"/>
              </w:rPr>
              <w:t xml:space="preserve"> . </w:t>
            </w:r>
            <w:r w:rsidRPr="008852BA">
              <w:rPr>
                <w:iCs/>
                <w:color w:val="000000" w:themeColor="text1"/>
              </w:rPr>
              <w:t>(Based on the propensity weighting of SCHOLAR-5 and updated ZUMA-5 results)</w:t>
            </w:r>
            <w:r w:rsidR="008852BA">
              <w:rPr>
                <w:iCs/>
                <w:color w:val="000000" w:themeColor="text1"/>
              </w:rPr>
              <w:t>.</w:t>
            </w:r>
          </w:p>
        </w:tc>
      </w:tr>
      <w:tr w:rsidR="00A322F2" w:rsidRPr="00695EED" w14:paraId="1AC01FE0" w14:textId="77777777" w:rsidTr="23728776">
        <w:tc>
          <w:tcPr>
            <w:tcW w:w="0" w:type="auto"/>
          </w:tcPr>
          <w:p w14:paraId="1EB93EE8" w14:textId="77777777" w:rsidR="00A322F2" w:rsidRPr="00695EED" w:rsidRDefault="00A322F2">
            <w:pPr>
              <w:pStyle w:val="TableText"/>
              <w:keepNext/>
              <w:keepLines/>
              <w:rPr>
                <w:color w:val="000000" w:themeColor="text1"/>
              </w:rPr>
            </w:pPr>
            <w:r w:rsidRPr="00695EED">
              <w:rPr>
                <w:color w:val="000000" w:themeColor="text1"/>
              </w:rPr>
              <w:t>Health states</w:t>
            </w:r>
          </w:p>
        </w:tc>
        <w:tc>
          <w:tcPr>
            <w:tcW w:w="7559" w:type="dxa"/>
          </w:tcPr>
          <w:p w14:paraId="43AF1955" w14:textId="77777777" w:rsidR="00A322F2" w:rsidRPr="00695EED" w:rsidRDefault="00A322F2">
            <w:pPr>
              <w:pStyle w:val="TableText"/>
              <w:keepNext/>
              <w:keepLines/>
              <w:rPr>
                <w:color w:val="000000" w:themeColor="text1"/>
              </w:rPr>
            </w:pPr>
            <w:r w:rsidRPr="00695EED">
              <w:rPr>
                <w:color w:val="000000" w:themeColor="text1"/>
              </w:rPr>
              <w:t>Progression free survival</w:t>
            </w:r>
          </w:p>
          <w:p w14:paraId="2F6B9D8F" w14:textId="77777777" w:rsidR="00A322F2" w:rsidRPr="00695EED" w:rsidRDefault="00A322F2">
            <w:pPr>
              <w:pStyle w:val="TableText"/>
              <w:keepNext/>
              <w:keepLines/>
              <w:rPr>
                <w:color w:val="000000" w:themeColor="text1"/>
              </w:rPr>
            </w:pPr>
            <w:r w:rsidRPr="00695EED">
              <w:rPr>
                <w:color w:val="000000" w:themeColor="text1"/>
              </w:rPr>
              <w:t xml:space="preserve">Progressed </w:t>
            </w:r>
            <w:proofErr w:type="gramStart"/>
            <w:r w:rsidRPr="00695EED">
              <w:rPr>
                <w:color w:val="000000" w:themeColor="text1"/>
              </w:rPr>
              <w:t>disease</w:t>
            </w:r>
            <w:proofErr w:type="gramEnd"/>
          </w:p>
          <w:p w14:paraId="4E883BF5" w14:textId="77777777" w:rsidR="00A322F2" w:rsidRPr="00695EED" w:rsidRDefault="00A322F2">
            <w:pPr>
              <w:pStyle w:val="TableText"/>
              <w:keepNext/>
              <w:keepLines/>
              <w:rPr>
                <w:color w:val="000000" w:themeColor="text1"/>
              </w:rPr>
            </w:pPr>
            <w:r w:rsidRPr="00695EED">
              <w:rPr>
                <w:color w:val="000000" w:themeColor="text1"/>
              </w:rPr>
              <w:t>Dead</w:t>
            </w:r>
          </w:p>
        </w:tc>
      </w:tr>
      <w:tr w:rsidR="00A322F2" w:rsidRPr="00695EED" w14:paraId="61306108" w14:textId="77777777" w:rsidTr="23728776">
        <w:tc>
          <w:tcPr>
            <w:tcW w:w="0" w:type="auto"/>
          </w:tcPr>
          <w:p w14:paraId="5793872D" w14:textId="77777777" w:rsidR="00A322F2" w:rsidRPr="00695EED" w:rsidRDefault="00A322F2">
            <w:pPr>
              <w:pStyle w:val="TableText"/>
              <w:keepNext/>
              <w:keepLines/>
              <w:rPr>
                <w:color w:val="000000" w:themeColor="text1"/>
              </w:rPr>
            </w:pPr>
            <w:r w:rsidRPr="00695EED">
              <w:rPr>
                <w:color w:val="000000" w:themeColor="text1"/>
              </w:rPr>
              <w:t>Cycle length</w:t>
            </w:r>
          </w:p>
        </w:tc>
        <w:tc>
          <w:tcPr>
            <w:tcW w:w="7559" w:type="dxa"/>
          </w:tcPr>
          <w:p w14:paraId="51B5A908" w14:textId="77777777" w:rsidR="00A322F2" w:rsidRPr="00695EED" w:rsidRDefault="00A322F2">
            <w:pPr>
              <w:pStyle w:val="TableText"/>
              <w:keepNext/>
              <w:keepLines/>
              <w:rPr>
                <w:i/>
                <w:iCs/>
                <w:color w:val="000000" w:themeColor="text1"/>
              </w:rPr>
            </w:pPr>
            <w:r w:rsidRPr="00695EED">
              <w:rPr>
                <w:color w:val="000000" w:themeColor="text1"/>
              </w:rPr>
              <w:t xml:space="preserve">1 month - </w:t>
            </w:r>
            <w:r w:rsidRPr="00B26D37">
              <w:rPr>
                <w:color w:val="000000" w:themeColor="text1"/>
              </w:rPr>
              <w:t>Half cycle correction was applied for costs (except for those assumed to occur at the start of the model) and outcomes.</w:t>
            </w:r>
            <w:r w:rsidRPr="00695EED">
              <w:rPr>
                <w:i/>
                <w:iCs/>
                <w:color w:val="000000" w:themeColor="text1"/>
              </w:rPr>
              <w:t xml:space="preserve"> </w:t>
            </w:r>
          </w:p>
        </w:tc>
      </w:tr>
      <w:tr w:rsidR="00A322F2" w:rsidRPr="00695EED" w14:paraId="436983FB" w14:textId="77777777" w:rsidTr="23728776">
        <w:tc>
          <w:tcPr>
            <w:tcW w:w="0" w:type="auto"/>
          </w:tcPr>
          <w:p w14:paraId="18075B5B" w14:textId="77777777" w:rsidR="00A322F2" w:rsidRPr="00695EED" w:rsidRDefault="00A322F2">
            <w:pPr>
              <w:pStyle w:val="TableText"/>
              <w:keepNext/>
              <w:keepLines/>
              <w:rPr>
                <w:color w:val="000000" w:themeColor="text1"/>
              </w:rPr>
            </w:pPr>
            <w:r w:rsidRPr="00695EED">
              <w:rPr>
                <w:color w:val="000000" w:themeColor="text1"/>
              </w:rPr>
              <w:t>Transition probabilities</w:t>
            </w:r>
          </w:p>
        </w:tc>
        <w:tc>
          <w:tcPr>
            <w:tcW w:w="7559" w:type="dxa"/>
          </w:tcPr>
          <w:p w14:paraId="6D4877AA" w14:textId="664993EA" w:rsidR="00A322F2" w:rsidRPr="00695EED" w:rsidRDefault="737341AE">
            <w:pPr>
              <w:pStyle w:val="TableText"/>
              <w:keepNext/>
              <w:keepLines/>
              <w:rPr>
                <w:color w:val="000000" w:themeColor="text1"/>
              </w:rPr>
            </w:pPr>
            <w:r w:rsidRPr="23728776">
              <w:rPr>
                <w:color w:val="000000" w:themeColor="text1"/>
              </w:rPr>
              <w:t xml:space="preserve">Extrapolated survival data (PFS and OS) for AXI and </w:t>
            </w:r>
            <w:r w:rsidR="49D6CA2B" w:rsidRPr="23728776">
              <w:rPr>
                <w:color w:val="000000" w:themeColor="text1"/>
              </w:rPr>
              <w:t>SOC</w:t>
            </w:r>
            <w:r w:rsidRPr="23728776">
              <w:rPr>
                <w:color w:val="000000" w:themeColor="text1"/>
              </w:rPr>
              <w:t xml:space="preserve"> derived from the comparison of ZUMA-5 vs SCHOLAR-5 and background (all-cause) mortality used to transition patients between health states. </w:t>
            </w:r>
            <w:r w:rsidR="3EE172A3" w:rsidRPr="23728776">
              <w:rPr>
                <w:color w:val="000000" w:themeColor="text1"/>
              </w:rPr>
              <w:t>(</w:t>
            </w:r>
            <w:r w:rsidRPr="23728776">
              <w:rPr>
                <w:color w:val="000000" w:themeColor="text1"/>
              </w:rPr>
              <w:t>In addition to extrapolation, cure was assumed for all progression free AXI patients at 5 years, after which point a SMR of 1.09 was applied</w:t>
            </w:r>
            <w:r w:rsidR="3EE172A3" w:rsidRPr="23728776">
              <w:rPr>
                <w:color w:val="000000" w:themeColor="text1"/>
              </w:rPr>
              <w:t>)</w:t>
            </w:r>
            <w:r w:rsidRPr="23728776">
              <w:rPr>
                <w:color w:val="000000" w:themeColor="text1"/>
              </w:rPr>
              <w:t>.</w:t>
            </w:r>
            <w:r w:rsidRPr="23728776">
              <w:rPr>
                <w:i/>
                <w:iCs/>
                <w:color w:val="000000" w:themeColor="text1"/>
              </w:rPr>
              <w:t xml:space="preserve"> </w:t>
            </w:r>
          </w:p>
        </w:tc>
      </w:tr>
      <w:tr w:rsidR="00A322F2" w:rsidRPr="00695EED" w14:paraId="702EE800" w14:textId="77777777" w:rsidTr="23728776">
        <w:tc>
          <w:tcPr>
            <w:tcW w:w="0" w:type="auto"/>
          </w:tcPr>
          <w:p w14:paraId="41F91058" w14:textId="77777777" w:rsidR="00A322F2" w:rsidRPr="00695EED" w:rsidRDefault="00A322F2">
            <w:pPr>
              <w:pStyle w:val="TableText"/>
              <w:keepNext/>
              <w:keepLines/>
              <w:rPr>
                <w:color w:val="000000" w:themeColor="text1"/>
              </w:rPr>
            </w:pPr>
            <w:r w:rsidRPr="00695EED">
              <w:rPr>
                <w:color w:val="000000" w:themeColor="text1"/>
              </w:rPr>
              <w:t>Discount rate</w:t>
            </w:r>
          </w:p>
        </w:tc>
        <w:tc>
          <w:tcPr>
            <w:tcW w:w="7559" w:type="dxa"/>
          </w:tcPr>
          <w:p w14:paraId="0AF4E9D9" w14:textId="77777777" w:rsidR="00A322F2" w:rsidRPr="00695EED" w:rsidRDefault="00A322F2">
            <w:pPr>
              <w:pStyle w:val="TableText"/>
              <w:keepNext/>
              <w:keepLines/>
              <w:rPr>
                <w:color w:val="000000" w:themeColor="text1"/>
              </w:rPr>
            </w:pPr>
            <w:r w:rsidRPr="00695EED">
              <w:rPr>
                <w:color w:val="000000" w:themeColor="text1"/>
              </w:rPr>
              <w:t>5% for both costs and outcomes</w:t>
            </w:r>
          </w:p>
        </w:tc>
      </w:tr>
      <w:tr w:rsidR="00A322F2" w:rsidRPr="00695EED" w14:paraId="202AD89C" w14:textId="77777777" w:rsidTr="23728776">
        <w:tc>
          <w:tcPr>
            <w:tcW w:w="0" w:type="auto"/>
          </w:tcPr>
          <w:p w14:paraId="5287401C" w14:textId="77777777" w:rsidR="00A322F2" w:rsidRPr="00695EED" w:rsidRDefault="00A322F2">
            <w:pPr>
              <w:pStyle w:val="TableText"/>
              <w:keepNext/>
              <w:keepLines/>
              <w:rPr>
                <w:color w:val="000000" w:themeColor="text1"/>
              </w:rPr>
            </w:pPr>
            <w:r w:rsidRPr="00695EED">
              <w:rPr>
                <w:color w:val="000000" w:themeColor="text1"/>
              </w:rPr>
              <w:t>Software</w:t>
            </w:r>
          </w:p>
        </w:tc>
        <w:tc>
          <w:tcPr>
            <w:tcW w:w="7559" w:type="dxa"/>
          </w:tcPr>
          <w:p w14:paraId="29B3529B" w14:textId="77777777" w:rsidR="00A322F2" w:rsidRPr="00695EED" w:rsidRDefault="00A322F2">
            <w:pPr>
              <w:pStyle w:val="TableText"/>
              <w:keepNext/>
              <w:keepLines/>
              <w:rPr>
                <w:color w:val="000000" w:themeColor="text1"/>
              </w:rPr>
            </w:pPr>
            <w:r w:rsidRPr="00695EED">
              <w:rPr>
                <w:color w:val="000000" w:themeColor="text1"/>
              </w:rPr>
              <w:t>Microsoft Excel</w:t>
            </w:r>
          </w:p>
        </w:tc>
      </w:tr>
    </w:tbl>
    <w:p w14:paraId="26C4A181" w14:textId="025F4E1E" w:rsidR="00850A36" w:rsidRDefault="00850A36" w:rsidP="001726E9">
      <w:pPr>
        <w:pStyle w:val="TableFooter"/>
      </w:pPr>
      <w:r w:rsidRPr="00695EED">
        <w:t xml:space="preserve">Source: Table 52 of </w:t>
      </w:r>
      <w:r w:rsidR="001726E9">
        <w:t xml:space="preserve">MSAC 1771 </w:t>
      </w:r>
      <w:proofErr w:type="spellStart"/>
      <w:r w:rsidRPr="00695EED">
        <w:t>ADAR</w:t>
      </w:r>
      <w:r w:rsidR="001726E9">
        <w:t>+in-line</w:t>
      </w:r>
      <w:proofErr w:type="spellEnd"/>
      <w:r w:rsidR="001726E9">
        <w:t xml:space="preserve"> commentary</w:t>
      </w:r>
      <w:r w:rsidRPr="00695EED">
        <w:t xml:space="preserve">. </w:t>
      </w:r>
    </w:p>
    <w:p w14:paraId="60749A9E" w14:textId="5B1D5586" w:rsidR="00850A36" w:rsidRPr="00695EED" w:rsidRDefault="614747C9" w:rsidP="00850A36">
      <w:pPr>
        <w:pStyle w:val="TableFooter"/>
      </w:pPr>
      <w:r>
        <w:t>AXI = axicabtagene ciloleucel; OS = overall survival; PFS = progression free survival; SMR = standardised mortality ratio</w:t>
      </w:r>
      <w:r w:rsidR="3DDFF1B7">
        <w:t>; SOC = standard of care</w:t>
      </w:r>
    </w:p>
    <w:bookmarkEnd w:id="37"/>
    <w:p w14:paraId="745C878C" w14:textId="6C36A06C" w:rsidR="00850A36" w:rsidRDefault="00850A36" w:rsidP="00850A36">
      <w:r>
        <w:t>From the Kaplan Meier data of ZUMA-5</w:t>
      </w:r>
      <w:r w:rsidR="008852BA">
        <w:t>,</w:t>
      </w:r>
      <w:r>
        <w:t xml:space="preserve"> OS for AXI was modelled up to 5 years using an exponential extrapolation and PFS was extrapolated using a log-logistic extrapolation. After 5 years, </w:t>
      </w:r>
      <w:r w:rsidR="00AD2620" w:rsidRPr="00AD2620">
        <w:t xml:space="preserve">cure was assumed for all progression free AXI patients, after which point </w:t>
      </w:r>
      <w:r>
        <w:t xml:space="preserve">a survival matched general population mortality and a standardised mortality ratio of 1.09 </w:t>
      </w:r>
      <w:r w:rsidR="008C338D">
        <w:t xml:space="preserve">was applied </w:t>
      </w:r>
      <w:r>
        <w:t>(based on Maurer 2014).</w:t>
      </w:r>
    </w:p>
    <w:p w14:paraId="1CC8F222" w14:textId="4A86B040" w:rsidR="00850A36" w:rsidRDefault="614747C9" w:rsidP="00850A36">
      <w:r>
        <w:t xml:space="preserve">From the propensity weighted SCHOLAR-5 curve, OS for </w:t>
      </w:r>
      <w:r w:rsidR="48ECDC2A">
        <w:t>SOC</w:t>
      </w:r>
      <w:r w:rsidR="623B3189">
        <w:t xml:space="preserve"> </w:t>
      </w:r>
      <w:r>
        <w:t xml:space="preserve">was modelled up to the end of the time horizon (30 years) using a Weibull curve and PFS was modelled </w:t>
      </w:r>
      <w:r w:rsidR="3EE172A3">
        <w:t xml:space="preserve">by </w:t>
      </w:r>
      <w:r>
        <w:t xml:space="preserve">an exponential curve. No cure was assumed for </w:t>
      </w:r>
      <w:r w:rsidR="5764D06A">
        <w:t>SOC</w:t>
      </w:r>
      <w:r>
        <w:t>.</w:t>
      </w:r>
    </w:p>
    <w:p w14:paraId="63FDC7F5" w14:textId="74931609" w:rsidR="00850A36" w:rsidRDefault="008852BA" w:rsidP="00850A36">
      <w:r>
        <w:fldChar w:fldCharType="begin"/>
      </w:r>
      <w:r>
        <w:instrText xml:space="preserve"> REF OLE_LINK1 \h </w:instrText>
      </w:r>
      <w:r>
        <w:fldChar w:fldCharType="separate"/>
      </w:r>
      <w:r w:rsidRPr="0044214E">
        <w:rPr>
          <w:lang w:val="en-GB"/>
        </w:rPr>
        <w:t xml:space="preserve">Figure </w:t>
      </w:r>
      <w:r>
        <w:rPr>
          <w:noProof/>
          <w:lang w:val="en-GB"/>
        </w:rPr>
        <w:t>3</w:t>
      </w:r>
      <w:r>
        <w:fldChar w:fldCharType="end"/>
      </w:r>
      <w:r>
        <w:t xml:space="preserve"> </w:t>
      </w:r>
      <w:r w:rsidR="00850A36">
        <w:t>presents the survival curves in the economic evaluation.</w:t>
      </w:r>
    </w:p>
    <w:p w14:paraId="19ECF865" w14:textId="19A18A91" w:rsidR="00850A36" w:rsidRDefault="00850A36" w:rsidP="00850A36">
      <w:pPr>
        <w:pStyle w:val="Caption"/>
      </w:pPr>
      <w:bookmarkStart w:id="38" w:name="OLE_LINK1"/>
      <w:r w:rsidRPr="132E0B0E">
        <w:rPr>
          <w:lang w:val="en-GB"/>
        </w:rPr>
        <w:lastRenderedPageBreak/>
        <w:t xml:space="preserve">Figure </w:t>
      </w:r>
      <w:r w:rsidRPr="132E0B0E">
        <w:rPr>
          <w:b w:val="0"/>
          <w:bCs w:val="0"/>
          <w:lang w:val="en-GB"/>
        </w:rPr>
        <w:fldChar w:fldCharType="begin"/>
      </w:r>
      <w:r w:rsidRPr="132E0B0E">
        <w:rPr>
          <w:lang w:val="en-GB"/>
        </w:rPr>
        <w:instrText xml:space="preserve"> SEQ Figure \* MERGEFORMAT </w:instrText>
      </w:r>
      <w:r w:rsidRPr="132E0B0E">
        <w:rPr>
          <w:b w:val="0"/>
          <w:bCs w:val="0"/>
          <w:lang w:val="en-GB"/>
        </w:rPr>
        <w:fldChar w:fldCharType="separate"/>
      </w:r>
      <w:r w:rsidR="008852BA" w:rsidRPr="132E0B0E">
        <w:rPr>
          <w:noProof/>
          <w:lang w:val="en-GB"/>
        </w:rPr>
        <w:t>3</w:t>
      </w:r>
      <w:r w:rsidRPr="132E0B0E">
        <w:rPr>
          <w:b w:val="0"/>
          <w:bCs w:val="0"/>
          <w:lang w:val="en-GB"/>
        </w:rPr>
        <w:fldChar w:fldCharType="end"/>
      </w:r>
      <w:bookmarkEnd w:id="38"/>
      <w:r>
        <w:tab/>
        <w:t xml:space="preserve">Survival curves applied in the base case </w:t>
      </w:r>
      <w:proofErr w:type="gramStart"/>
      <w:r>
        <w:t>analysis</w:t>
      </w:r>
      <w:proofErr w:type="gramEnd"/>
    </w:p>
    <w:p w14:paraId="3301EDDE" w14:textId="77777777" w:rsidR="00850A36" w:rsidRDefault="00850A36" w:rsidP="00850A36">
      <w:r>
        <w:rPr>
          <w:noProof/>
        </w:rPr>
        <w:drawing>
          <wp:inline distT="0" distB="0" distL="0" distR="0" wp14:anchorId="29E8241F" wp14:editId="5BC21BD9">
            <wp:extent cx="5011420" cy="3365500"/>
            <wp:effectExtent l="0" t="0" r="0" b="0"/>
            <wp:docPr id="1631892207" name="Picture 1631892207" descr="Survival curves applied in the base cas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92207" name="Picture 1631892207" descr="Survival curves applied in the base case analys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420" cy="3365500"/>
                    </a:xfrm>
                    <a:prstGeom prst="rect">
                      <a:avLst/>
                    </a:prstGeom>
                    <a:noFill/>
                  </pic:spPr>
                </pic:pic>
              </a:graphicData>
            </a:graphic>
          </wp:inline>
        </w:drawing>
      </w:r>
    </w:p>
    <w:p w14:paraId="6C0F39CF" w14:textId="1451BD59" w:rsidR="00850A36" w:rsidRDefault="00850A36" w:rsidP="00850A36">
      <w:pPr>
        <w:pStyle w:val="TableFooter"/>
      </w:pPr>
      <w:r>
        <w:t xml:space="preserve">Source: Figure 21 of </w:t>
      </w:r>
      <w:r w:rsidR="001726E9">
        <w:t xml:space="preserve">MSAC 1771 </w:t>
      </w:r>
      <w:proofErr w:type="spellStart"/>
      <w:r>
        <w:t>ADAR</w:t>
      </w:r>
      <w:r w:rsidR="001726E9">
        <w:t>+in-line</w:t>
      </w:r>
      <w:proofErr w:type="spellEnd"/>
      <w:r w:rsidR="001726E9">
        <w:t xml:space="preserve"> commentary</w:t>
      </w:r>
    </w:p>
    <w:p w14:paraId="1F29A413" w14:textId="77777777" w:rsidR="00850A36" w:rsidRDefault="00850A36" w:rsidP="00850A36">
      <w:pPr>
        <w:pStyle w:val="TableFooter"/>
      </w:pPr>
      <w:proofErr w:type="spellStart"/>
      <w:r>
        <w:t>Axi-cel</w:t>
      </w:r>
      <w:proofErr w:type="spellEnd"/>
      <w:r>
        <w:t xml:space="preserve"> = axicabtagene ciloleucel; OS = overall survival; PFS = progression free survival. </w:t>
      </w:r>
    </w:p>
    <w:p w14:paraId="1B8839B5" w14:textId="37E2430B" w:rsidR="00850A36" w:rsidRDefault="00850A36" w:rsidP="00850A36">
      <w:r>
        <w:t>The ADAR considered that the choice of a 5</w:t>
      </w:r>
      <w:r w:rsidR="005779FC">
        <w:t>-</w:t>
      </w:r>
      <w:r>
        <w:t>year cure was supported by:</w:t>
      </w:r>
    </w:p>
    <w:p w14:paraId="541A8F32" w14:textId="3483EBCD" w:rsidR="00850A36" w:rsidRDefault="00850A36" w:rsidP="00850A36">
      <w:pPr>
        <w:pStyle w:val="ListParagraph"/>
        <w:numPr>
          <w:ilvl w:val="0"/>
          <w:numId w:val="29"/>
        </w:numPr>
      </w:pPr>
      <w:r>
        <w:t xml:space="preserve">The observed OS for patients treated with AXI at the updated </w:t>
      </w:r>
      <w:proofErr w:type="gramStart"/>
      <w:r>
        <w:t>48 month</w:t>
      </w:r>
      <w:proofErr w:type="gramEnd"/>
      <w:r>
        <w:t xml:space="preserve"> analysis</w:t>
      </w:r>
      <w:r w:rsidR="29B0094F">
        <w:t>.</w:t>
      </w:r>
    </w:p>
    <w:p w14:paraId="19F46515" w14:textId="55CE0FB2" w:rsidR="00850A36" w:rsidRDefault="00850A36" w:rsidP="00850A36">
      <w:pPr>
        <w:pStyle w:val="ListParagraph"/>
        <w:numPr>
          <w:ilvl w:val="0"/>
          <w:numId w:val="29"/>
        </w:numPr>
      </w:pPr>
      <w:r>
        <w:t>The clinical plausibility of some patients with follicular lymphoma achieving an effective cure based on the broader evidence from other clinical trials of AXI</w:t>
      </w:r>
      <w:r w:rsidR="012D26F8">
        <w:t>.</w:t>
      </w:r>
    </w:p>
    <w:p w14:paraId="4FD68A07" w14:textId="2A2FC1F7" w:rsidR="00850A36" w:rsidRDefault="00850A36" w:rsidP="00850A36">
      <w:pPr>
        <w:pStyle w:val="ListParagraph"/>
        <w:numPr>
          <w:ilvl w:val="0"/>
          <w:numId w:val="29"/>
        </w:numPr>
      </w:pPr>
      <w:r>
        <w:t>Precedent MSAC decision-making for alternate CAR T therapies</w:t>
      </w:r>
      <w:r w:rsidR="012D26F8">
        <w:t>.</w:t>
      </w:r>
    </w:p>
    <w:p w14:paraId="747A1F9B" w14:textId="60916601" w:rsidR="00850A36" w:rsidRDefault="00850A36" w:rsidP="00850A36">
      <w:r>
        <w:t xml:space="preserve">The ADAR noted that at a median follow-up of 48 months, only 38/127 (30%) of patients had died and that the slope of the </w:t>
      </w:r>
      <w:r w:rsidR="5D1E376D">
        <w:t xml:space="preserve">Kaplan Meier </w:t>
      </w:r>
      <w:r>
        <w:t xml:space="preserve">curve </w:t>
      </w:r>
      <w:r w:rsidR="008852BA">
        <w:t>wa</w:t>
      </w:r>
      <w:r>
        <w:t xml:space="preserve">s flat from approximately 32 months. The ADAR considered that while survival probability does gradually decrease over time after this time point, this would partially </w:t>
      </w:r>
      <w:r w:rsidR="008852BA">
        <w:t xml:space="preserve">be </w:t>
      </w:r>
      <w:r>
        <w:t>a result of all-cause (non-follicular lymphoma) death.</w:t>
      </w:r>
    </w:p>
    <w:p w14:paraId="0C1B8130" w14:textId="0C921E03" w:rsidR="00850A36" w:rsidRDefault="00850A36" w:rsidP="00850A36">
      <w:r>
        <w:t>The ADAR also noted that from the 32</w:t>
      </w:r>
      <w:r w:rsidR="005779FC">
        <w:t>-</w:t>
      </w:r>
      <w:r>
        <w:t>month time point approximately 99 patients remained at risk of death. Thus, the plateauing effect observed is unlikely to be driven by prolonged OS reported in a small number of ‘good performing’ patients beyond 32 months</w:t>
      </w:r>
      <w:r w:rsidR="008852BA">
        <w:t>.</w:t>
      </w:r>
    </w:p>
    <w:p w14:paraId="724B145E" w14:textId="1454E28D" w:rsidR="00850A36" w:rsidRPr="001A2E02" w:rsidRDefault="614747C9" w:rsidP="00850A36">
      <w:r>
        <w:t xml:space="preserve">The </w:t>
      </w:r>
      <w:r w:rsidR="575D4DAC">
        <w:t>Commentary</w:t>
      </w:r>
      <w:r>
        <w:t xml:space="preserve"> noted that ZUMA-5 </w:t>
      </w:r>
      <w:r w:rsidR="53A19547">
        <w:t xml:space="preserve">Kaplan Meier </w:t>
      </w:r>
      <w:r>
        <w:t xml:space="preserve">data presented in the economic model indicate that </w:t>
      </w:r>
      <w:r w:rsidR="3371234C">
        <w:t xml:space="preserve">the OS </w:t>
      </w:r>
      <w:r>
        <w:t xml:space="preserve">at 32 months was 0.791, at 48 months was 0.713 and at 65 months was 0.596. Acknowledging this reflects the tail of the </w:t>
      </w:r>
      <w:r w:rsidR="7DF8F3C5">
        <w:t xml:space="preserve">Kaplan Meier </w:t>
      </w:r>
      <w:r>
        <w:t xml:space="preserve">data, the </w:t>
      </w:r>
      <w:r w:rsidR="575D4DAC">
        <w:t>Commentary</w:t>
      </w:r>
      <w:r>
        <w:t xml:space="preserve"> noted that this constitutes an 8% decrease in 16 months and a decrease of 20% in less than three years. Such a trend does not reflect all-cause mortality for that age group and does not indicate a survival plateau</w:t>
      </w:r>
      <w:r w:rsidR="35CB597C">
        <w:t xml:space="preserve"> that would support an assumption of cure</w:t>
      </w:r>
      <w:r>
        <w:t>.</w:t>
      </w:r>
      <w:r w:rsidR="59F4B321">
        <w:t xml:space="preserve"> The </w:t>
      </w:r>
      <w:r w:rsidR="78555038">
        <w:t>Commentary</w:t>
      </w:r>
      <w:r w:rsidR="59F4B321">
        <w:t xml:space="preserve"> also noted that the ADAR did not discuss observed PFS even though the cure assumption also applied to PFS, which may have also been overestimated with a cure assumption.</w:t>
      </w:r>
    </w:p>
    <w:p w14:paraId="309B0992" w14:textId="27DA117C" w:rsidR="00850A36" w:rsidRPr="00A762F5" w:rsidRDefault="614747C9" w:rsidP="132E0B0E">
      <w:pPr>
        <w:rPr>
          <w:i/>
          <w:iCs/>
        </w:rPr>
      </w:pPr>
      <w:r>
        <w:t xml:space="preserve">The ADAR also considered that the clinical plausibility of cure for some patients was supported by results in refractory B-cell lymphoma (ZUMA-1, </w:t>
      </w:r>
      <w:r w:rsidR="3EE172A3">
        <w:t>3L</w:t>
      </w:r>
      <w:r>
        <w:t>; ZUMA-7</w:t>
      </w:r>
      <w:r w:rsidR="684BFEDF">
        <w:t>,</w:t>
      </w:r>
      <w:r>
        <w:t xml:space="preserve"> </w:t>
      </w:r>
      <w:r w:rsidR="3EE172A3">
        <w:t>2L</w:t>
      </w:r>
      <w:r>
        <w:t>)</w:t>
      </w:r>
      <w:r w:rsidR="3EE172A3">
        <w:t xml:space="preserve"> and </w:t>
      </w:r>
      <w:proofErr w:type="gramStart"/>
      <w:r>
        <w:t>real world</w:t>
      </w:r>
      <w:proofErr w:type="gramEnd"/>
      <w:r>
        <w:t xml:space="preserve"> evidence from a 5-year case series of tisagenlecleucel treated patients at the hospital of University of Pennsylvania (Chong 2021).</w:t>
      </w:r>
      <w:r w:rsidR="3EE172A3">
        <w:t xml:space="preserve"> </w:t>
      </w:r>
      <w:r>
        <w:t xml:space="preserve">The </w:t>
      </w:r>
      <w:r w:rsidR="1A9B89EF">
        <w:t>Commentary</w:t>
      </w:r>
      <w:r>
        <w:t xml:space="preserve"> observed that none of the cited references are directly relevant </w:t>
      </w:r>
      <w:r>
        <w:lastRenderedPageBreak/>
        <w:t xml:space="preserve">to AXI treatment of </w:t>
      </w:r>
      <w:r w:rsidR="3EE172A3">
        <w:t>r/r FL</w:t>
      </w:r>
      <w:r>
        <w:t xml:space="preserve"> and that the observed follow-up of </w:t>
      </w:r>
      <w:proofErr w:type="gramStart"/>
      <w:r>
        <w:t>all of</w:t>
      </w:r>
      <w:proofErr w:type="gramEnd"/>
      <w:r>
        <w:t xml:space="preserve"> the references is substantially shorter than the 30</w:t>
      </w:r>
      <w:r w:rsidR="006F06CD">
        <w:t>-</w:t>
      </w:r>
      <w:r>
        <w:t xml:space="preserve">year time horizon during which benefit is accrued in the ADAR’s model. </w:t>
      </w:r>
      <w:r w:rsidR="40605D7B">
        <w:t xml:space="preserve">The </w:t>
      </w:r>
      <w:r w:rsidR="70495598">
        <w:t>Commentary</w:t>
      </w:r>
      <w:r w:rsidR="40605D7B">
        <w:t xml:space="preserve"> also considered that FL can have long periods between relapses compared to other haematological malignancies, although the duration of remission shortens substantially in the multiple refractory settings. It was unclear to what extent follow-up data from other cancers would be appropriate to the </w:t>
      </w:r>
      <w:r w:rsidR="05411900">
        <w:t>r/r</w:t>
      </w:r>
      <w:r w:rsidR="40605D7B">
        <w:t xml:space="preserve"> setting. </w:t>
      </w:r>
      <w:r w:rsidR="35CB597C">
        <w:t xml:space="preserve"> </w:t>
      </w:r>
    </w:p>
    <w:p w14:paraId="46CAEB7F" w14:textId="36446132" w:rsidR="00850A36" w:rsidRDefault="00850A36" w:rsidP="00850A36">
      <w:r>
        <w:t xml:space="preserve">The ADAR also considered that a modelling approach incorporating a cure rate in some patients was adopted in </w:t>
      </w:r>
      <w:r w:rsidR="42F95581">
        <w:t>pr</w:t>
      </w:r>
      <w:r w:rsidR="4F027516">
        <w:t>e</w:t>
      </w:r>
      <w:r w:rsidR="42F95581">
        <w:t>vious</w:t>
      </w:r>
      <w:r>
        <w:t xml:space="preserve"> economic evaluations of CAR</w:t>
      </w:r>
      <w:r w:rsidR="001726E9">
        <w:t xml:space="preserve"> </w:t>
      </w:r>
      <w:r>
        <w:t xml:space="preserve">T therapies assessed by MSAC (MSAC 1519.1, MSAC 1587). Specifically, </w:t>
      </w:r>
      <w:r w:rsidR="008852BA">
        <w:t>t</w:t>
      </w:r>
      <w:r>
        <w:t xml:space="preserve">he ADAR considered that the evidence supporting the current ADAR was more mature (longer </w:t>
      </w:r>
      <w:r w:rsidR="000145DC">
        <w:t>study</w:t>
      </w:r>
      <w:r>
        <w:t xml:space="preserve"> follow-up) and considered to be more robust (more patients remaining alive) compared with precedent MSAC submissions where the incorporation of a cure rate has supported MSAC recommending CAR</w:t>
      </w:r>
      <w:r w:rsidR="17E6B32F">
        <w:t>-</w:t>
      </w:r>
      <w:r>
        <w:t>T therapies in other indications.</w:t>
      </w:r>
    </w:p>
    <w:p w14:paraId="71B94F96" w14:textId="228AB55F" w:rsidR="00850A36" w:rsidRPr="00B26D37" w:rsidRDefault="614747C9" w:rsidP="00850A36">
      <w:r>
        <w:t xml:space="preserve">However, review of the cited PSDs during the </w:t>
      </w:r>
      <w:r w:rsidR="70495598">
        <w:t>Commentary</w:t>
      </w:r>
      <w:r>
        <w:t xml:space="preserve"> indicated consistent concerns by MSAC regarding uncertainty of modelling cure</w:t>
      </w:r>
      <w:r w:rsidR="40605D7B">
        <w:t xml:space="preserve"> and did not explicitly accept the ICERS as cost-effective</w:t>
      </w:r>
      <w:r>
        <w:t xml:space="preserve">. </w:t>
      </w:r>
      <w:r>
        <w:fldChar w:fldCharType="begin"/>
      </w:r>
      <w:r>
        <w:instrText xml:space="preserve"> REF _Ref166015285 \h  \* MERGEFORMAT </w:instrText>
      </w:r>
      <w:r>
        <w:fldChar w:fldCharType="separate"/>
      </w:r>
      <w:r w:rsidR="45607DBF">
        <w:t>Table 15</w:t>
      </w:r>
      <w:r>
        <w:fldChar w:fldCharType="end"/>
      </w:r>
      <w:r w:rsidR="35CB597C">
        <w:t xml:space="preserve"> </w:t>
      </w:r>
      <w:r>
        <w:t xml:space="preserve">presents the relevant MSAC consideration, the type of cure modelling, and relevant comments by MSAC or MSAC ESC. </w:t>
      </w:r>
      <w:r w:rsidR="381F25D6">
        <w:t xml:space="preserve">Overall, MSAC previous consideration and basis </w:t>
      </w:r>
      <w:r w:rsidR="332A5C3B">
        <w:t>of</w:t>
      </w:r>
      <w:r w:rsidR="381F25D6">
        <w:t xml:space="preserve"> support</w:t>
      </w:r>
      <w:r w:rsidR="332A5C3B">
        <w:t xml:space="preserve"> for</w:t>
      </w:r>
      <w:r w:rsidR="381F25D6">
        <w:t xml:space="preserve"> CAR</w:t>
      </w:r>
      <w:r w:rsidR="45607DBF">
        <w:t xml:space="preserve"> </w:t>
      </w:r>
      <w:r w:rsidR="381F25D6">
        <w:t xml:space="preserve">T therapy for other indications does not </w:t>
      </w:r>
      <w:r w:rsidR="61B86514">
        <w:t xml:space="preserve">create a </w:t>
      </w:r>
      <w:r w:rsidR="381F25D6">
        <w:t xml:space="preserve">precedent </w:t>
      </w:r>
      <w:r w:rsidR="61B86514">
        <w:t xml:space="preserve">and </w:t>
      </w:r>
      <w:r w:rsidR="381F25D6">
        <w:t>does not support th</w:t>
      </w:r>
      <w:r w:rsidR="662A4C11">
        <w:t>e</w:t>
      </w:r>
      <w:r w:rsidR="381F25D6">
        <w:t xml:space="preserve"> modelling approach</w:t>
      </w:r>
      <w:r w:rsidR="662A4C11">
        <w:t xml:space="preserve"> used in this ADAR</w:t>
      </w:r>
      <w:r w:rsidR="381F25D6">
        <w:t xml:space="preserve">. </w:t>
      </w:r>
    </w:p>
    <w:p w14:paraId="6D2F0F45" w14:textId="62732715" w:rsidR="00850A36" w:rsidRPr="00CF1587" w:rsidRDefault="00850A36" w:rsidP="00850A36">
      <w:pPr>
        <w:rPr>
          <w:rFonts w:ascii="Arial Narrow" w:hAnsi="Arial Narrow"/>
          <w:b/>
          <w:bCs/>
          <w:sz w:val="20"/>
          <w:szCs w:val="20"/>
        </w:rPr>
      </w:pPr>
      <w:bookmarkStart w:id="39" w:name="_Ref166015285"/>
      <w:r w:rsidRPr="132E0B0E">
        <w:rPr>
          <w:rFonts w:ascii="Arial Narrow" w:hAnsi="Arial Narrow"/>
          <w:b/>
          <w:bCs/>
          <w:sz w:val="20"/>
          <w:szCs w:val="20"/>
        </w:rPr>
        <w:t>Table </w:t>
      </w:r>
      <w:r w:rsidRPr="132E0B0E">
        <w:rPr>
          <w:rFonts w:ascii="Arial Narrow" w:hAnsi="Arial Narrow"/>
          <w:b/>
          <w:bCs/>
          <w:sz w:val="20"/>
          <w:szCs w:val="20"/>
        </w:rPr>
        <w:fldChar w:fldCharType="begin"/>
      </w:r>
      <w:r w:rsidRPr="132E0B0E">
        <w:rPr>
          <w:rFonts w:ascii="Arial Narrow" w:hAnsi="Arial Narrow"/>
          <w:b/>
          <w:bCs/>
          <w:sz w:val="20"/>
          <w:szCs w:val="20"/>
        </w:rPr>
        <w:instrText xml:space="preserve"> SEQ Table \* ARABIC </w:instrText>
      </w:r>
      <w:r w:rsidRPr="132E0B0E">
        <w:rPr>
          <w:rFonts w:ascii="Arial Narrow" w:hAnsi="Arial Narrow"/>
          <w:b/>
          <w:bCs/>
          <w:sz w:val="20"/>
          <w:szCs w:val="20"/>
        </w:rPr>
        <w:fldChar w:fldCharType="separate"/>
      </w:r>
      <w:r w:rsidR="008852BA" w:rsidRPr="132E0B0E">
        <w:rPr>
          <w:rFonts w:ascii="Arial Narrow" w:hAnsi="Arial Narrow"/>
          <w:b/>
          <w:bCs/>
          <w:noProof/>
          <w:sz w:val="20"/>
          <w:szCs w:val="20"/>
        </w:rPr>
        <w:t>15</w:t>
      </w:r>
      <w:r w:rsidRPr="132E0B0E">
        <w:rPr>
          <w:rFonts w:ascii="Arial Narrow" w:hAnsi="Arial Narrow"/>
          <w:b/>
          <w:bCs/>
          <w:sz w:val="20"/>
          <w:szCs w:val="20"/>
        </w:rPr>
        <w:fldChar w:fldCharType="end"/>
      </w:r>
      <w:bookmarkEnd w:id="39"/>
      <w:r>
        <w:tab/>
      </w:r>
      <w:r w:rsidRPr="132E0B0E">
        <w:rPr>
          <w:rFonts w:ascii="Arial Narrow" w:hAnsi="Arial Narrow"/>
          <w:b/>
          <w:bCs/>
          <w:sz w:val="20"/>
          <w:szCs w:val="20"/>
        </w:rPr>
        <w:t>Previous MSAC or ESC comment regarding model and / or cure assumptions</w:t>
      </w:r>
    </w:p>
    <w:tbl>
      <w:tblPr>
        <w:tblStyle w:val="TableGrid"/>
        <w:tblW w:w="9445" w:type="dxa"/>
        <w:tblLook w:val="04A0" w:firstRow="1" w:lastRow="0" w:firstColumn="1" w:lastColumn="0" w:noHBand="0" w:noVBand="1"/>
      </w:tblPr>
      <w:tblGrid>
        <w:gridCol w:w="1271"/>
        <w:gridCol w:w="2268"/>
        <w:gridCol w:w="5906"/>
      </w:tblGrid>
      <w:tr w:rsidR="00850A36" w:rsidRPr="008D2B95" w14:paraId="6CF8654C" w14:textId="77777777" w:rsidTr="132E0B0E">
        <w:tc>
          <w:tcPr>
            <w:tcW w:w="1271" w:type="dxa"/>
          </w:tcPr>
          <w:p w14:paraId="4169CBEB" w14:textId="77777777" w:rsidR="00850A36" w:rsidRPr="008D2B95" w:rsidRDefault="00850A36" w:rsidP="00713096">
            <w:pPr>
              <w:spacing w:before="0"/>
              <w:rPr>
                <w:rFonts w:ascii="Arial Narrow" w:hAnsi="Arial Narrow"/>
                <w:b/>
                <w:bCs/>
                <w:sz w:val="20"/>
                <w:szCs w:val="20"/>
              </w:rPr>
            </w:pPr>
            <w:r w:rsidRPr="008D2B95">
              <w:rPr>
                <w:rFonts w:ascii="Arial Narrow" w:hAnsi="Arial Narrow"/>
                <w:b/>
                <w:bCs/>
                <w:sz w:val="20"/>
                <w:szCs w:val="20"/>
              </w:rPr>
              <w:t>MSAC item</w:t>
            </w:r>
          </w:p>
        </w:tc>
        <w:tc>
          <w:tcPr>
            <w:tcW w:w="2268" w:type="dxa"/>
          </w:tcPr>
          <w:p w14:paraId="12C0C7F9" w14:textId="77777777" w:rsidR="00850A36" w:rsidRPr="008D2B95" w:rsidRDefault="00850A36" w:rsidP="00713096">
            <w:pPr>
              <w:spacing w:before="0"/>
              <w:rPr>
                <w:rFonts w:ascii="Arial Narrow" w:hAnsi="Arial Narrow"/>
                <w:b/>
                <w:bCs/>
                <w:sz w:val="20"/>
                <w:szCs w:val="20"/>
              </w:rPr>
            </w:pPr>
            <w:r w:rsidRPr="008D2B95">
              <w:rPr>
                <w:rFonts w:ascii="Arial Narrow" w:hAnsi="Arial Narrow"/>
                <w:b/>
                <w:bCs/>
                <w:sz w:val="20"/>
                <w:szCs w:val="20"/>
              </w:rPr>
              <w:t>Cure modelling approach</w:t>
            </w:r>
          </w:p>
        </w:tc>
        <w:tc>
          <w:tcPr>
            <w:tcW w:w="5906" w:type="dxa"/>
          </w:tcPr>
          <w:p w14:paraId="08C44785" w14:textId="77777777" w:rsidR="00850A36" w:rsidRPr="008D2B95" w:rsidRDefault="00850A36" w:rsidP="00713096">
            <w:pPr>
              <w:spacing w:before="0"/>
              <w:rPr>
                <w:rFonts w:ascii="Arial Narrow" w:hAnsi="Arial Narrow"/>
                <w:b/>
                <w:bCs/>
                <w:sz w:val="20"/>
                <w:szCs w:val="20"/>
              </w:rPr>
            </w:pPr>
            <w:r w:rsidRPr="008D2B95">
              <w:rPr>
                <w:rFonts w:ascii="Arial Narrow" w:hAnsi="Arial Narrow"/>
                <w:b/>
                <w:bCs/>
                <w:sz w:val="20"/>
                <w:szCs w:val="20"/>
              </w:rPr>
              <w:t>Comment</w:t>
            </w:r>
          </w:p>
        </w:tc>
      </w:tr>
      <w:tr w:rsidR="00850A36" w:rsidRPr="008D2B95" w14:paraId="5783804F" w14:textId="77777777" w:rsidTr="132E0B0E">
        <w:tc>
          <w:tcPr>
            <w:tcW w:w="1271" w:type="dxa"/>
          </w:tcPr>
          <w:p w14:paraId="1053065B" w14:textId="77777777" w:rsidR="00850A36" w:rsidRPr="008D2B95" w:rsidRDefault="00850A36" w:rsidP="00713096">
            <w:pPr>
              <w:spacing w:before="0"/>
              <w:rPr>
                <w:rFonts w:ascii="Arial Narrow" w:hAnsi="Arial Narrow"/>
                <w:sz w:val="20"/>
                <w:szCs w:val="20"/>
              </w:rPr>
            </w:pPr>
            <w:r>
              <w:rPr>
                <w:rFonts w:ascii="Arial Narrow" w:hAnsi="Arial Narrow"/>
                <w:sz w:val="20"/>
                <w:szCs w:val="20"/>
              </w:rPr>
              <w:t>1519.1</w:t>
            </w:r>
          </w:p>
        </w:tc>
        <w:tc>
          <w:tcPr>
            <w:tcW w:w="2268" w:type="dxa"/>
          </w:tcPr>
          <w:p w14:paraId="5C277A58" w14:textId="77777777" w:rsidR="00850A36" w:rsidRPr="008D2B95" w:rsidRDefault="00850A36" w:rsidP="00713096">
            <w:pPr>
              <w:spacing w:before="0"/>
              <w:rPr>
                <w:rFonts w:ascii="Arial Narrow" w:hAnsi="Arial Narrow"/>
                <w:sz w:val="20"/>
                <w:szCs w:val="20"/>
              </w:rPr>
            </w:pPr>
            <w:r>
              <w:rPr>
                <w:rFonts w:ascii="Arial Narrow" w:hAnsi="Arial Narrow"/>
                <w:sz w:val="20"/>
                <w:szCs w:val="20"/>
              </w:rPr>
              <w:t xml:space="preserve">No explicit cure described, but spline approach used. </w:t>
            </w:r>
          </w:p>
        </w:tc>
        <w:tc>
          <w:tcPr>
            <w:tcW w:w="5906" w:type="dxa"/>
          </w:tcPr>
          <w:p w14:paraId="718D5F07" w14:textId="54E2E5A7" w:rsidR="00850A36" w:rsidRPr="008852BA" w:rsidRDefault="00850A36" w:rsidP="00713096">
            <w:pPr>
              <w:spacing w:before="0"/>
              <w:rPr>
                <w:rFonts w:ascii="Arial Narrow" w:hAnsi="Arial Narrow"/>
                <w:sz w:val="20"/>
                <w:szCs w:val="20"/>
              </w:rPr>
            </w:pPr>
            <w:r w:rsidRPr="008852BA">
              <w:rPr>
                <w:rFonts w:ascii="Arial Narrow" w:hAnsi="Arial Narrow"/>
                <w:sz w:val="20"/>
                <w:szCs w:val="20"/>
              </w:rPr>
              <w:t xml:space="preserve">ESC noted </w:t>
            </w:r>
            <w:proofErr w:type="gramStart"/>
            <w:r w:rsidRPr="008852BA">
              <w:rPr>
                <w:rFonts w:ascii="Arial Narrow" w:hAnsi="Arial Narrow"/>
                <w:sz w:val="20"/>
                <w:szCs w:val="20"/>
              </w:rPr>
              <w:t>a number of</w:t>
            </w:r>
            <w:proofErr w:type="gramEnd"/>
            <w:r w:rsidRPr="008852BA">
              <w:rPr>
                <w:rFonts w:ascii="Arial Narrow" w:hAnsi="Arial Narrow"/>
                <w:sz w:val="20"/>
                <w:szCs w:val="20"/>
              </w:rPr>
              <w:t xml:space="preserve"> issues </w:t>
            </w:r>
            <w:r w:rsidRPr="5B281D8C">
              <w:rPr>
                <w:rFonts w:ascii="Arial Narrow" w:hAnsi="Arial Narrow"/>
                <w:sz w:val="20"/>
                <w:szCs w:val="20"/>
              </w:rPr>
              <w:t>remain</w:t>
            </w:r>
            <w:r w:rsidR="40F40D9C" w:rsidRPr="5B281D8C">
              <w:rPr>
                <w:rFonts w:ascii="Arial Narrow" w:hAnsi="Arial Narrow"/>
                <w:sz w:val="20"/>
                <w:szCs w:val="20"/>
              </w:rPr>
              <w:t>ed</w:t>
            </w:r>
            <w:r w:rsidRPr="008852BA">
              <w:rPr>
                <w:rFonts w:ascii="Arial Narrow" w:hAnsi="Arial Narrow"/>
                <w:sz w:val="20"/>
                <w:szCs w:val="20"/>
              </w:rPr>
              <w:t xml:space="preserve"> with the economic model that </w:t>
            </w:r>
            <w:r w:rsidRPr="5B281D8C">
              <w:rPr>
                <w:rFonts w:ascii="Arial Narrow" w:hAnsi="Arial Narrow"/>
                <w:sz w:val="20"/>
                <w:szCs w:val="20"/>
              </w:rPr>
              <w:t>mean</w:t>
            </w:r>
            <w:r w:rsidR="749740A1" w:rsidRPr="5B281D8C">
              <w:rPr>
                <w:rFonts w:ascii="Arial Narrow" w:hAnsi="Arial Narrow"/>
                <w:sz w:val="20"/>
                <w:szCs w:val="20"/>
              </w:rPr>
              <w:t>t</w:t>
            </w:r>
            <w:r w:rsidRPr="008852BA">
              <w:rPr>
                <w:rFonts w:ascii="Arial Narrow" w:hAnsi="Arial Narrow"/>
                <w:sz w:val="20"/>
                <w:szCs w:val="20"/>
              </w:rPr>
              <w:t xml:space="preserve"> that the incremental cost (ICER) per quality adjusted life year (QALY) </w:t>
            </w:r>
            <w:r w:rsidR="3CE8C246" w:rsidRPr="5B281D8C">
              <w:rPr>
                <w:rFonts w:ascii="Arial Narrow" w:hAnsi="Arial Narrow"/>
                <w:sz w:val="20"/>
                <w:szCs w:val="20"/>
              </w:rPr>
              <w:t xml:space="preserve">was </w:t>
            </w:r>
            <w:r w:rsidRPr="008852BA">
              <w:rPr>
                <w:rFonts w:ascii="Arial Narrow" w:hAnsi="Arial Narrow"/>
                <w:sz w:val="20"/>
                <w:szCs w:val="20"/>
              </w:rPr>
              <w:t>likely underestimated</w:t>
            </w:r>
          </w:p>
        </w:tc>
      </w:tr>
      <w:tr w:rsidR="00850A36" w:rsidRPr="008D2B95" w14:paraId="6ED184E5" w14:textId="77777777" w:rsidTr="132E0B0E">
        <w:tc>
          <w:tcPr>
            <w:tcW w:w="1271" w:type="dxa"/>
          </w:tcPr>
          <w:p w14:paraId="6ADE3EC6" w14:textId="77777777" w:rsidR="00850A36" w:rsidRPr="008D2B95" w:rsidRDefault="00850A36" w:rsidP="00713096">
            <w:pPr>
              <w:spacing w:before="0"/>
              <w:rPr>
                <w:rFonts w:ascii="Arial Narrow" w:hAnsi="Arial Narrow"/>
                <w:sz w:val="20"/>
                <w:szCs w:val="20"/>
              </w:rPr>
            </w:pPr>
            <w:r>
              <w:rPr>
                <w:rFonts w:ascii="Arial Narrow" w:hAnsi="Arial Narrow"/>
                <w:sz w:val="20"/>
                <w:szCs w:val="20"/>
              </w:rPr>
              <w:t>1587</w:t>
            </w:r>
          </w:p>
        </w:tc>
        <w:tc>
          <w:tcPr>
            <w:tcW w:w="2268" w:type="dxa"/>
          </w:tcPr>
          <w:p w14:paraId="6B1B173B" w14:textId="77777777" w:rsidR="00850A36" w:rsidRPr="008D2B95" w:rsidRDefault="00850A36" w:rsidP="00713096">
            <w:pPr>
              <w:spacing w:before="0"/>
              <w:rPr>
                <w:rFonts w:ascii="Arial Narrow" w:hAnsi="Arial Narrow"/>
                <w:sz w:val="20"/>
                <w:szCs w:val="20"/>
              </w:rPr>
            </w:pPr>
            <w:r>
              <w:rPr>
                <w:rFonts w:ascii="Arial Narrow" w:hAnsi="Arial Narrow"/>
                <w:sz w:val="20"/>
                <w:szCs w:val="20"/>
              </w:rPr>
              <w:t>Mixed cure model</w:t>
            </w:r>
          </w:p>
        </w:tc>
        <w:tc>
          <w:tcPr>
            <w:tcW w:w="5906" w:type="dxa"/>
          </w:tcPr>
          <w:p w14:paraId="09572274" w14:textId="77777777" w:rsidR="00850A36" w:rsidRPr="008852BA" w:rsidRDefault="00850A36" w:rsidP="00713096">
            <w:pPr>
              <w:spacing w:before="0"/>
              <w:rPr>
                <w:rFonts w:ascii="Arial Narrow" w:hAnsi="Arial Narrow"/>
                <w:sz w:val="20"/>
                <w:szCs w:val="20"/>
              </w:rPr>
            </w:pPr>
            <w:r w:rsidRPr="008852BA">
              <w:rPr>
                <w:rFonts w:ascii="Arial Narrow" w:hAnsi="Arial Narrow"/>
                <w:sz w:val="20"/>
                <w:szCs w:val="20"/>
              </w:rPr>
              <w:t xml:space="preserve">MSAC considered that the application itself did not provide a suitable basis for making a funding recommendation (because a reliable ICER could not be calculated). Recommendation based on non-inferiority to tisagenlecleucel </w:t>
            </w:r>
          </w:p>
        </w:tc>
      </w:tr>
      <w:tr w:rsidR="00850A36" w:rsidRPr="008D2B95" w14:paraId="26F7A123" w14:textId="77777777" w:rsidTr="132E0B0E">
        <w:tc>
          <w:tcPr>
            <w:tcW w:w="1271" w:type="dxa"/>
          </w:tcPr>
          <w:p w14:paraId="76E42D57" w14:textId="77777777" w:rsidR="00850A36" w:rsidRPr="008D2B95" w:rsidRDefault="00850A36" w:rsidP="00713096">
            <w:pPr>
              <w:spacing w:before="0"/>
              <w:rPr>
                <w:rFonts w:ascii="Arial Narrow" w:hAnsi="Arial Narrow"/>
                <w:sz w:val="20"/>
                <w:szCs w:val="20"/>
              </w:rPr>
            </w:pPr>
            <w:r>
              <w:rPr>
                <w:rFonts w:ascii="Arial Narrow" w:hAnsi="Arial Narrow"/>
                <w:sz w:val="20"/>
                <w:szCs w:val="20"/>
              </w:rPr>
              <w:t>1723.1</w:t>
            </w:r>
          </w:p>
        </w:tc>
        <w:tc>
          <w:tcPr>
            <w:tcW w:w="2268" w:type="dxa"/>
          </w:tcPr>
          <w:p w14:paraId="2AAC4F07" w14:textId="77777777" w:rsidR="00850A36" w:rsidRPr="008D2B95" w:rsidRDefault="00850A36" w:rsidP="00713096">
            <w:pPr>
              <w:spacing w:before="0"/>
              <w:rPr>
                <w:rFonts w:ascii="Arial Narrow" w:hAnsi="Arial Narrow"/>
                <w:sz w:val="20"/>
                <w:szCs w:val="20"/>
              </w:rPr>
            </w:pPr>
            <w:proofErr w:type="gramStart"/>
            <w:r w:rsidRPr="132E0B0E">
              <w:rPr>
                <w:rFonts w:ascii="Arial Narrow" w:hAnsi="Arial Narrow"/>
                <w:sz w:val="20"/>
                <w:szCs w:val="20"/>
              </w:rPr>
              <w:t>5 year</w:t>
            </w:r>
            <w:proofErr w:type="gramEnd"/>
            <w:r w:rsidRPr="132E0B0E">
              <w:rPr>
                <w:rFonts w:ascii="Arial Narrow" w:hAnsi="Arial Narrow"/>
                <w:sz w:val="20"/>
                <w:szCs w:val="20"/>
              </w:rPr>
              <w:t xml:space="preserve"> cure point and 2.0 SMR</w:t>
            </w:r>
          </w:p>
        </w:tc>
        <w:tc>
          <w:tcPr>
            <w:tcW w:w="5906" w:type="dxa"/>
          </w:tcPr>
          <w:p w14:paraId="2F609317" w14:textId="77777777" w:rsidR="00850A36" w:rsidRPr="008852BA" w:rsidRDefault="00850A36" w:rsidP="00713096">
            <w:pPr>
              <w:spacing w:before="0"/>
              <w:rPr>
                <w:rFonts w:ascii="Arial Narrow" w:hAnsi="Arial Narrow"/>
                <w:sz w:val="20"/>
                <w:szCs w:val="20"/>
              </w:rPr>
            </w:pPr>
            <w:r w:rsidRPr="132E0B0E">
              <w:rPr>
                <w:rFonts w:ascii="Arial Narrow" w:hAnsi="Arial Narrow"/>
                <w:sz w:val="20"/>
                <w:szCs w:val="20"/>
              </w:rPr>
              <w:t xml:space="preserve">ESC questioned the assumption of </w:t>
            </w:r>
            <w:proofErr w:type="gramStart"/>
            <w:r w:rsidRPr="132E0B0E">
              <w:rPr>
                <w:rFonts w:ascii="Arial Narrow" w:hAnsi="Arial Narrow"/>
                <w:sz w:val="20"/>
                <w:szCs w:val="20"/>
              </w:rPr>
              <w:t>5 year</w:t>
            </w:r>
            <w:proofErr w:type="gramEnd"/>
            <w:r w:rsidRPr="132E0B0E">
              <w:rPr>
                <w:rFonts w:ascii="Arial Narrow" w:hAnsi="Arial Narrow"/>
                <w:sz w:val="20"/>
                <w:szCs w:val="20"/>
              </w:rPr>
              <w:t xml:space="preserve"> cure point and 2.0 SMR as well as utility reverting back to progression free in cured patients. </w:t>
            </w:r>
          </w:p>
        </w:tc>
      </w:tr>
    </w:tbl>
    <w:p w14:paraId="04ED9602" w14:textId="6B24537F" w:rsidR="00850A36" w:rsidRDefault="00850A36" w:rsidP="001726E9">
      <w:pPr>
        <w:pStyle w:val="TableFooter"/>
      </w:pPr>
      <w:r>
        <w:t xml:space="preserve">Source: </w:t>
      </w:r>
      <w:r w:rsidR="00143271">
        <w:t xml:space="preserve">Compiled during evaluation from </w:t>
      </w:r>
      <w:r>
        <w:t>MSAC 1519.1 PSD, MSAC 1587 PSD, MSAC 1723.1 PSD</w:t>
      </w:r>
      <w:r w:rsidR="00143271">
        <w:t xml:space="preserve"> </w:t>
      </w:r>
    </w:p>
    <w:bookmarkStart w:id="40" w:name="_Hlk163651086"/>
    <w:p w14:paraId="0C614AB7" w14:textId="7DD1C7EE" w:rsidR="00850A36" w:rsidRDefault="00713096" w:rsidP="00850A36">
      <w:r>
        <w:fldChar w:fldCharType="begin"/>
      </w:r>
      <w:r>
        <w:instrText xml:space="preserve"> REF _Ref163648143 \h </w:instrText>
      </w:r>
      <w:r>
        <w:fldChar w:fldCharType="separate"/>
      </w:r>
      <w:r w:rsidR="1947E899" w:rsidRPr="23728776">
        <w:rPr>
          <w:lang w:val="en-GB"/>
        </w:rPr>
        <w:t>Figure 4</w:t>
      </w:r>
      <w:r>
        <w:fldChar w:fldCharType="end"/>
      </w:r>
      <w:r w:rsidR="1947E899">
        <w:t xml:space="preserve"> </w:t>
      </w:r>
      <w:r w:rsidR="614747C9">
        <w:t xml:space="preserve">presents an analysis conducted </w:t>
      </w:r>
      <w:r w:rsidR="1947E899">
        <w:t xml:space="preserve">by the </w:t>
      </w:r>
      <w:r w:rsidR="1D1B8D01">
        <w:t>Commentary</w:t>
      </w:r>
      <w:r w:rsidR="614747C9">
        <w:t xml:space="preserve"> showing modelled OS by selected cure point </w:t>
      </w:r>
      <w:r w:rsidR="1947E899">
        <w:t xml:space="preserve">times </w:t>
      </w:r>
      <w:r w:rsidR="614747C9">
        <w:t>from 5 years (base case) to 30 years (equivalent to no explicit cure assumed).</w:t>
      </w:r>
    </w:p>
    <w:p w14:paraId="0B7BF898" w14:textId="6C215C92" w:rsidR="00850A36" w:rsidRDefault="00850A36" w:rsidP="00850A36">
      <w:pPr>
        <w:pStyle w:val="TableHeading0"/>
        <w:keepNext/>
      </w:pPr>
      <w:bookmarkStart w:id="41" w:name="_Ref163648143"/>
      <w:r w:rsidRPr="132E0B0E">
        <w:rPr>
          <w:lang w:val="en-GB"/>
        </w:rPr>
        <w:lastRenderedPageBreak/>
        <w:t xml:space="preserve">Figure </w:t>
      </w:r>
      <w:r w:rsidRPr="132E0B0E">
        <w:rPr>
          <w:b w:val="0"/>
          <w:lang w:val="en-GB"/>
        </w:rPr>
        <w:fldChar w:fldCharType="begin"/>
      </w:r>
      <w:r w:rsidRPr="132E0B0E">
        <w:rPr>
          <w:lang w:val="en-GB"/>
        </w:rPr>
        <w:instrText xml:space="preserve"> SEQ Figure \* MERGEFORMAT </w:instrText>
      </w:r>
      <w:r w:rsidRPr="132E0B0E">
        <w:rPr>
          <w:b w:val="0"/>
          <w:lang w:val="en-GB"/>
        </w:rPr>
        <w:fldChar w:fldCharType="separate"/>
      </w:r>
      <w:r w:rsidR="00713096" w:rsidRPr="132E0B0E">
        <w:rPr>
          <w:noProof/>
          <w:lang w:val="en-GB"/>
        </w:rPr>
        <w:t>4</w:t>
      </w:r>
      <w:r w:rsidRPr="132E0B0E">
        <w:rPr>
          <w:b w:val="0"/>
          <w:lang w:val="en-GB"/>
        </w:rPr>
        <w:fldChar w:fldCharType="end"/>
      </w:r>
      <w:bookmarkEnd w:id="41"/>
      <w:r>
        <w:tab/>
        <w:t xml:space="preserve">Overall survival by cure point from 5 years to 30 </w:t>
      </w:r>
      <w:proofErr w:type="gramStart"/>
      <w:r>
        <w:t>years</w:t>
      </w:r>
      <w:proofErr w:type="gramEnd"/>
    </w:p>
    <w:p w14:paraId="2DFC95D8" w14:textId="77777777" w:rsidR="00850A36" w:rsidRPr="00116D6E" w:rsidRDefault="00850A36" w:rsidP="00850A36">
      <w:r>
        <w:rPr>
          <w:noProof/>
        </w:rPr>
        <w:drawing>
          <wp:inline distT="0" distB="0" distL="0" distR="0" wp14:anchorId="2A94D25E" wp14:editId="7915DD4D">
            <wp:extent cx="5731510" cy="3362325"/>
            <wp:effectExtent l="0" t="0" r="8890" b="15875"/>
            <wp:docPr id="1467114013" name="Chart 1" descr="Overall survival by cure point from 5 years to 30 years">
              <a:extLst xmlns:a="http://schemas.openxmlformats.org/drawingml/2006/main">
                <a:ext uri="{FF2B5EF4-FFF2-40B4-BE49-F238E27FC236}">
                  <a16:creationId xmlns:a16="http://schemas.microsoft.com/office/drawing/2014/main" id="{9A4C8517-69F1-5CC8-1583-E64E71E2BD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19617538" w14:textId="46539FD3" w:rsidR="001726E9" w:rsidRDefault="00850A36" w:rsidP="00850A36">
      <w:pPr>
        <w:pStyle w:val="TableFooter"/>
      </w:pPr>
      <w:r>
        <w:t xml:space="preserve">Source: conducted during the </w:t>
      </w:r>
      <w:r w:rsidR="001726E9">
        <w:t>evaluation</w:t>
      </w:r>
      <w:r>
        <w:t xml:space="preserve">.  </w:t>
      </w:r>
    </w:p>
    <w:p w14:paraId="4E0D42E7" w14:textId="311BFA63" w:rsidR="00850A36" w:rsidRDefault="00850A36" w:rsidP="00850A36">
      <w:pPr>
        <w:pStyle w:val="TableFooter"/>
      </w:pPr>
      <w:r>
        <w:t>OS = overall survival</w:t>
      </w:r>
    </w:p>
    <w:p w14:paraId="6DCC8409" w14:textId="1A89389C" w:rsidR="00850A36" w:rsidRDefault="614747C9" w:rsidP="00850A36">
      <w:r>
        <w:t xml:space="preserve">One other key cure assumption was that at 5 years, 40% of the patients would be cured. This cure fraction could also be changed in the economic model. </w:t>
      </w:r>
      <w:r w:rsidR="00850A36">
        <w:fldChar w:fldCharType="begin"/>
      </w:r>
      <w:r w:rsidR="00850A36">
        <w:instrText xml:space="preserve"> REF _Ref163648820 \h </w:instrText>
      </w:r>
      <w:r w:rsidR="00850A36">
        <w:fldChar w:fldCharType="separate"/>
      </w:r>
      <w:r w:rsidR="5AD651D4" w:rsidRPr="23728776">
        <w:rPr>
          <w:lang w:val="en-GB"/>
        </w:rPr>
        <w:t>Figure 5</w:t>
      </w:r>
      <w:r w:rsidR="00850A36">
        <w:fldChar w:fldCharType="end"/>
      </w:r>
      <w:r w:rsidR="5AD651D4">
        <w:t xml:space="preserve"> </w:t>
      </w:r>
      <w:r>
        <w:t xml:space="preserve">shows an analysis conducted </w:t>
      </w:r>
      <w:r w:rsidR="5AD651D4">
        <w:t xml:space="preserve">by the </w:t>
      </w:r>
      <w:r w:rsidR="3D7E4892">
        <w:t>Commentary</w:t>
      </w:r>
      <w:r>
        <w:t xml:space="preserve"> to show the impact of cure fraction on modelled overall survival. </w:t>
      </w:r>
    </w:p>
    <w:p w14:paraId="59F25197" w14:textId="4AE407B5" w:rsidR="00850A36" w:rsidRDefault="00850A36" w:rsidP="00850A36">
      <w:pPr>
        <w:pStyle w:val="TableHeading0"/>
        <w:keepNext/>
      </w:pPr>
      <w:bookmarkStart w:id="42" w:name="_Ref163648820"/>
      <w:r w:rsidRPr="132E0B0E">
        <w:rPr>
          <w:lang w:val="en-GB"/>
        </w:rPr>
        <w:t xml:space="preserve">Figure </w:t>
      </w:r>
      <w:r w:rsidRPr="132E0B0E">
        <w:rPr>
          <w:b w:val="0"/>
          <w:lang w:val="en-GB"/>
        </w:rPr>
        <w:fldChar w:fldCharType="begin"/>
      </w:r>
      <w:r w:rsidRPr="132E0B0E">
        <w:rPr>
          <w:lang w:val="en-GB"/>
        </w:rPr>
        <w:instrText xml:space="preserve"> SEQ Figure \* MERGEFORMAT </w:instrText>
      </w:r>
      <w:r w:rsidRPr="132E0B0E">
        <w:rPr>
          <w:b w:val="0"/>
          <w:lang w:val="en-GB"/>
        </w:rPr>
        <w:fldChar w:fldCharType="separate"/>
      </w:r>
      <w:r w:rsidR="00036C85" w:rsidRPr="132E0B0E">
        <w:rPr>
          <w:noProof/>
          <w:lang w:val="en-GB"/>
        </w:rPr>
        <w:t>5</w:t>
      </w:r>
      <w:r w:rsidRPr="132E0B0E">
        <w:rPr>
          <w:b w:val="0"/>
          <w:lang w:val="en-GB"/>
        </w:rPr>
        <w:fldChar w:fldCharType="end"/>
      </w:r>
      <w:bookmarkEnd w:id="42"/>
      <w:r>
        <w:tab/>
      </w:r>
      <w:r>
        <w:tab/>
        <w:t xml:space="preserve">Overall survival by cure </w:t>
      </w:r>
      <w:proofErr w:type="gramStart"/>
      <w:r>
        <w:t>fraction</w:t>
      </w:r>
      <w:proofErr w:type="gramEnd"/>
      <w:r>
        <w:t xml:space="preserve"> </w:t>
      </w:r>
    </w:p>
    <w:p w14:paraId="403105AB" w14:textId="77777777" w:rsidR="00850A36" w:rsidRDefault="00850A36" w:rsidP="00850A36">
      <w:r>
        <w:rPr>
          <w:noProof/>
        </w:rPr>
        <w:drawing>
          <wp:inline distT="0" distB="0" distL="0" distR="0" wp14:anchorId="6BD1D930" wp14:editId="447C5BB8">
            <wp:extent cx="5731510" cy="3448050"/>
            <wp:effectExtent l="0" t="0" r="8890" b="6350"/>
            <wp:docPr id="1112514197" name="Chart 1" descr="Overall survival by cure fraction ">
              <a:extLst xmlns:a="http://schemas.openxmlformats.org/drawingml/2006/main">
                <a:ext uri="{FF2B5EF4-FFF2-40B4-BE49-F238E27FC236}">
                  <a16:creationId xmlns:a16="http://schemas.microsoft.com/office/drawing/2014/main" id="{7E00DE7C-1438-16B4-D279-78D50EE77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4E42A9" w14:textId="11272936" w:rsidR="001726E9" w:rsidRDefault="00850A36" w:rsidP="00850A36">
      <w:pPr>
        <w:pStyle w:val="TableFooter"/>
      </w:pPr>
      <w:r>
        <w:t xml:space="preserve">Source: conducted during the </w:t>
      </w:r>
      <w:r w:rsidR="001726E9">
        <w:t>evaluation</w:t>
      </w:r>
      <w:r>
        <w:t xml:space="preserve">.  </w:t>
      </w:r>
    </w:p>
    <w:p w14:paraId="33B3359B" w14:textId="10ADB6E6" w:rsidR="00850A36" w:rsidRPr="00116D6E" w:rsidRDefault="00850A36" w:rsidP="00850A36">
      <w:pPr>
        <w:pStyle w:val="TableFooter"/>
      </w:pPr>
      <w:r>
        <w:t>OS = overall survival</w:t>
      </w:r>
    </w:p>
    <w:p w14:paraId="7D1C55E5" w14:textId="34205644" w:rsidR="00850A36" w:rsidRDefault="614747C9" w:rsidP="00850A36">
      <w:r>
        <w:lastRenderedPageBreak/>
        <w:t xml:space="preserve">The </w:t>
      </w:r>
      <w:r w:rsidR="1BF55A21">
        <w:t>Commentary</w:t>
      </w:r>
      <w:r>
        <w:t xml:space="preserve"> noted that the model</w:t>
      </w:r>
      <w:r w:rsidR="00576523">
        <w:t xml:space="preserve"> </w:t>
      </w:r>
      <w:r w:rsidR="1432AA1D">
        <w:t>was</w:t>
      </w:r>
      <w:r>
        <w:t xml:space="preserve"> highly sensitive to differing assumptions of cure point and cure fraction. Follicular lymphoma is currently considered incurable (</w:t>
      </w:r>
      <w:proofErr w:type="spellStart"/>
      <w:r>
        <w:t>Tonino</w:t>
      </w:r>
      <w:proofErr w:type="spellEnd"/>
      <w:r>
        <w:t xml:space="preserve"> &amp; Kersten 2024).</w:t>
      </w:r>
      <w:r w:rsidR="00850A36">
        <w:rPr>
          <w:rStyle w:val="FootnoteReference"/>
        </w:rPr>
        <w:footnoteReference w:id="14"/>
      </w:r>
      <w:r>
        <w:t xml:space="preserve"> Consequently, assumptions of long-term cure based on 5</w:t>
      </w:r>
      <w:r w:rsidR="00AA5F98">
        <w:t>-</w:t>
      </w:r>
      <w:r>
        <w:t xml:space="preserve">year median survival results may </w:t>
      </w:r>
      <w:r w:rsidR="1432AA1D">
        <w:t xml:space="preserve">have </w:t>
      </w:r>
      <w:r>
        <w:t>be</w:t>
      </w:r>
      <w:r w:rsidR="1432AA1D">
        <w:t>en</w:t>
      </w:r>
      <w:r>
        <w:t xml:space="preserve"> </w:t>
      </w:r>
      <w:proofErr w:type="gramStart"/>
      <w:r>
        <w:t>optimistic, and</w:t>
      </w:r>
      <w:proofErr w:type="gramEnd"/>
      <w:r>
        <w:t xml:space="preserve"> would favour AXI. </w:t>
      </w:r>
      <w:bookmarkEnd w:id="40"/>
    </w:p>
    <w:p w14:paraId="100A989F" w14:textId="24F26B80" w:rsidR="00850A36" w:rsidRPr="006A57B0" w:rsidRDefault="614747C9" w:rsidP="132E0B0E">
      <w:pPr>
        <w:rPr>
          <w:i/>
          <w:iCs/>
        </w:rPr>
      </w:pPr>
      <w:r>
        <w:t xml:space="preserve">The ADAR applied a standardised mortality ratio (SMR) of 1.09 based on Maurer 2014 to patients who were cured, to account for excess mortality in these patients. The </w:t>
      </w:r>
      <w:r w:rsidR="1BF55A21">
        <w:t>Commentary</w:t>
      </w:r>
      <w:r>
        <w:t xml:space="preserve"> noted that Maurer 2014 included newly diagnosed DLBCL patients who received rituximab and anthracycline-based chemotherapy as initial therapy. It was unclear how relevant the SMR calculated from this population would be to a </w:t>
      </w:r>
      <w:r w:rsidR="5AD651D4">
        <w:t>3L</w:t>
      </w:r>
      <w:r>
        <w:t xml:space="preserve"> or later line of treatment in </w:t>
      </w:r>
      <w:r w:rsidR="5AD651D4">
        <w:t>FL</w:t>
      </w:r>
      <w:r>
        <w:t xml:space="preserve"> patients.</w:t>
      </w:r>
    </w:p>
    <w:p w14:paraId="018DB760" w14:textId="161B2C79" w:rsidR="00850A36" w:rsidRPr="00036C85" w:rsidRDefault="614747C9" w:rsidP="00850A36">
      <w:r w:rsidRPr="00036C85">
        <w:t xml:space="preserve">A review of the scientific literature and health technology assessments for evidence for </w:t>
      </w:r>
      <w:r w:rsidR="7A895A34">
        <w:t>event-free survival (</w:t>
      </w:r>
      <w:r w:rsidRPr="00036C85">
        <w:t>EFS</w:t>
      </w:r>
      <w:r w:rsidR="52364703">
        <w:t>)</w:t>
      </w:r>
      <w:r w:rsidRPr="00036C85">
        <w:t xml:space="preserve">-OS surrogacy </w:t>
      </w:r>
      <w:r w:rsidRPr="00036C85">
        <w:rPr>
          <w:color w:val="000000" w:themeColor="text1"/>
        </w:rPr>
        <w:t>(Assouline 2022</w:t>
      </w:r>
      <w:r w:rsidR="7CC7CC05" w:rsidRPr="55B52D96">
        <w:rPr>
          <w:color w:val="000000" w:themeColor="text1"/>
        </w:rPr>
        <w:t>)</w:t>
      </w:r>
      <w:r w:rsidR="00850A36" w:rsidRPr="00036C85">
        <w:rPr>
          <w:rStyle w:val="FootnoteReference"/>
          <w:color w:val="000000" w:themeColor="text1"/>
        </w:rPr>
        <w:footnoteReference w:id="15"/>
      </w:r>
      <w:r w:rsidRPr="00036C85">
        <w:rPr>
          <w:color w:val="000000" w:themeColor="text1"/>
        </w:rPr>
        <w:t xml:space="preserve"> identified in the </w:t>
      </w:r>
      <w:r w:rsidR="27C30829" w:rsidRPr="00036C85">
        <w:rPr>
          <w:color w:val="000000" w:themeColor="text1"/>
        </w:rPr>
        <w:t>Commentary</w:t>
      </w:r>
      <w:r w:rsidRPr="00036C85">
        <w:rPr>
          <w:color w:val="000000" w:themeColor="text1"/>
        </w:rPr>
        <w:t xml:space="preserve"> </w:t>
      </w:r>
      <w:r w:rsidRPr="00036C85">
        <w:t>reported that there were no patient-specific or cohort level analyses regarding the validity of surrogacy of OS for EFS in r/r follicular lymphoma.</w:t>
      </w:r>
    </w:p>
    <w:p w14:paraId="3C53C601" w14:textId="186B7EF4" w:rsidR="00850A36" w:rsidRPr="00036C85" w:rsidRDefault="614747C9" w:rsidP="00850A36">
      <w:r>
        <w:t>Th</w:t>
      </w:r>
      <w:r w:rsidR="5AD651D4">
        <w:t xml:space="preserve">e </w:t>
      </w:r>
      <w:r w:rsidR="27C30829">
        <w:t>Commentary</w:t>
      </w:r>
      <w:r>
        <w:t xml:space="preserve"> supposed that in the absence of a clear SMR value for follicular lymphoma, it may be reasonable to expect that the SMR for a later line treatment would be higher than that of newly diagnosed DLBCL patients. </w:t>
      </w:r>
      <w:bookmarkStart w:id="43" w:name="_Hlk163651447"/>
      <w:r>
        <w:t xml:space="preserve"> </w:t>
      </w:r>
      <w:r w:rsidR="574583FA">
        <w:t xml:space="preserve">For example, the </w:t>
      </w:r>
      <w:r w:rsidR="0E4B7DA8">
        <w:t>Commentary</w:t>
      </w:r>
      <w:r w:rsidR="574583FA">
        <w:t xml:space="preserve"> identified</w:t>
      </w:r>
      <w:r>
        <w:t xml:space="preserve"> a retrospective study of consecutively collected patient data from the Japanese nationwide transplant registry Fujimoto 2021, which concluded that SMRs of patients with follicular lymphoma after auto-HSCT were significantly higher than that of the general population (EFS 24:</w:t>
      </w:r>
      <w:r w:rsidR="5AD651D4">
        <w:t xml:space="preserve"> </w:t>
      </w:r>
      <w:r>
        <w:t>2.7 EFS 60: 3.7). The model did not include SMR as a user modifiable input. However, during the evaluation, the SMR of 1.09 was changed to 2.7 and 3.7</w:t>
      </w:r>
      <w:r w:rsidR="587D0466">
        <w:t>,</w:t>
      </w:r>
      <w:r w:rsidR="4382AF9B">
        <w:t xml:space="preserve"> </w:t>
      </w:r>
      <w:r w:rsidR="62848734">
        <w:t>which</w:t>
      </w:r>
      <w:r w:rsidR="5AD651D4">
        <w:t xml:space="preserve"> </w:t>
      </w:r>
      <w:r>
        <w:t>led to an</w:t>
      </w:r>
      <w:r w:rsidR="5AD651D4">
        <w:t xml:space="preserve"> increase in the </w:t>
      </w:r>
      <w:r>
        <w:t xml:space="preserve">ICER of </w:t>
      </w:r>
      <w:r w:rsidR="5AD651D4">
        <w:t>19%</w:t>
      </w:r>
      <w:r>
        <w:t xml:space="preserve"> </w:t>
      </w:r>
      <w:r w:rsidR="5AD651D4">
        <w:t>and 31%, respectively</w:t>
      </w:r>
      <w:r>
        <w:t>.</w:t>
      </w:r>
      <w:bookmarkEnd w:id="43"/>
    </w:p>
    <w:p w14:paraId="74DFE0F0" w14:textId="333C20B2" w:rsidR="00850A36" w:rsidRPr="00B26D37" w:rsidRDefault="614747C9" w:rsidP="00850A36">
      <w:r>
        <w:t xml:space="preserve">The </w:t>
      </w:r>
      <w:r w:rsidR="1C27665A">
        <w:t>Commentary</w:t>
      </w:r>
      <w:r>
        <w:t xml:space="preserve"> noted that the ADAR’s extrapolation sensitivity analyses did not indicate substantial impact to the ICER. However, the extrapolation method used in the economic evaluation is inclusive of 40% of patients being assumed to be cured at 5 years. During the evaluation, sensitivity analyses for AXI OS extrapolations assuming no cure were conducted to see the impact on the ICER, which was substantial. </w:t>
      </w:r>
    </w:p>
    <w:p w14:paraId="4BC54974" w14:textId="51157CAF" w:rsidR="00850A36" w:rsidRPr="00B26D37" w:rsidRDefault="614747C9" w:rsidP="00850A36">
      <w:r>
        <w:t xml:space="preserve">The figures below show the extrapolations for AXI without a cure assumption, and those for </w:t>
      </w:r>
      <w:r w:rsidR="7863D6AE">
        <w:t>SOC</w:t>
      </w:r>
      <w:r>
        <w:t>.</w:t>
      </w:r>
      <w:r w:rsidR="2A81005E">
        <w:t xml:space="preserve"> It was noted during the </w:t>
      </w:r>
      <w:r w:rsidR="1C27665A">
        <w:t>Commentary</w:t>
      </w:r>
      <w:r w:rsidR="2A81005E">
        <w:t xml:space="preserve"> that some of the extrapolations overestimated overall survival compared to general population mortality after </w:t>
      </w:r>
      <w:r w:rsidR="05411900">
        <w:t>approximately Y</w:t>
      </w:r>
      <w:r w:rsidR="2A81005E">
        <w:t xml:space="preserve">ear 25 of the time horizon. However, the ADAR adjusted the extrapolated curves for both general population mortality and applied a SMR to account for mortality in cured patients. Consequently, the </w:t>
      </w:r>
      <w:r w:rsidR="3B287BA3">
        <w:t>Commentary</w:t>
      </w:r>
      <w:r w:rsidR="2A81005E">
        <w:t xml:space="preserve"> considered this reasonable. </w:t>
      </w:r>
    </w:p>
    <w:p w14:paraId="6A9FC121" w14:textId="1C909A03" w:rsidR="00850A36" w:rsidRDefault="00850A36" w:rsidP="00850A36">
      <w:pPr>
        <w:pStyle w:val="TableHeading"/>
      </w:pPr>
      <w:r w:rsidRPr="132E0B0E">
        <w:rPr>
          <w:lang w:val="en-GB"/>
        </w:rPr>
        <w:lastRenderedPageBreak/>
        <w:t xml:space="preserve">Figure </w:t>
      </w:r>
      <w:r w:rsidRPr="132E0B0E">
        <w:rPr>
          <w:lang w:val="en-GB"/>
        </w:rPr>
        <w:fldChar w:fldCharType="begin"/>
      </w:r>
      <w:r w:rsidRPr="132E0B0E">
        <w:rPr>
          <w:lang w:val="en-GB"/>
        </w:rPr>
        <w:instrText xml:space="preserve"> SEQ Figure \* MERGEFORMAT </w:instrText>
      </w:r>
      <w:r w:rsidRPr="132E0B0E">
        <w:rPr>
          <w:lang w:val="en-GB"/>
        </w:rPr>
        <w:fldChar w:fldCharType="separate"/>
      </w:r>
      <w:r w:rsidR="00036C85" w:rsidRPr="132E0B0E">
        <w:rPr>
          <w:noProof/>
          <w:lang w:val="en-GB"/>
        </w:rPr>
        <w:t>6</w:t>
      </w:r>
      <w:r w:rsidRPr="132E0B0E">
        <w:rPr>
          <w:lang w:val="en-GB"/>
        </w:rPr>
        <w:fldChar w:fldCharType="end"/>
      </w:r>
      <w:r>
        <w:tab/>
        <w:t>Parametric extrapolations of PFS for AXI</w:t>
      </w:r>
    </w:p>
    <w:p w14:paraId="0DC0EE9A" w14:textId="77777777" w:rsidR="00850A36" w:rsidRDefault="00850A36" w:rsidP="00850A36">
      <w:pPr>
        <w:rPr>
          <w:i/>
          <w:iCs/>
        </w:rPr>
      </w:pPr>
      <w:r>
        <w:rPr>
          <w:b/>
          <w:bCs/>
          <w:noProof/>
        </w:rPr>
        <w:drawing>
          <wp:inline distT="0" distB="0" distL="0" distR="0" wp14:anchorId="6B1BA5F2" wp14:editId="27C7CEA8">
            <wp:extent cx="5400000" cy="3071665"/>
            <wp:effectExtent l="0" t="0" r="0" b="0"/>
            <wp:docPr id="1740398957" name="Picture 1740398957" descr="Parametric extrapolations of PFS for 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98957" name="Picture 1740398957" descr="Parametric extrapolations of PFS for AX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071665"/>
                    </a:xfrm>
                    <a:prstGeom prst="rect">
                      <a:avLst/>
                    </a:prstGeom>
                    <a:noFill/>
                  </pic:spPr>
                </pic:pic>
              </a:graphicData>
            </a:graphic>
          </wp:inline>
        </w:drawing>
      </w:r>
    </w:p>
    <w:p w14:paraId="3D8E34BB" w14:textId="4B094349" w:rsidR="00850A36" w:rsidRDefault="00850A36" w:rsidP="00850A36">
      <w:pPr>
        <w:pStyle w:val="TableFooter"/>
      </w:pPr>
      <w:r>
        <w:t xml:space="preserve">Source: </w:t>
      </w:r>
      <w:r w:rsidR="00036C85">
        <w:t>F</w:t>
      </w:r>
      <w:r>
        <w:t>igure 13</w:t>
      </w:r>
      <w:r w:rsidR="001726E9">
        <w:t>of MSAC 1771</w:t>
      </w:r>
      <w:r>
        <w:t xml:space="preserve"> ADAR</w:t>
      </w:r>
      <w:r w:rsidR="001726E9">
        <w:t xml:space="preserve"> + in-line commentary</w:t>
      </w:r>
    </w:p>
    <w:p w14:paraId="1389B8E9" w14:textId="203D3262" w:rsidR="00850A36" w:rsidRPr="002176CC" w:rsidRDefault="00B43A82" w:rsidP="002176CC">
      <w:pPr>
        <w:pStyle w:val="TableFooter"/>
      </w:pPr>
      <w:r>
        <w:t xml:space="preserve">Note: extrapolations presented reflect extrapolated survival from </w:t>
      </w:r>
      <w:r w:rsidR="000145DC">
        <w:t>study</w:t>
      </w:r>
      <w:r>
        <w:t xml:space="preserve"> data and are prior to the adjustment for general population mortality and standardised mortality ratio. </w:t>
      </w:r>
    </w:p>
    <w:p w14:paraId="2587875B" w14:textId="79F8CB20" w:rsidR="00850A36" w:rsidRDefault="00850A36" w:rsidP="00850A36">
      <w:pPr>
        <w:pStyle w:val="TableHeading"/>
      </w:pPr>
      <w:r w:rsidRPr="132E0B0E">
        <w:rPr>
          <w:lang w:val="en-GB"/>
        </w:rPr>
        <w:t xml:space="preserve">Figure </w:t>
      </w:r>
      <w:r w:rsidRPr="132E0B0E">
        <w:rPr>
          <w:lang w:val="en-GB"/>
        </w:rPr>
        <w:fldChar w:fldCharType="begin"/>
      </w:r>
      <w:r w:rsidRPr="132E0B0E">
        <w:rPr>
          <w:lang w:val="en-GB"/>
        </w:rPr>
        <w:instrText xml:space="preserve"> SEQ Figure \* MERGEFORMAT </w:instrText>
      </w:r>
      <w:r w:rsidRPr="132E0B0E">
        <w:rPr>
          <w:lang w:val="en-GB"/>
        </w:rPr>
        <w:fldChar w:fldCharType="separate"/>
      </w:r>
      <w:r w:rsidR="00036C85" w:rsidRPr="132E0B0E">
        <w:rPr>
          <w:lang w:val="en-GB"/>
        </w:rPr>
        <w:t>7</w:t>
      </w:r>
      <w:r w:rsidRPr="132E0B0E">
        <w:rPr>
          <w:lang w:val="en-GB"/>
        </w:rPr>
        <w:fldChar w:fldCharType="end"/>
      </w:r>
      <w:r>
        <w:tab/>
        <w:t>Parametric extrapolations of OS for AXI</w:t>
      </w:r>
    </w:p>
    <w:p w14:paraId="5B607730" w14:textId="77777777" w:rsidR="00850A36" w:rsidRDefault="00850A36" w:rsidP="00850A36">
      <w:pPr>
        <w:rPr>
          <w:i/>
          <w:iCs/>
        </w:rPr>
      </w:pPr>
      <w:r>
        <w:rPr>
          <w:noProof/>
        </w:rPr>
        <w:drawing>
          <wp:inline distT="0" distB="0" distL="0" distR="0" wp14:anchorId="6683A970" wp14:editId="12998D20">
            <wp:extent cx="5400000" cy="3020253"/>
            <wp:effectExtent l="0" t="0" r="0" b="8890"/>
            <wp:docPr id="495450489" name="Picture 495450489" descr="Parametric extrapolations of OS for 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50489" name="Picture 495450489" descr="Parametric extrapolations of OS for AX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0" cy="3020253"/>
                    </a:xfrm>
                    <a:prstGeom prst="rect">
                      <a:avLst/>
                    </a:prstGeom>
                    <a:noFill/>
                  </pic:spPr>
                </pic:pic>
              </a:graphicData>
            </a:graphic>
          </wp:inline>
        </w:drawing>
      </w:r>
    </w:p>
    <w:p w14:paraId="1EC95112" w14:textId="3A871067" w:rsidR="00850A36" w:rsidRDefault="00850A36" w:rsidP="00850A36">
      <w:pPr>
        <w:pStyle w:val="TableFooter"/>
      </w:pPr>
      <w:r>
        <w:t>Source: Figure 14</w:t>
      </w:r>
      <w:r w:rsidR="001726E9">
        <w:t xml:space="preserve"> of MSAC 1771 ADAR + in-line commentary</w:t>
      </w:r>
    </w:p>
    <w:p w14:paraId="09435E2D" w14:textId="2BB97297" w:rsidR="00B43A82" w:rsidRDefault="00B43A82" w:rsidP="00850A36">
      <w:pPr>
        <w:pStyle w:val="TableFooter"/>
      </w:pPr>
      <w:r>
        <w:t xml:space="preserve">Note: extrapolations presented reflect extrapolated survival from </w:t>
      </w:r>
      <w:r w:rsidR="000145DC">
        <w:t>study</w:t>
      </w:r>
      <w:r>
        <w:t xml:space="preserve"> data and are prior to the adjustment for general population mortality and standardised mortality ratio. </w:t>
      </w:r>
    </w:p>
    <w:p w14:paraId="2C37D0D8" w14:textId="6FA5CAD2" w:rsidR="00850A36" w:rsidRDefault="614747C9" w:rsidP="00850A36">
      <w:pPr>
        <w:pStyle w:val="TableHeading"/>
      </w:pPr>
      <w:r w:rsidRPr="132E0B0E">
        <w:rPr>
          <w:lang w:val="en-GB"/>
        </w:rPr>
        <w:lastRenderedPageBreak/>
        <w:t xml:space="preserve">Figure </w:t>
      </w:r>
      <w:r w:rsidRPr="132E0B0E">
        <w:rPr>
          <w:lang w:val="en-GB"/>
        </w:rPr>
        <w:fldChar w:fldCharType="begin"/>
      </w:r>
      <w:r w:rsidRPr="132E0B0E">
        <w:rPr>
          <w:lang w:val="en-GB"/>
        </w:rPr>
        <w:instrText xml:space="preserve"> SEQ Figure \* MERGEFORMAT </w:instrText>
      </w:r>
      <w:r w:rsidRPr="132E0B0E">
        <w:rPr>
          <w:lang w:val="en-GB"/>
        </w:rPr>
        <w:fldChar w:fldCharType="separate"/>
      </w:r>
      <w:r w:rsidR="5AD651D4" w:rsidRPr="132E0B0E">
        <w:rPr>
          <w:lang w:val="en-GB"/>
        </w:rPr>
        <w:t>8</w:t>
      </w:r>
      <w:r w:rsidRPr="132E0B0E">
        <w:rPr>
          <w:lang w:val="en-GB"/>
        </w:rPr>
        <w:fldChar w:fldCharType="end"/>
      </w:r>
      <w:r>
        <w:tab/>
        <w:t xml:space="preserve">Parametric extrapolations of PFS for </w:t>
      </w:r>
      <w:r w:rsidR="0534A57F">
        <w:t>SOC</w:t>
      </w:r>
    </w:p>
    <w:p w14:paraId="7453B5DF" w14:textId="77777777" w:rsidR="00850A36" w:rsidRDefault="00850A36" w:rsidP="00850A36">
      <w:pPr>
        <w:rPr>
          <w:i/>
          <w:iCs/>
        </w:rPr>
      </w:pPr>
      <w:r>
        <w:rPr>
          <w:noProof/>
        </w:rPr>
        <w:drawing>
          <wp:inline distT="0" distB="0" distL="0" distR="0" wp14:anchorId="287679C5" wp14:editId="1BE09AA6">
            <wp:extent cx="5400000" cy="3118118"/>
            <wp:effectExtent l="0" t="0" r="0" b="6350"/>
            <wp:docPr id="2100308914" name="Picture 2100308914" descr="Parametric extrapolations of PFS for 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08914" name="Picture 2100308914" descr="Parametric extrapolations of PFS for SO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0" cy="3118118"/>
                    </a:xfrm>
                    <a:prstGeom prst="rect">
                      <a:avLst/>
                    </a:prstGeom>
                    <a:noFill/>
                  </pic:spPr>
                </pic:pic>
              </a:graphicData>
            </a:graphic>
          </wp:inline>
        </w:drawing>
      </w:r>
    </w:p>
    <w:p w14:paraId="4A75302F" w14:textId="6A8D00FA" w:rsidR="00850A36" w:rsidRDefault="00850A36" w:rsidP="00850A36">
      <w:pPr>
        <w:pStyle w:val="TableFooter"/>
      </w:pPr>
      <w:r>
        <w:t>Source: Figure 15</w:t>
      </w:r>
      <w:r w:rsidR="001726E9">
        <w:t xml:space="preserve"> of MSAC 1771 ADAR + in-line commentary</w:t>
      </w:r>
    </w:p>
    <w:p w14:paraId="0CC664CD" w14:textId="66C296F7" w:rsidR="00850A36" w:rsidRPr="002176CC" w:rsidRDefault="00B43A82" w:rsidP="002176CC">
      <w:pPr>
        <w:pStyle w:val="TableFooter"/>
      </w:pPr>
      <w:r>
        <w:t xml:space="preserve">Note: extrapolations presented reflect extrapolated survival from </w:t>
      </w:r>
      <w:r w:rsidR="000145DC">
        <w:t>study</w:t>
      </w:r>
      <w:r>
        <w:t xml:space="preserve"> data and are prior to the adjustment for general population mortality and standardised mortality ratio. </w:t>
      </w:r>
    </w:p>
    <w:p w14:paraId="3215CB44" w14:textId="2E355C8F" w:rsidR="00850A36" w:rsidRDefault="614747C9" w:rsidP="00036C85">
      <w:pPr>
        <w:pStyle w:val="TableHeading"/>
      </w:pPr>
      <w:r w:rsidRPr="132E0B0E">
        <w:rPr>
          <w:lang w:val="en-GB"/>
        </w:rPr>
        <w:t xml:space="preserve">Figure </w:t>
      </w:r>
      <w:r w:rsidRPr="132E0B0E">
        <w:rPr>
          <w:lang w:val="en-GB"/>
        </w:rPr>
        <w:fldChar w:fldCharType="begin"/>
      </w:r>
      <w:r w:rsidRPr="132E0B0E">
        <w:rPr>
          <w:lang w:val="en-GB"/>
        </w:rPr>
        <w:instrText xml:space="preserve"> SEQ Figure \* MERGEFORMAT </w:instrText>
      </w:r>
      <w:r w:rsidRPr="132E0B0E">
        <w:rPr>
          <w:lang w:val="en-GB"/>
        </w:rPr>
        <w:fldChar w:fldCharType="separate"/>
      </w:r>
      <w:r w:rsidR="5AD651D4" w:rsidRPr="132E0B0E">
        <w:rPr>
          <w:lang w:val="en-GB"/>
        </w:rPr>
        <w:t>9</w:t>
      </w:r>
      <w:r w:rsidRPr="132E0B0E">
        <w:rPr>
          <w:lang w:val="en-GB"/>
        </w:rPr>
        <w:fldChar w:fldCharType="end"/>
      </w:r>
      <w:r>
        <w:tab/>
        <w:t xml:space="preserve">Parametric extrapolations of OS for </w:t>
      </w:r>
      <w:r w:rsidR="5E2BB3BA">
        <w:t>SOC</w:t>
      </w:r>
    </w:p>
    <w:p w14:paraId="55C1CDD1" w14:textId="329A3444" w:rsidR="00B43A82" w:rsidRDefault="00850A36" w:rsidP="00036C85">
      <w:pPr>
        <w:keepNext/>
        <w:rPr>
          <w:i/>
          <w:iCs/>
        </w:rPr>
      </w:pPr>
      <w:r>
        <w:rPr>
          <w:noProof/>
        </w:rPr>
        <w:drawing>
          <wp:inline distT="0" distB="0" distL="0" distR="0" wp14:anchorId="4445EA5D" wp14:editId="46112C63">
            <wp:extent cx="5400000" cy="3110490"/>
            <wp:effectExtent l="0" t="0" r="0" b="0"/>
            <wp:docPr id="871539904" name="Picture 871539904" descr="Parametric extrapolations of OS for 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9904" name="Picture 871539904" descr="Parametric extrapolations of OS for SO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0" cy="3110490"/>
                    </a:xfrm>
                    <a:prstGeom prst="rect">
                      <a:avLst/>
                    </a:prstGeom>
                    <a:noFill/>
                  </pic:spPr>
                </pic:pic>
              </a:graphicData>
            </a:graphic>
          </wp:inline>
        </w:drawing>
      </w:r>
    </w:p>
    <w:p w14:paraId="59DC21F6" w14:textId="3E6B748D" w:rsidR="00850A36" w:rsidRDefault="00850A36" w:rsidP="00036C85">
      <w:pPr>
        <w:pStyle w:val="TableFooter"/>
        <w:keepNext/>
      </w:pPr>
      <w:r>
        <w:t>Source: Figure 16</w:t>
      </w:r>
      <w:r w:rsidR="001726E9">
        <w:t xml:space="preserve"> of MSAC 1771 ADAR + in-line commentary</w:t>
      </w:r>
      <w:r>
        <w:t xml:space="preserve"> </w:t>
      </w:r>
    </w:p>
    <w:p w14:paraId="5C0F8BB2" w14:textId="522678DE" w:rsidR="00B43A82" w:rsidRPr="00854E39" w:rsidRDefault="00B43A82" w:rsidP="002176CC">
      <w:pPr>
        <w:pStyle w:val="TableFooter"/>
      </w:pPr>
      <w:r>
        <w:t xml:space="preserve">Note: extrapolations presented reflect extrapolated survival from </w:t>
      </w:r>
      <w:r w:rsidR="000145DC">
        <w:t>study</w:t>
      </w:r>
      <w:r>
        <w:t xml:space="preserve"> data and are prior to the adjustment for general population mortality and standardised mortality ratio. </w:t>
      </w:r>
    </w:p>
    <w:p w14:paraId="164EC611" w14:textId="25A906CF" w:rsidR="002F6D8A" w:rsidRDefault="18097620" w:rsidP="00850A36">
      <w:r>
        <w:t xml:space="preserve">The base case of the economic evaluation applied the log-logistic and exponential curves for AXI PFS and OS respectively, and the exponential and Weibull curves for </w:t>
      </w:r>
      <w:r w:rsidR="7122B0CD">
        <w:t>SOC</w:t>
      </w:r>
      <w:r>
        <w:t xml:space="preserve"> PFS and OS, respectively.</w:t>
      </w:r>
    </w:p>
    <w:p w14:paraId="6D0FD1CD" w14:textId="1BC38CC2" w:rsidR="00850A36" w:rsidRPr="00036C85" w:rsidRDefault="614747C9" w:rsidP="00850A36">
      <w:r>
        <w:lastRenderedPageBreak/>
        <w:t xml:space="preserve">The </w:t>
      </w:r>
      <w:r w:rsidR="16DDC6E3">
        <w:t>Commentary</w:t>
      </w:r>
      <w:r>
        <w:t xml:space="preserve"> concluded that the model was not sensitive to extrapolation choice for PFS in the </w:t>
      </w:r>
      <w:r w:rsidR="7A83223C">
        <w:t>SOC</w:t>
      </w:r>
      <w:r w:rsidR="612BE361">
        <w:t xml:space="preserve"> </w:t>
      </w:r>
      <w:r>
        <w:t xml:space="preserve">arm.  </w:t>
      </w:r>
    </w:p>
    <w:p w14:paraId="12F093D8" w14:textId="70CC1A61" w:rsidR="00850A36" w:rsidRPr="00C06702" w:rsidRDefault="614747C9" w:rsidP="00850A36">
      <w:proofErr w:type="gramStart"/>
      <w:r>
        <w:t>With regard to</w:t>
      </w:r>
      <w:proofErr w:type="gramEnd"/>
      <w:r>
        <w:t xml:space="preserve"> extrapolation of OS in the </w:t>
      </w:r>
      <w:r w:rsidR="59850B0B">
        <w:t>SOC</w:t>
      </w:r>
      <w:r>
        <w:t xml:space="preserve"> arm, the ADAR considered that the long</w:t>
      </w:r>
      <w:r w:rsidR="002E457F">
        <w:t>-</w:t>
      </w:r>
      <w:r>
        <w:t xml:space="preserve">term survival plateau modelled by the Gompertz extrapolation was likely overly optimistic, which the </w:t>
      </w:r>
      <w:r w:rsidR="16DDC6E3">
        <w:t>Commentary</w:t>
      </w:r>
      <w:r>
        <w:t xml:space="preserve"> considered likely reasonable</w:t>
      </w:r>
      <w:r w:rsidRPr="132E0B0E">
        <w:rPr>
          <w:i/>
          <w:iCs/>
        </w:rPr>
        <w:t xml:space="preserve">. </w:t>
      </w:r>
      <w:r>
        <w:t xml:space="preserve">However, the </w:t>
      </w:r>
      <w:r w:rsidR="35FB3136">
        <w:t>Commentary</w:t>
      </w:r>
      <w:r>
        <w:t xml:space="preserve"> considered that that there was little basis to conclude that the Weibull extrapolation was a more accurate modelling of long-term survival than the log-logistic, log-</w:t>
      </w:r>
      <w:proofErr w:type="gramStart"/>
      <w:r>
        <w:t>normal</w:t>
      </w:r>
      <w:proofErr w:type="gramEnd"/>
      <w:r>
        <w:t xml:space="preserve"> and generalised gamma models. Selecting any of these would increase the ICER by 18 to 30%.</w:t>
      </w:r>
    </w:p>
    <w:p w14:paraId="32648E60" w14:textId="30F3BC87" w:rsidR="00850A36" w:rsidRDefault="00850A36" w:rsidP="00850A36">
      <w:r w:rsidRPr="0046661E">
        <w:t xml:space="preserve">The ADAR relied on utilities sourced from </w:t>
      </w:r>
      <w:proofErr w:type="spellStart"/>
      <w:r w:rsidRPr="0046661E">
        <w:t>Papaioannou</w:t>
      </w:r>
      <w:proofErr w:type="spellEnd"/>
      <w:r w:rsidRPr="0046661E">
        <w:t xml:space="preserve"> 2012 which relied on utilities from an unpublished report of the “Oxford Outcomes Study</w:t>
      </w:r>
      <w:r>
        <w:t>”</w:t>
      </w:r>
      <w:r w:rsidR="007F3448">
        <w:t xml:space="preserve"> (also referred to as Wild 2005</w:t>
      </w:r>
      <w:r w:rsidR="007F3448">
        <w:rPr>
          <w:rStyle w:val="FootnoteReference"/>
        </w:rPr>
        <w:footnoteReference w:id="16"/>
      </w:r>
      <w:r w:rsidR="007F3448">
        <w:t xml:space="preserve"> and Wild 2006</w:t>
      </w:r>
      <w:r w:rsidR="007F3448">
        <w:rPr>
          <w:rStyle w:val="FootnoteReference"/>
        </w:rPr>
        <w:footnoteReference w:id="17"/>
      </w:r>
      <w:r w:rsidR="007F3448">
        <w:t>)</w:t>
      </w:r>
      <w:r w:rsidR="46273E98">
        <w:t>.</w:t>
      </w:r>
      <w:r w:rsidRPr="0046661E">
        <w:t xml:space="preserve"> </w:t>
      </w:r>
    </w:p>
    <w:p w14:paraId="56B6C899" w14:textId="4BC24677" w:rsidR="00850A36" w:rsidRPr="00C06702" w:rsidRDefault="614747C9" w:rsidP="00850A36">
      <w:r w:rsidRPr="00C06702">
        <w:t xml:space="preserve">The </w:t>
      </w:r>
      <w:r w:rsidR="5202F31E" w:rsidRPr="00C06702">
        <w:t>Commentary</w:t>
      </w:r>
      <w:r w:rsidRPr="00C06702">
        <w:t xml:space="preserve"> noted that these utilities reflected newly diagnosed </w:t>
      </w:r>
      <w:r w:rsidR="796F5DA1" w:rsidRPr="00C06702">
        <w:t>FL</w:t>
      </w:r>
      <w:r w:rsidRPr="00C06702">
        <w:t xml:space="preserve"> patients and not necessarily those who are refractory or relapsed after 2 or more lines of therapy. During the </w:t>
      </w:r>
      <w:r w:rsidR="796F5DA1" w:rsidRPr="00C06702">
        <w:t>evaluation</w:t>
      </w:r>
      <w:r w:rsidRPr="00C06702">
        <w:t>, more appropriate utilities could not be identified. However, for indicative purposes utility values from Cher 2020</w:t>
      </w:r>
      <w:r w:rsidR="00850A36" w:rsidRPr="00C06702">
        <w:rPr>
          <w:rStyle w:val="FootnoteReference"/>
        </w:rPr>
        <w:footnoteReference w:id="18"/>
      </w:r>
      <w:r w:rsidRPr="00C06702">
        <w:t xml:space="preserve"> in r/r DLBCL were used as they may better approximate utility for a refractory setting in haematological malignancy. Overall, however, the model was not substantially sensitive </w:t>
      </w:r>
      <w:proofErr w:type="gramStart"/>
      <w:r w:rsidRPr="00C06702">
        <w:t>to choice</w:t>
      </w:r>
      <w:proofErr w:type="gramEnd"/>
      <w:r w:rsidRPr="00C06702">
        <w:t xml:space="preserve"> of utility. </w:t>
      </w:r>
    </w:p>
    <w:p w14:paraId="3D3A799D" w14:textId="01D0C44B" w:rsidR="00850A36" w:rsidRDefault="614747C9" w:rsidP="00850A36">
      <w:r>
        <w:t xml:space="preserve">The ADAR included costs associated with AXI cell treatment and administration, </w:t>
      </w:r>
      <w:r w:rsidR="16AB09B5">
        <w:t>SOC</w:t>
      </w:r>
      <w:r w:rsidR="5B3974CA">
        <w:t xml:space="preserve"> </w:t>
      </w:r>
      <w:r>
        <w:t xml:space="preserve">treatment and administration, subsequent treatment costs, </w:t>
      </w:r>
      <w:r w:rsidR="29DBDCF7">
        <w:t>adverse events</w:t>
      </w:r>
      <w:r>
        <w:t xml:space="preserve">, medical services, hospital services and end of life care. </w:t>
      </w:r>
      <w:r w:rsidR="4DBD4C86">
        <w:t xml:space="preserve"> The </w:t>
      </w:r>
      <w:r w:rsidR="277FAB4D">
        <w:t>Commentary</w:t>
      </w:r>
      <w:r w:rsidR="4DBD4C86">
        <w:t xml:space="preserve"> noted that the hospitalisation costs (</w:t>
      </w:r>
      <w:r w:rsidR="03D5B1F1">
        <w:t xml:space="preserve">$1,995.62 per day based on AR_DRG v11 code 61A minus pharmacy and critical care costs) may have been underestimated. </w:t>
      </w:r>
    </w:p>
    <w:p w14:paraId="07584252" w14:textId="67C9FFAE" w:rsidR="00850A36" w:rsidRDefault="614747C9" w:rsidP="132E0B0E">
      <w:pPr>
        <w:rPr>
          <w:i/>
          <w:iCs/>
        </w:rPr>
      </w:pPr>
      <w:r>
        <w:t xml:space="preserve">The ADAR assumed no additional costs for AXI retreatment. Additionally, the ADAR assumed that 100% of patients in the AXI arm would receive lymphodepleting chemotherapy and AXI. The </w:t>
      </w:r>
      <w:r w:rsidR="108F7F66">
        <w:t>Commentary</w:t>
      </w:r>
      <w:r>
        <w:t xml:space="preserve"> considered </w:t>
      </w:r>
      <w:r w:rsidR="00AFB815">
        <w:t xml:space="preserve">this </w:t>
      </w:r>
      <w:r>
        <w:t xml:space="preserve">was inconsistent with ZUMA-5 which indicated that 2% of the </w:t>
      </w:r>
      <w:r w:rsidR="08BE6EC4">
        <w:t xml:space="preserve">full analysis set </w:t>
      </w:r>
      <w:r>
        <w:t xml:space="preserve">did not receive lymphodepleting chemotherapy or AXI. However, it was unclear if these patients were followed up to the point of an event. Consequently, the </w:t>
      </w:r>
      <w:r w:rsidR="501069C7">
        <w:t>Commentary</w:t>
      </w:r>
      <w:r>
        <w:t xml:space="preserve"> considered that the ADAR’s approach was more conservative and likely more reasonable.</w:t>
      </w:r>
      <w:r w:rsidRPr="132E0B0E">
        <w:rPr>
          <w:i/>
          <w:iCs/>
        </w:rPr>
        <w:t xml:space="preserve"> </w:t>
      </w:r>
    </w:p>
    <w:p w14:paraId="5FF505CD" w14:textId="5F8D60DA" w:rsidR="00850A36" w:rsidRPr="00C06702" w:rsidRDefault="00850A36" w:rsidP="00850A36">
      <w:r w:rsidRPr="00C06702">
        <w:t xml:space="preserve">Other costs had minimal impact on the ICER. </w:t>
      </w:r>
    </w:p>
    <w:p w14:paraId="55EC6449" w14:textId="156A05AA" w:rsidR="00850A36" w:rsidRPr="001654C7" w:rsidRDefault="614747C9" w:rsidP="00850A36">
      <w:r>
        <w:t xml:space="preserve">The ADAR included costs of autologous and allogenic SCT in the </w:t>
      </w:r>
      <w:r w:rsidR="29FEB755">
        <w:t>SOC</w:t>
      </w:r>
      <w:r w:rsidR="28E948D9">
        <w:t xml:space="preserve"> </w:t>
      </w:r>
      <w:r>
        <w:t>arm, but not in the AXI arm. The ZUMA-5</w:t>
      </w:r>
      <w:r w:rsidR="03D5B1F1">
        <w:t xml:space="preserve"> (48</w:t>
      </w:r>
      <w:r w:rsidR="000C0591">
        <w:t>-</w:t>
      </w:r>
      <w:r w:rsidR="03D5B1F1">
        <w:t>month follow</w:t>
      </w:r>
      <w:r w:rsidR="03290EF7">
        <w:t>-</w:t>
      </w:r>
      <w:r w:rsidR="03D5B1F1">
        <w:t>up analysis)</w:t>
      </w:r>
      <w:r>
        <w:t xml:space="preserve"> CSR indicated that in the safety set of ZUMA-5, 1/119 patients received autologous stem cell transplant and 6/119 patients received allogenic stem cell transplant. The </w:t>
      </w:r>
      <w:r w:rsidR="1468C43E">
        <w:t>Commentary</w:t>
      </w:r>
      <w:r>
        <w:t xml:space="preserve"> noted that there does not appear to be a strong consensus on the role of CAR</w:t>
      </w:r>
      <w:r w:rsidR="45607DBF">
        <w:t xml:space="preserve"> </w:t>
      </w:r>
      <w:r>
        <w:t xml:space="preserve">T in </w:t>
      </w:r>
      <w:r w:rsidR="796F5DA1">
        <w:t>FL</w:t>
      </w:r>
      <w:r>
        <w:t xml:space="preserve">, specifically regarding the extent to which it is a replacement </w:t>
      </w:r>
      <w:r w:rsidR="1627F1B4">
        <w:t xml:space="preserve">for, </w:t>
      </w:r>
      <w:r>
        <w:t>rather than a bridge to</w:t>
      </w:r>
      <w:r w:rsidR="00B243A2">
        <w:t>,</w:t>
      </w:r>
      <w:r>
        <w:t xml:space="preserve"> stem cell transplant. Consequently, assuming no subsequent stem cell transplant may underestimate the ICER</w:t>
      </w:r>
      <w:r w:rsidR="56A12AC3">
        <w:t>.</w:t>
      </w:r>
    </w:p>
    <w:p w14:paraId="1403F745" w14:textId="4ABC641F" w:rsidR="00850A36" w:rsidRPr="001654C7" w:rsidRDefault="796F5DA1" w:rsidP="00850A36">
      <w:r>
        <w:t xml:space="preserve">End of life costs were estimated from Langton 2016. </w:t>
      </w:r>
      <w:r w:rsidR="614747C9">
        <w:t xml:space="preserve">The cohort of patients in Langton 2016 included Australian Government Department of Veterans’ Affairs (DVA) clients with a notifiable </w:t>
      </w:r>
      <w:r w:rsidR="614747C9">
        <w:lastRenderedPageBreak/>
        <w:t>cancer diagnosis recorded in the New South Wales Central Cancer Registry (NSW CCR) between 1994 and 2009</w:t>
      </w:r>
      <w:r w:rsidR="673CCA61">
        <w:t xml:space="preserve"> and</w:t>
      </w:r>
      <w:r w:rsidR="614747C9">
        <w:t xml:space="preserve"> were at least 65 years at death. The </w:t>
      </w:r>
      <w:r w:rsidR="7B189AB6">
        <w:t>Commentary</w:t>
      </w:r>
      <w:r w:rsidR="614747C9">
        <w:t xml:space="preserve"> considered that given the broad time</w:t>
      </w:r>
      <w:r w:rsidR="2431E3D0">
        <w:t>frame and</w:t>
      </w:r>
      <w:r w:rsidR="614747C9">
        <w:t xml:space="preserve"> range of cancer</w:t>
      </w:r>
      <w:r w:rsidR="18DE108B">
        <w:t xml:space="preserve"> types</w:t>
      </w:r>
      <w:r w:rsidR="614747C9">
        <w:t xml:space="preserve">, it was unclear to what extent these costs would be relevant to the </w:t>
      </w:r>
      <w:proofErr w:type="gramStart"/>
      <w:r w:rsidR="614747C9">
        <w:t>present day</w:t>
      </w:r>
      <w:proofErr w:type="gramEnd"/>
      <w:r w:rsidR="614747C9">
        <w:t xml:space="preserve"> </w:t>
      </w:r>
      <w:r>
        <w:t>FL</w:t>
      </w:r>
      <w:r w:rsidR="614747C9">
        <w:t xml:space="preserve"> setting. The </w:t>
      </w:r>
      <w:r w:rsidR="7B189AB6">
        <w:t>Commentary</w:t>
      </w:r>
      <w:r w:rsidR="614747C9">
        <w:t xml:space="preserve"> also noted that these costs included clinical visits and procedures as well as prescription medicines, which are already included separately in the model. </w:t>
      </w:r>
      <w:r>
        <w:t>C</w:t>
      </w:r>
      <w:r w:rsidR="614747C9">
        <w:t>onsequently, the application of costs calculated from Langton 2016 likely double</w:t>
      </w:r>
      <w:r w:rsidR="5E68E46B">
        <w:t>-</w:t>
      </w:r>
      <w:r w:rsidR="614747C9">
        <w:t xml:space="preserve">counts costs. Overall, however, removing end of life costs had minimal impact on the ICER. </w:t>
      </w:r>
    </w:p>
    <w:p w14:paraId="7731BECC" w14:textId="7EF1328F" w:rsidR="00850A36" w:rsidRPr="004B0228" w:rsidRDefault="00850A36" w:rsidP="00C06702">
      <w:r w:rsidRPr="004B0228">
        <w:fldChar w:fldCharType="begin"/>
      </w:r>
      <w:r w:rsidRPr="004B0228">
        <w:instrText xml:space="preserve"> REF _Ref69725870 \h </w:instrText>
      </w:r>
      <w:r w:rsidR="00C06702">
        <w:instrText xml:space="preserve"> \* MERGEFORMAT </w:instrText>
      </w:r>
      <w:r w:rsidRPr="004B0228">
        <w:fldChar w:fldCharType="separate"/>
      </w:r>
      <w:r w:rsidR="00C06702" w:rsidRPr="00CE28E3">
        <w:t>Table</w:t>
      </w:r>
      <w:r w:rsidR="00C06702">
        <w:t> </w:t>
      </w:r>
      <w:r w:rsidR="00C06702">
        <w:rPr>
          <w:noProof/>
        </w:rPr>
        <w:t>16</w:t>
      </w:r>
      <w:r w:rsidRPr="004B0228">
        <w:fldChar w:fldCharType="end"/>
      </w:r>
      <w:r w:rsidRPr="004B0228">
        <w:t xml:space="preserve"> presents the results of the economic evaluation.</w:t>
      </w:r>
    </w:p>
    <w:p w14:paraId="4A7182CF" w14:textId="46679FA3" w:rsidR="00850A36" w:rsidRPr="00CE28E3" w:rsidRDefault="00850A36" w:rsidP="00850A36">
      <w:pPr>
        <w:pStyle w:val="Caption"/>
      </w:pPr>
      <w:bookmarkStart w:id="44" w:name="_Ref69725870"/>
      <w:r>
        <w:t>Table </w:t>
      </w:r>
      <w:r w:rsidRPr="132E0B0E">
        <w:rPr>
          <w:noProof/>
        </w:rPr>
        <w:fldChar w:fldCharType="begin"/>
      </w:r>
      <w:r w:rsidRPr="132E0B0E">
        <w:rPr>
          <w:noProof/>
        </w:rPr>
        <w:instrText xml:space="preserve"> SEQ Table \* ARABIC </w:instrText>
      </w:r>
      <w:r w:rsidRPr="132E0B0E">
        <w:rPr>
          <w:noProof/>
        </w:rPr>
        <w:fldChar w:fldCharType="separate"/>
      </w:r>
      <w:r w:rsidR="00C06702" w:rsidRPr="132E0B0E">
        <w:rPr>
          <w:noProof/>
        </w:rPr>
        <w:t>16</w:t>
      </w:r>
      <w:r w:rsidRPr="132E0B0E">
        <w:rPr>
          <w:noProof/>
        </w:rPr>
        <w:fldChar w:fldCharType="end"/>
      </w:r>
      <w:bookmarkEnd w:id="44"/>
      <w:r>
        <w:t xml:space="preserve"> </w:t>
      </w:r>
      <w:r>
        <w:tab/>
        <w:t xml:space="preserve">Results of the economic </w:t>
      </w:r>
      <w:proofErr w:type="gramStart"/>
      <w:r>
        <w:t>evaluation</w:t>
      </w:r>
      <w:proofErr w:type="gramEnd"/>
    </w:p>
    <w:tbl>
      <w:tblPr>
        <w:tblStyle w:val="TableGrid1"/>
        <w:tblW w:w="4871" w:type="pct"/>
        <w:tblLayout w:type="fixed"/>
        <w:tblLook w:val="04A0" w:firstRow="1" w:lastRow="0" w:firstColumn="1" w:lastColumn="0" w:noHBand="0" w:noVBand="1"/>
        <w:tblCaption w:val="Results of the stepped economic analyses"/>
      </w:tblPr>
      <w:tblGrid>
        <w:gridCol w:w="1753"/>
        <w:gridCol w:w="1757"/>
        <w:gridCol w:w="1758"/>
        <w:gridCol w:w="1757"/>
        <w:gridCol w:w="1758"/>
      </w:tblGrid>
      <w:tr w:rsidR="001726E9" w:rsidRPr="00CE28E3" w14:paraId="28911C23" w14:textId="77777777" w:rsidTr="132E0B0E">
        <w:trPr>
          <w:cnfStyle w:val="100000000000" w:firstRow="1" w:lastRow="0" w:firstColumn="0" w:lastColumn="0" w:oddVBand="0" w:evenVBand="0" w:oddHBand="0" w:evenHBand="0" w:firstRowFirstColumn="0" w:firstRowLastColumn="0" w:lastRowFirstColumn="0" w:lastRowLastColumn="0"/>
          <w:cantSplit/>
          <w:trHeight w:val="300"/>
          <w:tblHeader/>
        </w:trPr>
        <w:tc>
          <w:tcPr>
            <w:tcW w:w="998" w:type="pct"/>
            <w:noWrap/>
            <w:hideMark/>
          </w:tcPr>
          <w:p w14:paraId="7FB40BD9" w14:textId="77777777" w:rsidR="001726E9" w:rsidRPr="00CE28E3" w:rsidRDefault="001726E9">
            <w:pPr>
              <w:pStyle w:val="TableHeading"/>
            </w:pPr>
            <w:bookmarkStart w:id="45" w:name="Title_Table6"/>
            <w:bookmarkStart w:id="46" w:name="_Hlk68276518"/>
            <w:bookmarkEnd w:id="45"/>
          </w:p>
        </w:tc>
        <w:tc>
          <w:tcPr>
            <w:tcW w:w="1000" w:type="pct"/>
            <w:noWrap/>
            <w:hideMark/>
          </w:tcPr>
          <w:p w14:paraId="39377D11" w14:textId="77777777" w:rsidR="001726E9" w:rsidRPr="00CE28E3" w:rsidRDefault="001726E9">
            <w:pPr>
              <w:pStyle w:val="TableHeading"/>
              <w:jc w:val="center"/>
            </w:pPr>
            <w:r>
              <w:t>AXI</w:t>
            </w:r>
          </w:p>
        </w:tc>
        <w:tc>
          <w:tcPr>
            <w:tcW w:w="1001" w:type="pct"/>
            <w:noWrap/>
            <w:hideMark/>
          </w:tcPr>
          <w:p w14:paraId="20C5CB1F" w14:textId="1010522A" w:rsidR="001726E9" w:rsidRPr="00CE28E3" w:rsidRDefault="0207C467">
            <w:pPr>
              <w:pStyle w:val="TableHeading"/>
              <w:jc w:val="center"/>
            </w:pPr>
            <w:r>
              <w:t>SOC</w:t>
            </w:r>
          </w:p>
        </w:tc>
        <w:tc>
          <w:tcPr>
            <w:tcW w:w="1000" w:type="pct"/>
            <w:noWrap/>
            <w:hideMark/>
          </w:tcPr>
          <w:p w14:paraId="5F0E24D9" w14:textId="182C8489" w:rsidR="001726E9" w:rsidRPr="00CE28E3" w:rsidRDefault="001726E9">
            <w:pPr>
              <w:pStyle w:val="TableHeading"/>
              <w:jc w:val="center"/>
            </w:pPr>
            <w:r w:rsidRPr="009E23EC">
              <w:t>Increment</w:t>
            </w:r>
          </w:p>
        </w:tc>
        <w:tc>
          <w:tcPr>
            <w:tcW w:w="1001" w:type="pct"/>
          </w:tcPr>
          <w:p w14:paraId="3CA888B3" w14:textId="77777777" w:rsidR="001726E9" w:rsidRPr="00CE28E3" w:rsidRDefault="001726E9">
            <w:pPr>
              <w:pStyle w:val="TableHeading"/>
              <w:jc w:val="center"/>
            </w:pPr>
            <w:r w:rsidRPr="00CE28E3">
              <w:t>ICER</w:t>
            </w:r>
          </w:p>
        </w:tc>
      </w:tr>
      <w:tr w:rsidR="001726E9" w:rsidRPr="00CE28E3" w14:paraId="536BAACC" w14:textId="77777777" w:rsidTr="132E0B0E">
        <w:trPr>
          <w:cantSplit/>
          <w:trHeight w:val="300"/>
        </w:trPr>
        <w:tc>
          <w:tcPr>
            <w:tcW w:w="998" w:type="pct"/>
            <w:tcBorders>
              <w:bottom w:val="nil"/>
            </w:tcBorders>
            <w:noWrap/>
          </w:tcPr>
          <w:p w14:paraId="61F12DC6" w14:textId="77777777" w:rsidR="001726E9" w:rsidRPr="00CE28E3" w:rsidRDefault="001726E9" w:rsidP="001726E9">
            <w:pPr>
              <w:pStyle w:val="Tabletext0"/>
            </w:pPr>
            <w:r>
              <w:t>Costs</w:t>
            </w:r>
          </w:p>
        </w:tc>
        <w:tc>
          <w:tcPr>
            <w:tcW w:w="1000" w:type="pct"/>
            <w:tcBorders>
              <w:bottom w:val="nil"/>
            </w:tcBorders>
            <w:noWrap/>
          </w:tcPr>
          <w:p w14:paraId="7C75F492" w14:textId="0CC9381B" w:rsidR="001726E9" w:rsidRPr="007D095B" w:rsidRDefault="00031AFF" w:rsidP="001726E9">
            <w:pPr>
              <w:pStyle w:val="Tabletext0"/>
              <w:jc w:val="right"/>
              <w:rPr>
                <w:b/>
                <w:bCs/>
              </w:rPr>
            </w:pPr>
            <w:r w:rsidRPr="132E0B0E">
              <w:rPr>
                <w:b/>
                <w:bCs/>
              </w:rPr>
              <w:t>$Redacted</w:t>
            </w:r>
          </w:p>
        </w:tc>
        <w:tc>
          <w:tcPr>
            <w:tcW w:w="1001" w:type="pct"/>
            <w:tcBorders>
              <w:bottom w:val="nil"/>
            </w:tcBorders>
            <w:noWrap/>
          </w:tcPr>
          <w:p w14:paraId="5434779B" w14:textId="7301E4E6" w:rsidR="001726E9" w:rsidRPr="00031AFF" w:rsidRDefault="001726E9" w:rsidP="001726E9">
            <w:pPr>
              <w:pStyle w:val="Tabletext0"/>
              <w:jc w:val="right"/>
            </w:pPr>
            <w:r w:rsidRPr="00031AFF">
              <w:t>$82,227</w:t>
            </w:r>
          </w:p>
        </w:tc>
        <w:tc>
          <w:tcPr>
            <w:tcW w:w="1000" w:type="pct"/>
            <w:tcBorders>
              <w:bottom w:val="nil"/>
            </w:tcBorders>
            <w:noWrap/>
          </w:tcPr>
          <w:p w14:paraId="7BDD44CE" w14:textId="6760E75A" w:rsidR="001726E9" w:rsidRPr="00031AFF" w:rsidRDefault="00031AFF" w:rsidP="001726E9">
            <w:pPr>
              <w:pStyle w:val="Tabletext0"/>
              <w:jc w:val="right"/>
            </w:pPr>
            <w:r w:rsidRPr="132E0B0E">
              <w:rPr>
                <w:b/>
                <w:bCs/>
              </w:rPr>
              <w:t>$Redacted</w:t>
            </w:r>
          </w:p>
        </w:tc>
        <w:tc>
          <w:tcPr>
            <w:tcW w:w="1001" w:type="pct"/>
            <w:tcBorders>
              <w:bottom w:val="nil"/>
            </w:tcBorders>
          </w:tcPr>
          <w:p w14:paraId="72A58852" w14:textId="77777777" w:rsidR="001726E9" w:rsidRPr="00031AFF" w:rsidRDefault="001726E9" w:rsidP="001726E9">
            <w:pPr>
              <w:pStyle w:val="Tabletext0"/>
              <w:jc w:val="right"/>
            </w:pPr>
          </w:p>
        </w:tc>
      </w:tr>
      <w:tr w:rsidR="001726E9" w:rsidRPr="00CE28E3" w14:paraId="5389FE21" w14:textId="77777777" w:rsidTr="132E0B0E">
        <w:trPr>
          <w:cantSplit/>
          <w:trHeight w:val="300"/>
        </w:trPr>
        <w:tc>
          <w:tcPr>
            <w:tcW w:w="998" w:type="pct"/>
            <w:tcBorders>
              <w:top w:val="nil"/>
            </w:tcBorders>
            <w:noWrap/>
          </w:tcPr>
          <w:p w14:paraId="64843B6F" w14:textId="77777777" w:rsidR="001726E9" w:rsidRDefault="001726E9" w:rsidP="001726E9">
            <w:pPr>
              <w:pStyle w:val="Tabletext0"/>
            </w:pPr>
            <w:r>
              <w:t>Life-years</w:t>
            </w:r>
          </w:p>
        </w:tc>
        <w:tc>
          <w:tcPr>
            <w:tcW w:w="1000" w:type="pct"/>
            <w:tcBorders>
              <w:top w:val="nil"/>
            </w:tcBorders>
            <w:noWrap/>
          </w:tcPr>
          <w:p w14:paraId="3FE8FDAC" w14:textId="6F8AC02A" w:rsidR="001726E9" w:rsidRPr="00031AFF" w:rsidRDefault="001726E9" w:rsidP="001726E9">
            <w:pPr>
              <w:pStyle w:val="Tabletext0"/>
              <w:jc w:val="right"/>
            </w:pPr>
            <w:r w:rsidRPr="00031AFF">
              <w:t>8.92</w:t>
            </w:r>
          </w:p>
        </w:tc>
        <w:tc>
          <w:tcPr>
            <w:tcW w:w="1001" w:type="pct"/>
            <w:tcBorders>
              <w:top w:val="nil"/>
            </w:tcBorders>
            <w:noWrap/>
          </w:tcPr>
          <w:p w14:paraId="68587BFC" w14:textId="6D441B25" w:rsidR="001726E9" w:rsidRPr="00031AFF" w:rsidRDefault="001726E9" w:rsidP="001726E9">
            <w:pPr>
              <w:pStyle w:val="Tabletext0"/>
              <w:jc w:val="right"/>
            </w:pPr>
            <w:r w:rsidRPr="00031AFF">
              <w:t>5.98</w:t>
            </w:r>
          </w:p>
        </w:tc>
        <w:tc>
          <w:tcPr>
            <w:tcW w:w="1000" w:type="pct"/>
            <w:tcBorders>
              <w:top w:val="nil"/>
            </w:tcBorders>
            <w:noWrap/>
          </w:tcPr>
          <w:p w14:paraId="25995DD9" w14:textId="45CC8FE7" w:rsidR="001726E9" w:rsidRPr="00031AFF" w:rsidRDefault="001726E9" w:rsidP="001726E9">
            <w:pPr>
              <w:pStyle w:val="Tabletext0"/>
              <w:jc w:val="right"/>
            </w:pPr>
            <w:r w:rsidRPr="00031AFF">
              <w:t>2.94</w:t>
            </w:r>
          </w:p>
        </w:tc>
        <w:tc>
          <w:tcPr>
            <w:tcW w:w="1001" w:type="pct"/>
            <w:tcBorders>
              <w:top w:val="nil"/>
            </w:tcBorders>
          </w:tcPr>
          <w:p w14:paraId="07B20582" w14:textId="5CF00BC1" w:rsidR="001726E9" w:rsidRPr="007D095B" w:rsidRDefault="00031AFF" w:rsidP="001726E9">
            <w:pPr>
              <w:pStyle w:val="Tabletext0"/>
              <w:jc w:val="right"/>
            </w:pPr>
            <w:r w:rsidRPr="132E0B0E">
              <w:rPr>
                <w:b/>
                <w:bCs/>
              </w:rPr>
              <w:t>$Redacted</w:t>
            </w:r>
            <w:r w:rsidR="001726E9">
              <w:t>/life year</w:t>
            </w:r>
          </w:p>
        </w:tc>
      </w:tr>
      <w:tr w:rsidR="001726E9" w:rsidRPr="00CE28E3" w14:paraId="23DF7DA8" w14:textId="77777777" w:rsidTr="132E0B0E">
        <w:trPr>
          <w:trHeight w:val="79"/>
        </w:trPr>
        <w:tc>
          <w:tcPr>
            <w:tcW w:w="998" w:type="pct"/>
            <w:tcBorders>
              <w:top w:val="nil"/>
            </w:tcBorders>
            <w:noWrap/>
          </w:tcPr>
          <w:p w14:paraId="6FE710C7" w14:textId="77777777" w:rsidR="001726E9" w:rsidRDefault="001726E9" w:rsidP="001726E9">
            <w:pPr>
              <w:pStyle w:val="Tabletext0"/>
            </w:pPr>
            <w:r>
              <w:t>QALYs</w:t>
            </w:r>
          </w:p>
        </w:tc>
        <w:tc>
          <w:tcPr>
            <w:tcW w:w="1000" w:type="pct"/>
            <w:tcBorders>
              <w:top w:val="nil"/>
            </w:tcBorders>
            <w:noWrap/>
          </w:tcPr>
          <w:p w14:paraId="0E7B8580" w14:textId="38FAFA4D" w:rsidR="001726E9" w:rsidRPr="00031AFF" w:rsidRDefault="001726E9" w:rsidP="001726E9">
            <w:pPr>
              <w:pStyle w:val="Tabletext0"/>
              <w:jc w:val="right"/>
            </w:pPr>
            <w:r w:rsidRPr="00031AFF">
              <w:t>6.80</w:t>
            </w:r>
          </w:p>
        </w:tc>
        <w:tc>
          <w:tcPr>
            <w:tcW w:w="1001" w:type="pct"/>
            <w:tcBorders>
              <w:top w:val="nil"/>
            </w:tcBorders>
            <w:noWrap/>
          </w:tcPr>
          <w:p w14:paraId="33BD45DC" w14:textId="68D25A58" w:rsidR="001726E9" w:rsidRPr="00031AFF" w:rsidRDefault="001726E9" w:rsidP="001726E9">
            <w:pPr>
              <w:pStyle w:val="Tabletext0"/>
              <w:jc w:val="right"/>
            </w:pPr>
            <w:r w:rsidRPr="00031AFF">
              <w:t>4.07</w:t>
            </w:r>
          </w:p>
        </w:tc>
        <w:tc>
          <w:tcPr>
            <w:tcW w:w="1000" w:type="pct"/>
            <w:tcBorders>
              <w:top w:val="nil"/>
            </w:tcBorders>
            <w:noWrap/>
          </w:tcPr>
          <w:p w14:paraId="7F2DD1E6" w14:textId="0DBF8971" w:rsidR="001726E9" w:rsidRPr="00031AFF" w:rsidRDefault="001726E9" w:rsidP="001726E9">
            <w:pPr>
              <w:pStyle w:val="Tabletext0"/>
              <w:jc w:val="right"/>
            </w:pPr>
            <w:r w:rsidRPr="00031AFF">
              <w:t>2.72</w:t>
            </w:r>
          </w:p>
        </w:tc>
        <w:tc>
          <w:tcPr>
            <w:tcW w:w="1001" w:type="pct"/>
            <w:tcBorders>
              <w:top w:val="nil"/>
            </w:tcBorders>
          </w:tcPr>
          <w:p w14:paraId="1BDA619D" w14:textId="3FC9024C" w:rsidR="001726E9" w:rsidRPr="007D095B" w:rsidRDefault="00031AFF" w:rsidP="001726E9">
            <w:pPr>
              <w:pStyle w:val="Tabletext0"/>
              <w:jc w:val="right"/>
            </w:pPr>
            <w:r w:rsidRPr="132E0B0E">
              <w:rPr>
                <w:b/>
                <w:bCs/>
              </w:rPr>
              <w:t>$Redacted</w:t>
            </w:r>
            <w:r w:rsidR="001726E9" w:rsidRPr="132E0B0E">
              <w:rPr>
                <w:b/>
                <w:bCs/>
              </w:rPr>
              <w:t>/QALY</w:t>
            </w:r>
          </w:p>
        </w:tc>
      </w:tr>
    </w:tbl>
    <w:p w14:paraId="4FE463A8" w14:textId="60AF8D25" w:rsidR="00850A36" w:rsidRPr="00C06702" w:rsidRDefault="00850A36" w:rsidP="00A762F5">
      <w:pPr>
        <w:spacing w:after="0"/>
        <w:rPr>
          <w:rFonts w:ascii="Arial Narrow" w:hAnsi="Arial Narrow"/>
          <w:sz w:val="18"/>
          <w:szCs w:val="18"/>
        </w:rPr>
      </w:pPr>
      <w:r w:rsidRPr="00C06702">
        <w:rPr>
          <w:rFonts w:ascii="Arial Narrow" w:hAnsi="Arial Narrow"/>
          <w:sz w:val="18"/>
          <w:szCs w:val="18"/>
        </w:rPr>
        <w:t>Source: Table 70</w:t>
      </w:r>
      <w:r w:rsidR="001726E9">
        <w:rPr>
          <w:rFonts w:ascii="Arial Narrow" w:hAnsi="Arial Narrow"/>
          <w:sz w:val="18"/>
          <w:szCs w:val="18"/>
        </w:rPr>
        <w:t xml:space="preserve"> </w:t>
      </w:r>
      <w:r w:rsidR="003A0EB2">
        <w:rPr>
          <w:rFonts w:ascii="Arial Narrow" w:hAnsi="Arial Narrow"/>
          <w:sz w:val="18"/>
          <w:szCs w:val="18"/>
        </w:rPr>
        <w:t>o</w:t>
      </w:r>
      <w:r w:rsidR="001726E9">
        <w:rPr>
          <w:rFonts w:ascii="Arial Narrow" w:hAnsi="Arial Narrow"/>
          <w:sz w:val="18"/>
          <w:szCs w:val="18"/>
        </w:rPr>
        <w:t xml:space="preserve">f MSAC 1771 </w:t>
      </w:r>
      <w:proofErr w:type="spellStart"/>
      <w:r w:rsidR="001726E9">
        <w:rPr>
          <w:rFonts w:ascii="Arial Narrow" w:hAnsi="Arial Narrow"/>
          <w:sz w:val="18"/>
          <w:szCs w:val="18"/>
        </w:rPr>
        <w:t>ADAR+in-line</w:t>
      </w:r>
      <w:proofErr w:type="spellEnd"/>
      <w:r w:rsidR="001726E9">
        <w:rPr>
          <w:rFonts w:ascii="Arial Narrow" w:hAnsi="Arial Narrow"/>
          <w:sz w:val="18"/>
          <w:szCs w:val="18"/>
        </w:rPr>
        <w:t xml:space="preserve"> commentary</w:t>
      </w:r>
    </w:p>
    <w:p w14:paraId="07D004C4" w14:textId="002C7140" w:rsidR="00850A36" w:rsidRPr="00C06702" w:rsidRDefault="614747C9" w:rsidP="00C06702">
      <w:pPr>
        <w:spacing w:before="0"/>
        <w:rPr>
          <w:rFonts w:ascii="Arial Narrow" w:hAnsi="Arial Narrow"/>
          <w:color w:val="258221"/>
          <w:sz w:val="18"/>
          <w:szCs w:val="18"/>
        </w:rPr>
      </w:pPr>
      <w:r w:rsidRPr="23728776">
        <w:rPr>
          <w:rFonts w:ascii="Arial Narrow" w:hAnsi="Arial Narrow"/>
          <w:sz w:val="18"/>
          <w:szCs w:val="18"/>
        </w:rPr>
        <w:t>ICER = incremental cost-effectiveness ratio; QALY = quality-adjusted life year</w:t>
      </w:r>
      <w:r w:rsidR="17A326DD" w:rsidRPr="23728776">
        <w:rPr>
          <w:rFonts w:ascii="Arial Narrow" w:hAnsi="Arial Narrow"/>
          <w:sz w:val="18"/>
          <w:szCs w:val="18"/>
        </w:rPr>
        <w:t>; SOC = standard of care</w:t>
      </w:r>
      <w:r w:rsidRPr="23728776">
        <w:rPr>
          <w:rFonts w:ascii="Arial Narrow" w:hAnsi="Arial Narrow"/>
          <w:sz w:val="18"/>
          <w:szCs w:val="18"/>
        </w:rPr>
        <w:t xml:space="preserve">. </w:t>
      </w:r>
    </w:p>
    <w:bookmarkEnd w:id="46"/>
    <w:p w14:paraId="525399C9" w14:textId="705D1101" w:rsidR="00850A36" w:rsidRPr="004B0228" w:rsidRDefault="00850A36" w:rsidP="00C06702">
      <w:r w:rsidRPr="004B0228">
        <w:t xml:space="preserve">Key drivers of the model are presented in </w:t>
      </w:r>
      <w:r w:rsidRPr="004B0228">
        <w:fldChar w:fldCharType="begin"/>
      </w:r>
      <w:r w:rsidRPr="004B0228">
        <w:instrText xml:space="preserve"> REF _Ref69726321 \h </w:instrText>
      </w:r>
      <w:r w:rsidR="00C06702">
        <w:instrText xml:space="preserve"> \* MERGEFORMAT </w:instrText>
      </w:r>
      <w:r w:rsidRPr="004B0228">
        <w:fldChar w:fldCharType="separate"/>
      </w:r>
      <w:r w:rsidR="00C06702" w:rsidRPr="00CE28E3">
        <w:t>Table</w:t>
      </w:r>
      <w:r w:rsidR="00C06702">
        <w:t> </w:t>
      </w:r>
      <w:r w:rsidR="00C06702">
        <w:rPr>
          <w:noProof/>
        </w:rPr>
        <w:t>17</w:t>
      </w:r>
      <w:r w:rsidRPr="004B0228">
        <w:fldChar w:fldCharType="end"/>
      </w:r>
      <w:r w:rsidRPr="004B0228">
        <w:t>.</w:t>
      </w:r>
    </w:p>
    <w:p w14:paraId="6C3F91E7" w14:textId="116F233C" w:rsidR="00850A36" w:rsidRPr="00CE28E3" w:rsidRDefault="00850A36" w:rsidP="00C06702">
      <w:pPr>
        <w:pStyle w:val="Caption"/>
      </w:pPr>
      <w:bookmarkStart w:id="47" w:name="_Ref69726321"/>
      <w:r>
        <w:t>Table </w:t>
      </w:r>
      <w:r>
        <w:fldChar w:fldCharType="begin"/>
      </w:r>
      <w:r>
        <w:instrText>SEQ Table \* ARABIC</w:instrText>
      </w:r>
      <w:r>
        <w:fldChar w:fldCharType="separate"/>
      </w:r>
      <w:r w:rsidR="00C06702" w:rsidRPr="132E0B0E">
        <w:rPr>
          <w:noProof/>
        </w:rPr>
        <w:t>17</w:t>
      </w:r>
      <w:r>
        <w:fldChar w:fldCharType="end"/>
      </w:r>
      <w:bookmarkEnd w:id="47"/>
      <w:r>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467"/>
        <w:gridCol w:w="5420"/>
      </w:tblGrid>
      <w:tr w:rsidR="00850A36" w:rsidRPr="001654C7" w14:paraId="4D79F6A0" w14:textId="77777777" w:rsidTr="132E0B0E">
        <w:trPr>
          <w:tblHeader/>
        </w:trPr>
        <w:tc>
          <w:tcPr>
            <w:tcW w:w="626" w:type="pct"/>
            <w:shd w:val="clear" w:color="auto" w:fill="auto"/>
            <w:vAlign w:val="center"/>
          </w:tcPr>
          <w:p w14:paraId="5DCD3B9C" w14:textId="77777777" w:rsidR="00850A36" w:rsidRPr="001654C7" w:rsidRDefault="00850A36" w:rsidP="00A762F5">
            <w:pPr>
              <w:pStyle w:val="In-tableHeading"/>
              <w:rPr>
                <w:lang w:val="en-AU"/>
              </w:rPr>
            </w:pPr>
            <w:bookmarkStart w:id="48" w:name="Title_Table10" w:colFirst="0" w:colLast="0"/>
            <w:bookmarkStart w:id="49" w:name="_Hlk68276626"/>
            <w:r w:rsidRPr="001654C7">
              <w:rPr>
                <w:lang w:val="en-AU"/>
              </w:rPr>
              <w:t>Description</w:t>
            </w:r>
          </w:p>
        </w:tc>
        <w:tc>
          <w:tcPr>
            <w:tcW w:w="1368" w:type="pct"/>
            <w:shd w:val="clear" w:color="auto" w:fill="auto"/>
            <w:vAlign w:val="center"/>
          </w:tcPr>
          <w:p w14:paraId="2574B0B5" w14:textId="77777777" w:rsidR="00850A36" w:rsidRPr="001654C7" w:rsidRDefault="00850A36" w:rsidP="00C06702">
            <w:pPr>
              <w:pStyle w:val="In-tableHeading"/>
              <w:jc w:val="center"/>
              <w:rPr>
                <w:lang w:val="en-AU"/>
              </w:rPr>
            </w:pPr>
            <w:r w:rsidRPr="001654C7">
              <w:rPr>
                <w:lang w:val="en-AU"/>
              </w:rPr>
              <w:t>Method/Value</w:t>
            </w:r>
          </w:p>
        </w:tc>
        <w:tc>
          <w:tcPr>
            <w:tcW w:w="3006" w:type="pct"/>
            <w:shd w:val="clear" w:color="auto" w:fill="auto"/>
            <w:vAlign w:val="center"/>
          </w:tcPr>
          <w:p w14:paraId="08ABCBDA" w14:textId="77777777" w:rsidR="00850A36" w:rsidRPr="00031AFF" w:rsidRDefault="00850A36" w:rsidP="00C06702">
            <w:pPr>
              <w:pStyle w:val="In-tableHeading"/>
              <w:jc w:val="center"/>
              <w:rPr>
                <w:lang w:val="en-AU"/>
              </w:rPr>
            </w:pPr>
            <w:r w:rsidRPr="00031AFF">
              <w:rPr>
                <w:lang w:val="en-AU"/>
              </w:rPr>
              <w:t>Impact</w:t>
            </w:r>
          </w:p>
          <w:p w14:paraId="41B8113C" w14:textId="6717D0E6" w:rsidR="00850A36" w:rsidRPr="00031AFF" w:rsidRDefault="00850A36" w:rsidP="00C06702">
            <w:pPr>
              <w:pStyle w:val="In-tableHeading"/>
              <w:spacing w:after="160"/>
              <w:jc w:val="center"/>
              <w:rPr>
                <w:lang w:val="en-AU"/>
              </w:rPr>
            </w:pPr>
            <w:r w:rsidRPr="132E0B0E">
              <w:rPr>
                <w:rFonts w:cs="Arial"/>
                <w:lang w:val="en-AU"/>
              </w:rPr>
              <w:t>Base case: $</w:t>
            </w:r>
            <w:r w:rsidR="00031AFF" w:rsidRPr="132E0B0E">
              <w:rPr>
                <w:rFonts w:cs="Arial"/>
                <w:lang w:val="en-AU"/>
              </w:rPr>
              <w:t>Redacted</w:t>
            </w:r>
            <w:r w:rsidRPr="132E0B0E">
              <w:rPr>
                <w:rFonts w:cs="Arial"/>
                <w:lang w:val="en-AU"/>
              </w:rPr>
              <w:t>/QALY gained</w:t>
            </w:r>
          </w:p>
        </w:tc>
      </w:tr>
      <w:bookmarkEnd w:id="48"/>
      <w:tr w:rsidR="00850A36" w:rsidRPr="001654C7" w14:paraId="59D11467" w14:textId="77777777" w:rsidTr="132E0B0E">
        <w:tc>
          <w:tcPr>
            <w:tcW w:w="626" w:type="pct"/>
            <w:shd w:val="clear" w:color="auto" w:fill="auto"/>
            <w:vAlign w:val="center"/>
          </w:tcPr>
          <w:p w14:paraId="5AF72B12" w14:textId="77777777" w:rsidR="00850A36" w:rsidRPr="001654C7" w:rsidRDefault="00850A36" w:rsidP="00A762F5">
            <w:pPr>
              <w:pStyle w:val="TableText"/>
              <w:keepNext/>
            </w:pPr>
            <w:r w:rsidRPr="001654C7">
              <w:t>Cure point</w:t>
            </w:r>
          </w:p>
        </w:tc>
        <w:tc>
          <w:tcPr>
            <w:tcW w:w="1368" w:type="pct"/>
            <w:shd w:val="clear" w:color="auto" w:fill="auto"/>
            <w:vAlign w:val="center"/>
          </w:tcPr>
          <w:p w14:paraId="573C2E4D" w14:textId="77777777" w:rsidR="00850A36" w:rsidRPr="001654C7" w:rsidRDefault="00850A36" w:rsidP="00C06702">
            <w:pPr>
              <w:pStyle w:val="TableText"/>
              <w:keepNext/>
            </w:pPr>
            <w:r w:rsidRPr="001654C7">
              <w:t>5 years</w:t>
            </w:r>
          </w:p>
        </w:tc>
        <w:tc>
          <w:tcPr>
            <w:tcW w:w="3006" w:type="pct"/>
            <w:shd w:val="clear" w:color="auto" w:fill="auto"/>
            <w:vAlign w:val="center"/>
          </w:tcPr>
          <w:p w14:paraId="3AC914DE" w14:textId="77777777" w:rsidR="00850A36" w:rsidRPr="00031AFF" w:rsidRDefault="00850A36" w:rsidP="00C06702">
            <w:pPr>
              <w:pStyle w:val="TableText"/>
              <w:keepNext/>
              <w:rPr>
                <w:i/>
              </w:rPr>
            </w:pPr>
            <w:r w:rsidRPr="00031AFF">
              <w:rPr>
                <w:i/>
              </w:rPr>
              <w:t>High, favours AXI</w:t>
            </w:r>
          </w:p>
          <w:p w14:paraId="4F325AC5" w14:textId="661FE509" w:rsidR="00850A36" w:rsidRPr="00031AFF" w:rsidRDefault="00850A36" w:rsidP="132E0B0E">
            <w:pPr>
              <w:pStyle w:val="TableText"/>
              <w:keepNext/>
              <w:rPr>
                <w:i/>
                <w:iCs/>
              </w:rPr>
            </w:pPr>
            <w:r w:rsidRPr="132E0B0E">
              <w:rPr>
                <w:i/>
                <w:iCs/>
              </w:rPr>
              <w:t xml:space="preserve">Increasing the cure point to 10 years increased the ICER to </w:t>
            </w:r>
            <w:r w:rsidRPr="132E0B0E">
              <w:rPr>
                <w:b/>
                <w:bCs/>
                <w:i/>
                <w:iCs/>
              </w:rPr>
              <w:t>$</w:t>
            </w:r>
            <w:r w:rsidR="00031AFF" w:rsidRPr="132E0B0E">
              <w:rPr>
                <w:b/>
                <w:bCs/>
                <w:i/>
                <w:iCs/>
              </w:rPr>
              <w:t>Redacted</w:t>
            </w:r>
            <w:r w:rsidRPr="132E0B0E">
              <w:rPr>
                <w:i/>
                <w:iCs/>
              </w:rPr>
              <w:t xml:space="preserve">/ QALY gained </w:t>
            </w:r>
            <w:r>
              <w:br/>
            </w:r>
            <w:r w:rsidRPr="132E0B0E">
              <w:rPr>
                <w:i/>
                <w:iCs/>
              </w:rPr>
              <w:t xml:space="preserve">Removing the cure assumption increased the ICER to </w:t>
            </w:r>
            <w:r w:rsidRPr="132E0B0E">
              <w:rPr>
                <w:b/>
                <w:bCs/>
                <w:i/>
                <w:iCs/>
              </w:rPr>
              <w:t>$</w:t>
            </w:r>
            <w:r w:rsidR="00031AFF" w:rsidRPr="132E0B0E">
              <w:rPr>
                <w:b/>
                <w:bCs/>
                <w:i/>
                <w:iCs/>
              </w:rPr>
              <w:t>Redacted</w:t>
            </w:r>
            <w:r w:rsidRPr="132E0B0E">
              <w:rPr>
                <w:i/>
                <w:iCs/>
              </w:rPr>
              <w:t xml:space="preserve">/QALY gained. </w:t>
            </w:r>
          </w:p>
        </w:tc>
      </w:tr>
      <w:tr w:rsidR="00850A36" w:rsidRPr="001654C7" w14:paraId="75A84194" w14:textId="77777777" w:rsidTr="132E0B0E">
        <w:tc>
          <w:tcPr>
            <w:tcW w:w="626" w:type="pct"/>
            <w:shd w:val="clear" w:color="auto" w:fill="auto"/>
            <w:vAlign w:val="center"/>
          </w:tcPr>
          <w:p w14:paraId="45088F48" w14:textId="197DE713" w:rsidR="00850A36" w:rsidRPr="001654C7" w:rsidRDefault="614747C9" w:rsidP="00A762F5">
            <w:pPr>
              <w:pStyle w:val="TableText"/>
              <w:keepNext/>
            </w:pPr>
            <w:r>
              <w:t>S</w:t>
            </w:r>
            <w:r w:rsidR="1A32B3BF">
              <w:t>O</w:t>
            </w:r>
            <w:r>
              <w:t>C OS extrapolation</w:t>
            </w:r>
          </w:p>
        </w:tc>
        <w:tc>
          <w:tcPr>
            <w:tcW w:w="1368" w:type="pct"/>
            <w:shd w:val="clear" w:color="auto" w:fill="auto"/>
            <w:vAlign w:val="center"/>
          </w:tcPr>
          <w:p w14:paraId="746D8B27" w14:textId="77777777" w:rsidR="00850A36" w:rsidRPr="001654C7" w:rsidRDefault="00850A36" w:rsidP="00C06702">
            <w:pPr>
              <w:pStyle w:val="TableText"/>
              <w:keepNext/>
            </w:pPr>
            <w:r w:rsidRPr="001654C7">
              <w:t>Weibull</w:t>
            </w:r>
          </w:p>
        </w:tc>
        <w:tc>
          <w:tcPr>
            <w:tcW w:w="3006" w:type="pct"/>
            <w:shd w:val="clear" w:color="auto" w:fill="auto"/>
            <w:vAlign w:val="center"/>
          </w:tcPr>
          <w:p w14:paraId="29805ABE" w14:textId="3C701ADF" w:rsidR="00850A36" w:rsidRPr="00031AFF" w:rsidRDefault="00850A36" w:rsidP="00C06702">
            <w:pPr>
              <w:pStyle w:val="TableText"/>
              <w:keepNext/>
              <w:rPr>
                <w:i/>
              </w:rPr>
            </w:pPr>
            <w:r w:rsidRPr="00031AFF">
              <w:rPr>
                <w:i/>
              </w:rPr>
              <w:t>High</w:t>
            </w:r>
            <w:r w:rsidR="00835097" w:rsidRPr="00031AFF">
              <w:rPr>
                <w:i/>
              </w:rPr>
              <w:t>,</w:t>
            </w:r>
            <w:r w:rsidRPr="00031AFF">
              <w:rPr>
                <w:i/>
              </w:rPr>
              <w:t xml:space="preserve"> uncertain</w:t>
            </w:r>
          </w:p>
          <w:p w14:paraId="3C26035D" w14:textId="23F6B2CC" w:rsidR="00850A36" w:rsidRPr="00031AFF" w:rsidRDefault="00850A36" w:rsidP="132E0B0E">
            <w:pPr>
              <w:pStyle w:val="TableText"/>
              <w:keepNext/>
              <w:rPr>
                <w:i/>
                <w:iCs/>
              </w:rPr>
            </w:pPr>
            <w:r w:rsidRPr="132E0B0E">
              <w:rPr>
                <w:i/>
                <w:iCs/>
              </w:rPr>
              <w:t xml:space="preserve">Selecting an exponential extrapolation decreased the ICER to </w:t>
            </w:r>
            <w:r w:rsidRPr="132E0B0E">
              <w:rPr>
                <w:b/>
                <w:bCs/>
                <w:i/>
                <w:iCs/>
              </w:rPr>
              <w:t>$</w:t>
            </w:r>
            <w:r w:rsidR="00031AFF" w:rsidRPr="132E0B0E">
              <w:rPr>
                <w:b/>
                <w:bCs/>
                <w:i/>
                <w:iCs/>
              </w:rPr>
              <w:t>Redacted</w:t>
            </w:r>
            <w:r w:rsidRPr="132E0B0E">
              <w:rPr>
                <w:i/>
                <w:iCs/>
              </w:rPr>
              <w:t xml:space="preserve">/ QALY </w:t>
            </w:r>
            <w:proofErr w:type="gramStart"/>
            <w:r w:rsidRPr="132E0B0E">
              <w:rPr>
                <w:i/>
                <w:iCs/>
              </w:rPr>
              <w:t>gained</w:t>
            </w:r>
            <w:proofErr w:type="gramEnd"/>
          </w:p>
          <w:p w14:paraId="195BE68C" w14:textId="34A508BB" w:rsidR="00850A36" w:rsidRPr="00031AFF" w:rsidRDefault="00850A36" w:rsidP="132E0B0E">
            <w:pPr>
              <w:pStyle w:val="TableText"/>
              <w:keepNext/>
              <w:rPr>
                <w:i/>
                <w:iCs/>
              </w:rPr>
            </w:pPr>
            <w:r w:rsidRPr="132E0B0E">
              <w:rPr>
                <w:i/>
                <w:iCs/>
              </w:rPr>
              <w:t xml:space="preserve">Selecting a lognormal extrapolation increased the ICER to </w:t>
            </w:r>
            <w:r w:rsidRPr="132E0B0E">
              <w:rPr>
                <w:b/>
                <w:bCs/>
                <w:i/>
                <w:iCs/>
              </w:rPr>
              <w:t>$</w:t>
            </w:r>
            <w:r w:rsidR="00031AFF" w:rsidRPr="132E0B0E">
              <w:rPr>
                <w:b/>
                <w:bCs/>
                <w:i/>
                <w:iCs/>
              </w:rPr>
              <w:t>Redacted</w:t>
            </w:r>
            <w:r w:rsidRPr="132E0B0E">
              <w:rPr>
                <w:i/>
                <w:iCs/>
              </w:rPr>
              <w:t>/ QALY gained</w:t>
            </w:r>
          </w:p>
        </w:tc>
      </w:tr>
      <w:tr w:rsidR="00850A36" w:rsidRPr="001654C7" w14:paraId="62A15774" w14:textId="77777777" w:rsidTr="132E0B0E">
        <w:tc>
          <w:tcPr>
            <w:tcW w:w="626" w:type="pct"/>
            <w:shd w:val="clear" w:color="auto" w:fill="auto"/>
            <w:vAlign w:val="center"/>
          </w:tcPr>
          <w:p w14:paraId="52E8B7DC" w14:textId="77777777" w:rsidR="00850A36" w:rsidRPr="001654C7" w:rsidRDefault="00850A36" w:rsidP="00A762F5">
            <w:pPr>
              <w:pStyle w:val="TableText"/>
              <w:keepNext/>
            </w:pPr>
            <w:r w:rsidRPr="001654C7">
              <w:t>Cure fraction</w:t>
            </w:r>
          </w:p>
        </w:tc>
        <w:tc>
          <w:tcPr>
            <w:tcW w:w="1368" w:type="pct"/>
            <w:shd w:val="clear" w:color="auto" w:fill="auto"/>
            <w:vAlign w:val="center"/>
          </w:tcPr>
          <w:p w14:paraId="44E25EBE" w14:textId="28F7AF25" w:rsidR="00850A36" w:rsidRPr="001654C7" w:rsidRDefault="00850A36" w:rsidP="00C06702">
            <w:pPr>
              <w:pStyle w:val="TableText"/>
              <w:keepNext/>
            </w:pPr>
            <w:r>
              <w:t>40% of AXI patients in PFS state at 5 years will be cured, remainder will continue to follow parametrically extrapolated OS and PFS</w:t>
            </w:r>
          </w:p>
        </w:tc>
        <w:tc>
          <w:tcPr>
            <w:tcW w:w="3006" w:type="pct"/>
            <w:shd w:val="clear" w:color="auto" w:fill="auto"/>
            <w:vAlign w:val="center"/>
          </w:tcPr>
          <w:p w14:paraId="3B598779" w14:textId="77777777" w:rsidR="00850A36" w:rsidRPr="00031AFF" w:rsidRDefault="00850A36" w:rsidP="00C06702">
            <w:pPr>
              <w:pStyle w:val="TableText"/>
              <w:keepNext/>
            </w:pPr>
            <w:r w:rsidRPr="00031AFF">
              <w:rPr>
                <w:i/>
              </w:rPr>
              <w:t>High, favours AXI</w:t>
            </w:r>
            <w:r w:rsidRPr="00031AFF">
              <w:t xml:space="preserve"> </w:t>
            </w:r>
          </w:p>
          <w:p w14:paraId="74AF0EBC" w14:textId="0BE420EE" w:rsidR="00850A36" w:rsidRPr="00031AFF" w:rsidRDefault="00850A36" w:rsidP="00C06702">
            <w:pPr>
              <w:pStyle w:val="TableText"/>
              <w:keepNext/>
            </w:pPr>
            <w:r>
              <w:t xml:space="preserve">Decreasing the cure fraction to 20% increases the ICER to </w:t>
            </w:r>
            <w:r w:rsidRPr="132E0B0E">
              <w:rPr>
                <w:b/>
                <w:bCs/>
              </w:rPr>
              <w:t>$</w:t>
            </w:r>
            <w:r w:rsidR="00031AFF" w:rsidRPr="132E0B0E">
              <w:rPr>
                <w:b/>
                <w:bCs/>
              </w:rPr>
              <w:t>Redacted</w:t>
            </w:r>
            <w:r>
              <w:t xml:space="preserve">/ QALY </w:t>
            </w:r>
            <w:proofErr w:type="gramStart"/>
            <w:r>
              <w:t>gained</w:t>
            </w:r>
            <w:proofErr w:type="gramEnd"/>
          </w:p>
          <w:p w14:paraId="7AD54412" w14:textId="21034B10" w:rsidR="00850A36" w:rsidRPr="00031AFF" w:rsidRDefault="00850A36" w:rsidP="00C06702">
            <w:pPr>
              <w:pStyle w:val="TableText"/>
              <w:keepNext/>
            </w:pPr>
            <w:r>
              <w:t xml:space="preserve">Removing the cure assumption increases the ICER to </w:t>
            </w:r>
            <w:r w:rsidRPr="132E0B0E">
              <w:rPr>
                <w:b/>
                <w:bCs/>
                <w:i/>
                <w:iCs/>
              </w:rPr>
              <w:t>$</w:t>
            </w:r>
            <w:r w:rsidR="00031AFF" w:rsidRPr="132E0B0E">
              <w:rPr>
                <w:b/>
                <w:bCs/>
                <w:i/>
                <w:iCs/>
              </w:rPr>
              <w:t>Redacted</w:t>
            </w:r>
            <w:r w:rsidRPr="132E0B0E">
              <w:rPr>
                <w:i/>
                <w:iCs/>
              </w:rPr>
              <w:t>/QALY gained</w:t>
            </w:r>
          </w:p>
        </w:tc>
      </w:tr>
      <w:tr w:rsidR="00850A36" w:rsidRPr="001654C7" w14:paraId="5BE9FE16" w14:textId="77777777" w:rsidTr="132E0B0E">
        <w:tc>
          <w:tcPr>
            <w:tcW w:w="626" w:type="pct"/>
            <w:shd w:val="clear" w:color="auto" w:fill="auto"/>
            <w:vAlign w:val="center"/>
          </w:tcPr>
          <w:p w14:paraId="62A4F327" w14:textId="77777777" w:rsidR="00850A36" w:rsidRPr="001654C7" w:rsidRDefault="00850A36" w:rsidP="00A762F5">
            <w:pPr>
              <w:pStyle w:val="TableText"/>
              <w:keepNext/>
            </w:pPr>
            <w:r w:rsidRPr="001654C7">
              <w:t>SMR</w:t>
            </w:r>
          </w:p>
        </w:tc>
        <w:tc>
          <w:tcPr>
            <w:tcW w:w="1368" w:type="pct"/>
            <w:shd w:val="clear" w:color="auto" w:fill="auto"/>
            <w:vAlign w:val="center"/>
          </w:tcPr>
          <w:p w14:paraId="6D10FC3A" w14:textId="77777777" w:rsidR="00850A36" w:rsidRPr="001654C7" w:rsidRDefault="00850A36" w:rsidP="00C06702">
            <w:pPr>
              <w:pStyle w:val="TableText"/>
              <w:keepNext/>
            </w:pPr>
            <w:r w:rsidRPr="001654C7">
              <w:t>1.09</w:t>
            </w:r>
          </w:p>
        </w:tc>
        <w:tc>
          <w:tcPr>
            <w:tcW w:w="3006" w:type="pct"/>
            <w:shd w:val="clear" w:color="auto" w:fill="auto"/>
            <w:vAlign w:val="center"/>
          </w:tcPr>
          <w:p w14:paraId="3FA92DD6" w14:textId="77777777" w:rsidR="00850A36" w:rsidRPr="00031AFF" w:rsidRDefault="00850A36" w:rsidP="00C06702">
            <w:pPr>
              <w:pStyle w:val="TableText"/>
              <w:keepNext/>
              <w:rPr>
                <w:i/>
                <w:iCs/>
              </w:rPr>
            </w:pPr>
            <w:r w:rsidRPr="00031AFF">
              <w:rPr>
                <w:i/>
                <w:iCs/>
              </w:rPr>
              <w:t xml:space="preserve">Moderate, favours AXI, </w:t>
            </w:r>
          </w:p>
          <w:p w14:paraId="585052D1" w14:textId="248E7E5A" w:rsidR="00850A36" w:rsidRPr="00031AFF" w:rsidRDefault="00850A36" w:rsidP="00C06702">
            <w:pPr>
              <w:pStyle w:val="TableText"/>
              <w:keepNext/>
            </w:pPr>
            <w:r>
              <w:t xml:space="preserve">Increasing the SMR to 2.7 increases the ICER to </w:t>
            </w:r>
            <w:r w:rsidRPr="132E0B0E">
              <w:rPr>
                <w:b/>
                <w:bCs/>
              </w:rPr>
              <w:t>$</w:t>
            </w:r>
            <w:r w:rsidR="00031AFF" w:rsidRPr="132E0B0E">
              <w:rPr>
                <w:b/>
                <w:bCs/>
              </w:rPr>
              <w:t>Redacted</w:t>
            </w:r>
            <w:r>
              <w:t xml:space="preserve">/QALY </w:t>
            </w:r>
            <w:proofErr w:type="gramStart"/>
            <w:r>
              <w:t>gained</w:t>
            </w:r>
            <w:proofErr w:type="gramEnd"/>
          </w:p>
          <w:p w14:paraId="1C86013B" w14:textId="560FF6D0" w:rsidR="00850A36" w:rsidRPr="00031AFF" w:rsidRDefault="00850A36" w:rsidP="00C06702">
            <w:pPr>
              <w:pStyle w:val="TableText"/>
              <w:keepNext/>
            </w:pPr>
            <w:r>
              <w:t xml:space="preserve">Increasing the SMR to 3.7 increases the ICER to </w:t>
            </w:r>
            <w:r w:rsidRPr="132E0B0E">
              <w:rPr>
                <w:b/>
                <w:bCs/>
              </w:rPr>
              <w:t>$</w:t>
            </w:r>
            <w:r w:rsidR="00031AFF" w:rsidRPr="132E0B0E">
              <w:rPr>
                <w:b/>
                <w:bCs/>
              </w:rPr>
              <w:t>Redacted</w:t>
            </w:r>
            <w:r>
              <w:t>/ QALY gained</w:t>
            </w:r>
          </w:p>
        </w:tc>
      </w:tr>
    </w:tbl>
    <w:p w14:paraId="3AC58109" w14:textId="4C754064" w:rsidR="00850A36" w:rsidRDefault="00850A36" w:rsidP="001726E9">
      <w:pPr>
        <w:pStyle w:val="TableFooter"/>
        <w:keepNext/>
      </w:pPr>
      <w:bookmarkStart w:id="50" w:name="_Hlk68276635"/>
      <w:bookmarkEnd w:id="49"/>
      <w:r>
        <w:t xml:space="preserve">Source: constructed during the </w:t>
      </w:r>
      <w:r w:rsidR="00126ADE">
        <w:t>evaluation</w:t>
      </w:r>
      <w:r>
        <w:t>.</w:t>
      </w:r>
    </w:p>
    <w:p w14:paraId="45F41774" w14:textId="4106F7C2" w:rsidR="00850A36" w:rsidRPr="00CE28E3" w:rsidRDefault="614747C9" w:rsidP="00C06702">
      <w:pPr>
        <w:pStyle w:val="TableFooter"/>
        <w:keepNext/>
      </w:pPr>
      <w:r>
        <w:t>ICER = incremental cost-effectiveness ratio; QALY = quality-adjusted life year. OS = overall survival; PFS = progression free survival; QALY = quality adjusted life-year; S</w:t>
      </w:r>
      <w:r w:rsidR="02E898C0">
        <w:t>O</w:t>
      </w:r>
      <w:r>
        <w:t xml:space="preserve">C = standard of care; </w:t>
      </w:r>
      <w:r w:rsidRPr="23728776">
        <w:rPr>
          <w:color w:val="000000" w:themeColor="text1"/>
        </w:rPr>
        <w:t xml:space="preserve">SMR = standardised mortality </w:t>
      </w:r>
      <w:proofErr w:type="gramStart"/>
      <w:r w:rsidRPr="23728776">
        <w:rPr>
          <w:color w:val="000000" w:themeColor="text1"/>
        </w:rPr>
        <w:t>ratio;</w:t>
      </w:r>
      <w:proofErr w:type="gramEnd"/>
      <w:r>
        <w:t xml:space="preserve"> </w:t>
      </w:r>
    </w:p>
    <w:bookmarkEnd w:id="50"/>
    <w:p w14:paraId="4034872C" w14:textId="31E87C3F" w:rsidR="00850A36" w:rsidRDefault="00850A36" w:rsidP="00850A36">
      <w:r w:rsidRPr="00CE28E3">
        <w:t xml:space="preserve">The results of key sensitivity analyses are </w:t>
      </w:r>
      <w:r>
        <w:t xml:space="preserve">in </w:t>
      </w:r>
      <w:r>
        <w:fldChar w:fldCharType="begin"/>
      </w:r>
      <w:r>
        <w:instrText xml:space="preserve"> REF _Ref69726347 \h </w:instrText>
      </w:r>
      <w:r>
        <w:fldChar w:fldCharType="separate"/>
      </w:r>
      <w:r w:rsidR="00C06702" w:rsidRPr="00CE28E3">
        <w:t>Table</w:t>
      </w:r>
      <w:r w:rsidR="00C06702">
        <w:t> </w:t>
      </w:r>
      <w:r w:rsidR="00C06702">
        <w:rPr>
          <w:noProof/>
        </w:rPr>
        <w:t>18</w:t>
      </w:r>
      <w:r>
        <w:fldChar w:fldCharType="end"/>
      </w:r>
      <w:r>
        <w:t>.</w:t>
      </w:r>
      <w:r w:rsidRPr="00CE28E3">
        <w:t xml:space="preserve"> </w:t>
      </w:r>
    </w:p>
    <w:p w14:paraId="3A326825" w14:textId="1A69BAA1" w:rsidR="00850A36" w:rsidRDefault="00850A36" w:rsidP="00850A36">
      <w:pPr>
        <w:pStyle w:val="Caption"/>
        <w:spacing w:after="0"/>
      </w:pPr>
      <w:bookmarkStart w:id="51" w:name="_Ref69726347"/>
      <w:r>
        <w:lastRenderedPageBreak/>
        <w:t>Table </w:t>
      </w:r>
      <w:r>
        <w:fldChar w:fldCharType="begin"/>
      </w:r>
      <w:r>
        <w:instrText>SEQ Table \* ARABIC</w:instrText>
      </w:r>
      <w:r>
        <w:fldChar w:fldCharType="separate"/>
      </w:r>
      <w:r w:rsidR="00C06702" w:rsidRPr="132E0B0E">
        <w:rPr>
          <w:noProof/>
        </w:rPr>
        <w:t>18</w:t>
      </w:r>
      <w:r>
        <w:fldChar w:fldCharType="end"/>
      </w:r>
      <w:bookmarkEnd w:id="51"/>
      <w:r>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955"/>
        <w:gridCol w:w="1531"/>
        <w:gridCol w:w="1441"/>
        <w:gridCol w:w="1260"/>
        <w:gridCol w:w="829"/>
      </w:tblGrid>
      <w:tr w:rsidR="00850A36" w:rsidRPr="00C06702" w14:paraId="2B6C7E39" w14:textId="77777777" w:rsidTr="132E0B0E">
        <w:trPr>
          <w:trHeight w:val="420"/>
          <w:tblHeader/>
        </w:trPr>
        <w:tc>
          <w:tcPr>
            <w:tcW w:w="2193" w:type="pct"/>
            <w:vAlign w:val="center"/>
          </w:tcPr>
          <w:p w14:paraId="3AD22005" w14:textId="77777777" w:rsidR="00850A36" w:rsidRPr="00C06702" w:rsidRDefault="00850A36" w:rsidP="001726E9">
            <w:pPr>
              <w:pStyle w:val="In-tableHeading"/>
              <w:keepNext w:val="0"/>
              <w:rPr>
                <w:color w:val="000000" w:themeColor="text1"/>
              </w:rPr>
            </w:pPr>
            <w:r w:rsidRPr="00C06702">
              <w:rPr>
                <w:color w:val="000000" w:themeColor="text1"/>
              </w:rPr>
              <w:t>Analyses</w:t>
            </w:r>
          </w:p>
        </w:tc>
        <w:tc>
          <w:tcPr>
            <w:tcW w:w="849" w:type="pct"/>
            <w:vAlign w:val="center"/>
          </w:tcPr>
          <w:p w14:paraId="2A232BB8" w14:textId="77777777" w:rsidR="00850A36" w:rsidRPr="00C06702" w:rsidRDefault="00850A36" w:rsidP="001726E9">
            <w:pPr>
              <w:pStyle w:val="In-tableHeading"/>
              <w:keepNext w:val="0"/>
              <w:jc w:val="center"/>
              <w:rPr>
                <w:color w:val="000000" w:themeColor="text1"/>
              </w:rPr>
            </w:pPr>
            <w:r w:rsidRPr="00C06702">
              <w:rPr>
                <w:color w:val="000000" w:themeColor="text1"/>
              </w:rPr>
              <w:t>Incremental cost</w:t>
            </w:r>
          </w:p>
        </w:tc>
        <w:tc>
          <w:tcPr>
            <w:tcW w:w="799" w:type="pct"/>
            <w:vAlign w:val="center"/>
          </w:tcPr>
          <w:p w14:paraId="22510BC3" w14:textId="77777777" w:rsidR="00850A36" w:rsidRPr="00C06702" w:rsidRDefault="00850A36" w:rsidP="001726E9">
            <w:pPr>
              <w:pStyle w:val="In-tableHeading"/>
              <w:keepNext w:val="0"/>
              <w:jc w:val="center"/>
              <w:rPr>
                <w:color w:val="000000" w:themeColor="text1"/>
              </w:rPr>
            </w:pPr>
            <w:r w:rsidRPr="00C06702">
              <w:rPr>
                <w:color w:val="000000" w:themeColor="text1"/>
              </w:rPr>
              <w:t>Incremental QALY</w:t>
            </w:r>
          </w:p>
        </w:tc>
        <w:tc>
          <w:tcPr>
            <w:tcW w:w="699" w:type="pct"/>
            <w:vAlign w:val="center"/>
          </w:tcPr>
          <w:p w14:paraId="1A3CEA1F" w14:textId="77777777" w:rsidR="00850A36" w:rsidRPr="00C06702" w:rsidRDefault="00850A36" w:rsidP="001726E9">
            <w:pPr>
              <w:pStyle w:val="In-tableHeading"/>
              <w:keepNext w:val="0"/>
              <w:jc w:val="center"/>
              <w:rPr>
                <w:color w:val="000000" w:themeColor="text1"/>
              </w:rPr>
            </w:pPr>
            <w:r w:rsidRPr="00C06702">
              <w:rPr>
                <w:color w:val="000000" w:themeColor="text1"/>
              </w:rPr>
              <w:t>ICER</w:t>
            </w:r>
          </w:p>
        </w:tc>
        <w:tc>
          <w:tcPr>
            <w:tcW w:w="460" w:type="pct"/>
            <w:vAlign w:val="center"/>
          </w:tcPr>
          <w:p w14:paraId="2DEE562B" w14:textId="77777777" w:rsidR="00850A36" w:rsidRPr="00C06702" w:rsidRDefault="00850A36" w:rsidP="001726E9">
            <w:pPr>
              <w:pStyle w:val="In-tableHeading"/>
              <w:keepNext w:val="0"/>
              <w:jc w:val="center"/>
              <w:rPr>
                <w:color w:val="000000" w:themeColor="text1"/>
              </w:rPr>
            </w:pPr>
            <w:r w:rsidRPr="00C06702">
              <w:rPr>
                <w:color w:val="000000" w:themeColor="text1"/>
              </w:rPr>
              <w:t>% change</w:t>
            </w:r>
          </w:p>
        </w:tc>
      </w:tr>
      <w:tr w:rsidR="00850A36" w:rsidRPr="00C06702" w14:paraId="708E0DCD" w14:textId="77777777" w:rsidTr="132E0B0E">
        <w:tc>
          <w:tcPr>
            <w:tcW w:w="2193" w:type="pct"/>
          </w:tcPr>
          <w:p w14:paraId="7C3318EF" w14:textId="3708683E" w:rsidR="00850A36" w:rsidRPr="00C06702" w:rsidRDefault="00850A36">
            <w:pPr>
              <w:pStyle w:val="TableText"/>
              <w:rPr>
                <w:b/>
                <w:color w:val="000000" w:themeColor="text1"/>
              </w:rPr>
            </w:pPr>
            <w:r w:rsidRPr="00C06702">
              <w:rPr>
                <w:b/>
                <w:color w:val="000000" w:themeColor="text1"/>
              </w:rPr>
              <w:t>Base case</w:t>
            </w:r>
            <w:r w:rsidR="001726E9">
              <w:rPr>
                <w:b/>
                <w:color w:val="000000" w:themeColor="text1"/>
              </w:rPr>
              <w:t xml:space="preserve"> (BC)</w:t>
            </w:r>
          </w:p>
        </w:tc>
        <w:tc>
          <w:tcPr>
            <w:tcW w:w="849" w:type="pct"/>
          </w:tcPr>
          <w:p w14:paraId="4F508CEC" w14:textId="5F5D8F20" w:rsidR="00850A36" w:rsidRPr="006E01BB" w:rsidRDefault="00031AFF" w:rsidP="132E0B0E">
            <w:pPr>
              <w:pStyle w:val="TableText"/>
              <w:jc w:val="center"/>
              <w:rPr>
                <w:b/>
                <w:bCs/>
                <w:color w:val="000000" w:themeColor="text1"/>
                <w:highlight w:val="yellow"/>
              </w:rPr>
            </w:pPr>
            <w:r w:rsidRPr="132E0B0E">
              <w:rPr>
                <w:rFonts w:eastAsia="Calibri"/>
                <w:b/>
                <w:bCs/>
                <w:color w:val="000000" w:themeColor="text1"/>
              </w:rPr>
              <w:t>$Redacted</w:t>
            </w:r>
          </w:p>
        </w:tc>
        <w:tc>
          <w:tcPr>
            <w:tcW w:w="799" w:type="pct"/>
          </w:tcPr>
          <w:p w14:paraId="603B1C90" w14:textId="77777777" w:rsidR="00850A36" w:rsidRPr="00C06702" w:rsidRDefault="00850A36">
            <w:pPr>
              <w:pStyle w:val="TableText"/>
              <w:jc w:val="center"/>
              <w:rPr>
                <w:b/>
                <w:color w:val="000000" w:themeColor="text1"/>
              </w:rPr>
            </w:pPr>
            <w:r w:rsidRPr="00C06702">
              <w:rPr>
                <w:rFonts w:eastAsia="Calibri"/>
                <w:b/>
                <w:color w:val="000000" w:themeColor="text1"/>
                <w:szCs w:val="20"/>
              </w:rPr>
              <w:t>2.72</w:t>
            </w:r>
          </w:p>
        </w:tc>
        <w:tc>
          <w:tcPr>
            <w:tcW w:w="699" w:type="pct"/>
          </w:tcPr>
          <w:p w14:paraId="56C3B08E" w14:textId="3B83CAE9" w:rsidR="00850A36" w:rsidRPr="006E01BB" w:rsidRDefault="00031AFF" w:rsidP="132E0B0E">
            <w:pPr>
              <w:pStyle w:val="TableText"/>
              <w:jc w:val="center"/>
              <w:rPr>
                <w:rFonts w:eastAsia="Calibri"/>
                <w:b/>
                <w:bCs/>
                <w:color w:val="000000" w:themeColor="text1"/>
                <w:highlight w:val="yellow"/>
              </w:rPr>
            </w:pPr>
            <w:r w:rsidRPr="132E0B0E">
              <w:rPr>
                <w:rFonts w:eastAsia="Calibri"/>
                <w:b/>
                <w:bCs/>
                <w:color w:val="000000" w:themeColor="text1"/>
              </w:rPr>
              <w:t>$Redacted</w:t>
            </w:r>
          </w:p>
        </w:tc>
        <w:tc>
          <w:tcPr>
            <w:tcW w:w="460" w:type="pct"/>
          </w:tcPr>
          <w:p w14:paraId="2C59152C" w14:textId="77777777" w:rsidR="00850A36" w:rsidRPr="00C06702" w:rsidRDefault="00850A36">
            <w:pPr>
              <w:pStyle w:val="TableText"/>
              <w:jc w:val="center"/>
              <w:rPr>
                <w:rFonts w:eastAsia="Calibri"/>
                <w:b/>
                <w:color w:val="000000" w:themeColor="text1"/>
                <w:szCs w:val="20"/>
              </w:rPr>
            </w:pPr>
          </w:p>
        </w:tc>
      </w:tr>
      <w:tr w:rsidR="00850A36" w:rsidRPr="00C06702" w14:paraId="54CFDBDF" w14:textId="77777777" w:rsidTr="132E0B0E">
        <w:trPr>
          <w:trHeight w:val="283"/>
        </w:trPr>
        <w:tc>
          <w:tcPr>
            <w:tcW w:w="2193" w:type="pct"/>
          </w:tcPr>
          <w:p w14:paraId="14B462FE" w14:textId="77777777" w:rsidR="00850A36" w:rsidRPr="00C06702" w:rsidRDefault="00850A36">
            <w:pPr>
              <w:pStyle w:val="TableText"/>
              <w:rPr>
                <w:color w:val="000000" w:themeColor="text1"/>
              </w:rPr>
            </w:pPr>
            <w:r w:rsidRPr="00C06702">
              <w:rPr>
                <w:color w:val="000000" w:themeColor="text1"/>
              </w:rPr>
              <w:t>Discounting: 3.5% (5% in base case)</w:t>
            </w:r>
          </w:p>
        </w:tc>
        <w:tc>
          <w:tcPr>
            <w:tcW w:w="849" w:type="pct"/>
          </w:tcPr>
          <w:p w14:paraId="674664F1" w14:textId="64971EC3" w:rsidR="00850A36" w:rsidRPr="006E01BB" w:rsidRDefault="00031AFF" w:rsidP="132E0B0E">
            <w:pPr>
              <w:pStyle w:val="TableText"/>
              <w:jc w:val="center"/>
              <w:rPr>
                <w:rFonts w:eastAsia="Calibri"/>
                <w:color w:val="000000" w:themeColor="text1"/>
                <w:highlight w:val="yellow"/>
              </w:rPr>
            </w:pPr>
            <w:r w:rsidRPr="132E0B0E">
              <w:rPr>
                <w:rFonts w:eastAsia="Calibri"/>
                <w:b/>
                <w:bCs/>
                <w:color w:val="000000" w:themeColor="text1"/>
              </w:rPr>
              <w:t>$Redacted</w:t>
            </w:r>
          </w:p>
        </w:tc>
        <w:tc>
          <w:tcPr>
            <w:tcW w:w="799" w:type="pct"/>
          </w:tcPr>
          <w:p w14:paraId="129B5402" w14:textId="77777777" w:rsidR="00850A36" w:rsidRPr="00C06702" w:rsidRDefault="00850A36">
            <w:pPr>
              <w:pStyle w:val="TableText"/>
              <w:jc w:val="center"/>
              <w:rPr>
                <w:rFonts w:eastAsia="Calibri"/>
                <w:color w:val="000000" w:themeColor="text1"/>
                <w:szCs w:val="20"/>
              </w:rPr>
            </w:pPr>
            <w:r w:rsidRPr="00C06702">
              <w:rPr>
                <w:rFonts w:eastAsia="Calibri"/>
                <w:color w:val="000000" w:themeColor="text1"/>
                <w:szCs w:val="20"/>
              </w:rPr>
              <w:t>3.25</w:t>
            </w:r>
          </w:p>
        </w:tc>
        <w:tc>
          <w:tcPr>
            <w:tcW w:w="699" w:type="pct"/>
          </w:tcPr>
          <w:p w14:paraId="6BF29E20" w14:textId="0C69CCCB" w:rsidR="00850A36" w:rsidRPr="006E01BB" w:rsidRDefault="007D095B" w:rsidP="132E0B0E">
            <w:pPr>
              <w:pStyle w:val="TableText"/>
              <w:jc w:val="center"/>
              <w:rPr>
                <w:rFonts w:eastAsia="Calibri"/>
                <w:color w:val="000000" w:themeColor="text1"/>
                <w:highlight w:val="yellow"/>
              </w:rPr>
            </w:pPr>
            <w:r w:rsidRPr="132E0B0E">
              <w:rPr>
                <w:rFonts w:eastAsia="Calibri"/>
                <w:b/>
                <w:bCs/>
                <w:color w:val="000000" w:themeColor="text1"/>
              </w:rPr>
              <w:t>$Redacted</w:t>
            </w:r>
          </w:p>
        </w:tc>
        <w:tc>
          <w:tcPr>
            <w:tcW w:w="460" w:type="pct"/>
            <w:vAlign w:val="bottom"/>
          </w:tcPr>
          <w:p w14:paraId="55A923D1" w14:textId="77777777" w:rsidR="00850A36" w:rsidRPr="00C06702" w:rsidRDefault="00850A36">
            <w:pPr>
              <w:pStyle w:val="TableText"/>
              <w:jc w:val="center"/>
              <w:rPr>
                <w:color w:val="000000" w:themeColor="text1"/>
              </w:rPr>
            </w:pPr>
            <w:r w:rsidRPr="00C06702">
              <w:rPr>
                <w:color w:val="000000" w:themeColor="text1"/>
              </w:rPr>
              <w:t>-14%</w:t>
            </w:r>
          </w:p>
        </w:tc>
      </w:tr>
      <w:tr w:rsidR="00850A36" w:rsidRPr="00C06702" w14:paraId="20BE5F2E" w14:textId="77777777" w:rsidTr="132E0B0E">
        <w:trPr>
          <w:trHeight w:val="283"/>
        </w:trPr>
        <w:tc>
          <w:tcPr>
            <w:tcW w:w="2193" w:type="pct"/>
          </w:tcPr>
          <w:p w14:paraId="4532D6C6" w14:textId="77777777" w:rsidR="00850A36" w:rsidRPr="00C06702" w:rsidRDefault="00850A36">
            <w:pPr>
              <w:pStyle w:val="TableText"/>
              <w:rPr>
                <w:color w:val="000000" w:themeColor="text1"/>
              </w:rPr>
            </w:pPr>
            <w:r w:rsidRPr="00C06702">
              <w:rPr>
                <w:i/>
                <w:iCs/>
                <w:color w:val="000000" w:themeColor="text1"/>
              </w:rPr>
              <w:t>Time horizon 20 years (30 years in the base case)</w:t>
            </w:r>
          </w:p>
        </w:tc>
        <w:tc>
          <w:tcPr>
            <w:tcW w:w="849" w:type="pct"/>
          </w:tcPr>
          <w:p w14:paraId="4A663ED3" w14:textId="52A72185"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4F84F6C6" w14:textId="77777777" w:rsidR="00850A36" w:rsidRPr="00C06702" w:rsidRDefault="00850A36">
            <w:pPr>
              <w:pStyle w:val="TableText"/>
              <w:jc w:val="center"/>
              <w:rPr>
                <w:rFonts w:eastAsia="Calibri"/>
                <w:color w:val="000000" w:themeColor="text1"/>
                <w:szCs w:val="20"/>
              </w:rPr>
            </w:pPr>
            <w:r w:rsidRPr="00C06702">
              <w:rPr>
                <w:rFonts w:eastAsia="Calibri"/>
                <w:i/>
                <w:iCs/>
                <w:color w:val="000000" w:themeColor="text1"/>
                <w:szCs w:val="20"/>
              </w:rPr>
              <w:t>2.27</w:t>
            </w:r>
          </w:p>
        </w:tc>
        <w:tc>
          <w:tcPr>
            <w:tcW w:w="699" w:type="pct"/>
          </w:tcPr>
          <w:p w14:paraId="3AFBE6C4" w14:textId="595B170A"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6CD0C910" w14:textId="77777777" w:rsidR="00850A36" w:rsidRPr="00C06702" w:rsidRDefault="00850A36">
            <w:pPr>
              <w:pStyle w:val="TableText"/>
              <w:jc w:val="center"/>
              <w:rPr>
                <w:i/>
                <w:iCs/>
                <w:color w:val="000000" w:themeColor="text1"/>
              </w:rPr>
            </w:pPr>
            <w:r w:rsidRPr="00C06702">
              <w:rPr>
                <w:i/>
                <w:iCs/>
                <w:color w:val="000000" w:themeColor="text1"/>
              </w:rPr>
              <w:t>20%</w:t>
            </w:r>
          </w:p>
        </w:tc>
      </w:tr>
      <w:tr w:rsidR="00850A36" w:rsidRPr="00C06702" w14:paraId="1E50D008" w14:textId="77777777" w:rsidTr="132E0B0E">
        <w:trPr>
          <w:trHeight w:val="283"/>
        </w:trPr>
        <w:tc>
          <w:tcPr>
            <w:tcW w:w="2193" w:type="pct"/>
          </w:tcPr>
          <w:p w14:paraId="42561EA2" w14:textId="435B94BC" w:rsidR="00850A36" w:rsidRPr="00C06702" w:rsidRDefault="00850A36">
            <w:pPr>
              <w:pStyle w:val="TableText"/>
              <w:rPr>
                <w:i/>
                <w:iCs/>
                <w:color w:val="000000" w:themeColor="text1"/>
              </w:rPr>
            </w:pPr>
            <w:r w:rsidRPr="00C06702">
              <w:rPr>
                <w:i/>
                <w:iCs/>
                <w:color w:val="000000" w:themeColor="text1"/>
              </w:rPr>
              <w:t>Utilities from Cher 2020 (BC =</w:t>
            </w:r>
            <w:proofErr w:type="spellStart"/>
            <w:r w:rsidRPr="00C06702">
              <w:rPr>
                <w:i/>
                <w:iCs/>
                <w:color w:val="000000" w:themeColor="text1"/>
              </w:rPr>
              <w:t>Papaioannou</w:t>
            </w:r>
            <w:proofErr w:type="spellEnd"/>
            <w:r w:rsidRPr="00C06702">
              <w:rPr>
                <w:i/>
                <w:iCs/>
                <w:color w:val="000000" w:themeColor="text1"/>
              </w:rPr>
              <w:t xml:space="preserve"> 2012)</w:t>
            </w:r>
          </w:p>
        </w:tc>
        <w:tc>
          <w:tcPr>
            <w:tcW w:w="849" w:type="pct"/>
          </w:tcPr>
          <w:p w14:paraId="7CE20C28" w14:textId="35CE89CC"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06F95C89"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2.48</w:t>
            </w:r>
          </w:p>
        </w:tc>
        <w:tc>
          <w:tcPr>
            <w:tcW w:w="699" w:type="pct"/>
          </w:tcPr>
          <w:p w14:paraId="275FACF1" w14:textId="4D858876"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1C7A63BB"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10%</w:t>
            </w:r>
          </w:p>
        </w:tc>
      </w:tr>
      <w:tr w:rsidR="00850A36" w:rsidRPr="00C06702" w14:paraId="67CB53AE" w14:textId="77777777" w:rsidTr="132E0B0E">
        <w:trPr>
          <w:trHeight w:val="283"/>
        </w:trPr>
        <w:tc>
          <w:tcPr>
            <w:tcW w:w="2193" w:type="pct"/>
          </w:tcPr>
          <w:p w14:paraId="1D49873E" w14:textId="77777777" w:rsidR="00850A36" w:rsidRPr="00C06702" w:rsidRDefault="00850A36">
            <w:pPr>
              <w:pStyle w:val="TableText"/>
              <w:rPr>
                <w:i/>
                <w:iCs/>
                <w:color w:val="000000" w:themeColor="text1"/>
              </w:rPr>
            </w:pPr>
            <w:r w:rsidRPr="00C06702">
              <w:rPr>
                <w:i/>
                <w:iCs/>
                <w:color w:val="000000" w:themeColor="text1"/>
              </w:rPr>
              <w:t>Cure point (5 years in BC)</w:t>
            </w:r>
          </w:p>
        </w:tc>
        <w:tc>
          <w:tcPr>
            <w:tcW w:w="849" w:type="pct"/>
          </w:tcPr>
          <w:p w14:paraId="28D6222D" w14:textId="77777777" w:rsidR="00850A36" w:rsidRPr="006E01BB" w:rsidRDefault="00850A36">
            <w:pPr>
              <w:pStyle w:val="TableText"/>
              <w:jc w:val="center"/>
              <w:rPr>
                <w:rFonts w:eastAsia="Calibri"/>
                <w:i/>
                <w:iCs/>
                <w:color w:val="000000" w:themeColor="text1"/>
                <w:szCs w:val="20"/>
                <w:highlight w:val="yellow"/>
              </w:rPr>
            </w:pPr>
          </w:p>
        </w:tc>
        <w:tc>
          <w:tcPr>
            <w:tcW w:w="799" w:type="pct"/>
          </w:tcPr>
          <w:p w14:paraId="39E9EB38" w14:textId="77777777" w:rsidR="00850A36" w:rsidRPr="00C06702" w:rsidRDefault="00850A36">
            <w:pPr>
              <w:pStyle w:val="TableText"/>
              <w:jc w:val="center"/>
              <w:rPr>
                <w:rFonts w:eastAsia="Calibri"/>
                <w:i/>
                <w:iCs/>
                <w:color w:val="000000" w:themeColor="text1"/>
                <w:szCs w:val="20"/>
              </w:rPr>
            </w:pPr>
          </w:p>
        </w:tc>
        <w:tc>
          <w:tcPr>
            <w:tcW w:w="699" w:type="pct"/>
          </w:tcPr>
          <w:p w14:paraId="5DF19923" w14:textId="77777777" w:rsidR="00850A36" w:rsidRPr="006E01BB" w:rsidRDefault="00850A36">
            <w:pPr>
              <w:pStyle w:val="TableText"/>
              <w:jc w:val="center"/>
              <w:rPr>
                <w:rFonts w:eastAsia="Calibri"/>
                <w:i/>
                <w:iCs/>
                <w:color w:val="000000" w:themeColor="text1"/>
                <w:szCs w:val="20"/>
                <w:highlight w:val="yellow"/>
              </w:rPr>
            </w:pPr>
          </w:p>
        </w:tc>
        <w:tc>
          <w:tcPr>
            <w:tcW w:w="460" w:type="pct"/>
            <w:vAlign w:val="bottom"/>
          </w:tcPr>
          <w:p w14:paraId="188CACBB" w14:textId="77777777" w:rsidR="00850A36" w:rsidRPr="00C06702" w:rsidRDefault="00850A36">
            <w:pPr>
              <w:pStyle w:val="TableText"/>
              <w:jc w:val="center"/>
              <w:rPr>
                <w:rFonts w:eastAsia="Calibri"/>
                <w:i/>
                <w:iCs/>
                <w:color w:val="000000" w:themeColor="text1"/>
                <w:szCs w:val="20"/>
              </w:rPr>
            </w:pPr>
          </w:p>
        </w:tc>
      </w:tr>
      <w:tr w:rsidR="00850A36" w:rsidRPr="00C06702" w14:paraId="15A91E1B" w14:textId="77777777" w:rsidTr="132E0B0E">
        <w:trPr>
          <w:trHeight w:val="283"/>
        </w:trPr>
        <w:tc>
          <w:tcPr>
            <w:tcW w:w="2193" w:type="pct"/>
          </w:tcPr>
          <w:p w14:paraId="7E561A91" w14:textId="77777777" w:rsidR="00850A36" w:rsidRPr="00C06702" w:rsidRDefault="00850A36">
            <w:pPr>
              <w:pStyle w:val="TableText"/>
              <w:rPr>
                <w:i/>
                <w:iCs/>
                <w:color w:val="000000" w:themeColor="text1"/>
              </w:rPr>
            </w:pPr>
            <w:r w:rsidRPr="00C06702">
              <w:rPr>
                <w:i/>
                <w:iCs/>
                <w:color w:val="000000" w:themeColor="text1"/>
              </w:rPr>
              <w:t>10 years (120 months)</w:t>
            </w:r>
          </w:p>
        </w:tc>
        <w:tc>
          <w:tcPr>
            <w:tcW w:w="849" w:type="pct"/>
          </w:tcPr>
          <w:p w14:paraId="48461D25" w14:textId="2F49802E"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44D8E0A5"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2.26</w:t>
            </w:r>
          </w:p>
        </w:tc>
        <w:tc>
          <w:tcPr>
            <w:tcW w:w="699" w:type="pct"/>
          </w:tcPr>
          <w:p w14:paraId="4F2EE95D" w14:textId="13501394"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55BB834E"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22%</w:t>
            </w:r>
          </w:p>
        </w:tc>
      </w:tr>
      <w:tr w:rsidR="00850A36" w:rsidRPr="00C06702" w14:paraId="165A0F4F" w14:textId="77777777" w:rsidTr="132E0B0E">
        <w:trPr>
          <w:trHeight w:val="283"/>
        </w:trPr>
        <w:tc>
          <w:tcPr>
            <w:tcW w:w="2193" w:type="pct"/>
          </w:tcPr>
          <w:p w14:paraId="13F4B253" w14:textId="77777777" w:rsidR="00850A36" w:rsidRPr="00C06702" w:rsidRDefault="00850A36">
            <w:pPr>
              <w:pStyle w:val="TableText"/>
              <w:rPr>
                <w:i/>
                <w:iCs/>
                <w:color w:val="000000" w:themeColor="text1"/>
              </w:rPr>
            </w:pPr>
            <w:r w:rsidRPr="00C06702">
              <w:rPr>
                <w:i/>
                <w:iCs/>
                <w:color w:val="000000" w:themeColor="text1"/>
              </w:rPr>
              <w:t>15 years (180 months)</w:t>
            </w:r>
          </w:p>
        </w:tc>
        <w:tc>
          <w:tcPr>
            <w:tcW w:w="849" w:type="pct"/>
          </w:tcPr>
          <w:p w14:paraId="2D69DCB1" w14:textId="2515D73B"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5144312A"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1.87</w:t>
            </w:r>
          </w:p>
        </w:tc>
        <w:tc>
          <w:tcPr>
            <w:tcW w:w="699" w:type="pct"/>
          </w:tcPr>
          <w:p w14:paraId="401F014F" w14:textId="3BE6AAEE"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00820081"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48%</w:t>
            </w:r>
          </w:p>
        </w:tc>
      </w:tr>
      <w:tr w:rsidR="00850A36" w:rsidRPr="00C06702" w14:paraId="11B5AF45" w14:textId="77777777" w:rsidTr="132E0B0E">
        <w:trPr>
          <w:trHeight w:val="283"/>
        </w:trPr>
        <w:tc>
          <w:tcPr>
            <w:tcW w:w="2193" w:type="pct"/>
          </w:tcPr>
          <w:p w14:paraId="180A1741" w14:textId="77777777" w:rsidR="00850A36" w:rsidRPr="00C06702" w:rsidRDefault="00850A36">
            <w:pPr>
              <w:pStyle w:val="TableText"/>
              <w:rPr>
                <w:i/>
                <w:iCs/>
                <w:color w:val="000000" w:themeColor="text1"/>
              </w:rPr>
            </w:pPr>
            <w:r w:rsidRPr="00C06702">
              <w:rPr>
                <w:i/>
                <w:iCs/>
                <w:color w:val="000000" w:themeColor="text1"/>
              </w:rPr>
              <w:t xml:space="preserve">20 years (240 months </w:t>
            </w:r>
          </w:p>
        </w:tc>
        <w:tc>
          <w:tcPr>
            <w:tcW w:w="849" w:type="pct"/>
          </w:tcPr>
          <w:p w14:paraId="562AD784" w14:textId="6CB0B4F1"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449ABC4E"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1.72</w:t>
            </w:r>
          </w:p>
        </w:tc>
        <w:tc>
          <w:tcPr>
            <w:tcW w:w="699" w:type="pct"/>
          </w:tcPr>
          <w:p w14:paraId="7F36DA4B" w14:textId="3D835180"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766166E7"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62%</w:t>
            </w:r>
          </w:p>
        </w:tc>
      </w:tr>
      <w:tr w:rsidR="00850A36" w:rsidRPr="00C06702" w14:paraId="5AC3CD19" w14:textId="77777777" w:rsidTr="132E0B0E">
        <w:trPr>
          <w:trHeight w:val="283"/>
        </w:trPr>
        <w:tc>
          <w:tcPr>
            <w:tcW w:w="2193" w:type="pct"/>
          </w:tcPr>
          <w:p w14:paraId="0211AD95" w14:textId="77777777" w:rsidR="00850A36" w:rsidRPr="00C06702" w:rsidRDefault="00850A36">
            <w:pPr>
              <w:pStyle w:val="TableText"/>
              <w:rPr>
                <w:i/>
                <w:iCs/>
                <w:color w:val="000000" w:themeColor="text1"/>
              </w:rPr>
            </w:pPr>
            <w:r w:rsidRPr="00C06702">
              <w:rPr>
                <w:i/>
                <w:iCs/>
                <w:color w:val="000000" w:themeColor="text1"/>
              </w:rPr>
              <w:t>25 years (300 months)</w:t>
            </w:r>
          </w:p>
        </w:tc>
        <w:tc>
          <w:tcPr>
            <w:tcW w:w="849" w:type="pct"/>
          </w:tcPr>
          <w:p w14:paraId="7B3CD37D" w14:textId="40FA2395"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678A629D"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1.68</w:t>
            </w:r>
          </w:p>
        </w:tc>
        <w:tc>
          <w:tcPr>
            <w:tcW w:w="699" w:type="pct"/>
          </w:tcPr>
          <w:p w14:paraId="42F609B6" w14:textId="68E1F424"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73DF5B70"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65%</w:t>
            </w:r>
          </w:p>
        </w:tc>
      </w:tr>
      <w:tr w:rsidR="00850A36" w:rsidRPr="00C06702" w14:paraId="0E8A8A2E" w14:textId="77777777" w:rsidTr="132E0B0E">
        <w:trPr>
          <w:trHeight w:val="283"/>
        </w:trPr>
        <w:tc>
          <w:tcPr>
            <w:tcW w:w="2193" w:type="pct"/>
          </w:tcPr>
          <w:p w14:paraId="24A02A33" w14:textId="77777777" w:rsidR="00850A36" w:rsidRPr="00C06702" w:rsidRDefault="00850A36">
            <w:pPr>
              <w:pStyle w:val="TableText"/>
              <w:rPr>
                <w:i/>
                <w:iCs/>
                <w:color w:val="000000" w:themeColor="text1"/>
              </w:rPr>
            </w:pPr>
            <w:r w:rsidRPr="00C06702">
              <w:rPr>
                <w:i/>
                <w:iCs/>
                <w:color w:val="000000" w:themeColor="text1"/>
              </w:rPr>
              <w:t>No cure (30 years)</w:t>
            </w:r>
          </w:p>
        </w:tc>
        <w:tc>
          <w:tcPr>
            <w:tcW w:w="849" w:type="pct"/>
          </w:tcPr>
          <w:p w14:paraId="2F7FB282" w14:textId="50386E42"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50EFDFBF"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1.68</w:t>
            </w:r>
          </w:p>
        </w:tc>
        <w:tc>
          <w:tcPr>
            <w:tcW w:w="699" w:type="pct"/>
          </w:tcPr>
          <w:p w14:paraId="1D6776E9" w14:textId="55BE5FD9"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254977ED"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65%</w:t>
            </w:r>
          </w:p>
        </w:tc>
      </w:tr>
      <w:tr w:rsidR="00850A36" w:rsidRPr="00C06702" w14:paraId="34C9918E" w14:textId="77777777" w:rsidTr="132E0B0E">
        <w:trPr>
          <w:trHeight w:val="283"/>
        </w:trPr>
        <w:tc>
          <w:tcPr>
            <w:tcW w:w="2193" w:type="pct"/>
          </w:tcPr>
          <w:p w14:paraId="73E3BA55" w14:textId="77777777" w:rsidR="00850A36" w:rsidRPr="00C06702" w:rsidRDefault="00850A36">
            <w:pPr>
              <w:pStyle w:val="TableText"/>
              <w:rPr>
                <w:i/>
                <w:iCs/>
                <w:color w:val="000000" w:themeColor="text1"/>
              </w:rPr>
            </w:pPr>
            <w:r w:rsidRPr="00C06702">
              <w:rPr>
                <w:i/>
                <w:iCs/>
                <w:color w:val="000000" w:themeColor="text1"/>
              </w:rPr>
              <w:t>Cure fraction (40% in BC)</w:t>
            </w:r>
          </w:p>
        </w:tc>
        <w:tc>
          <w:tcPr>
            <w:tcW w:w="849" w:type="pct"/>
          </w:tcPr>
          <w:p w14:paraId="027054DB" w14:textId="77777777" w:rsidR="00850A36" w:rsidRPr="006E01BB" w:rsidRDefault="00850A36">
            <w:pPr>
              <w:pStyle w:val="TableText"/>
              <w:jc w:val="center"/>
              <w:rPr>
                <w:rFonts w:eastAsia="Calibri"/>
                <w:i/>
                <w:iCs/>
                <w:color w:val="000000" w:themeColor="text1"/>
                <w:szCs w:val="20"/>
                <w:highlight w:val="yellow"/>
              </w:rPr>
            </w:pPr>
          </w:p>
        </w:tc>
        <w:tc>
          <w:tcPr>
            <w:tcW w:w="799" w:type="pct"/>
          </w:tcPr>
          <w:p w14:paraId="2A740058" w14:textId="77777777" w:rsidR="00850A36" w:rsidRPr="00C06702" w:rsidRDefault="00850A36">
            <w:pPr>
              <w:pStyle w:val="TableText"/>
              <w:jc w:val="center"/>
              <w:rPr>
                <w:rFonts w:eastAsia="Calibri"/>
                <w:i/>
                <w:iCs/>
                <w:color w:val="000000" w:themeColor="text1"/>
                <w:szCs w:val="20"/>
              </w:rPr>
            </w:pPr>
          </w:p>
        </w:tc>
        <w:tc>
          <w:tcPr>
            <w:tcW w:w="699" w:type="pct"/>
          </w:tcPr>
          <w:p w14:paraId="3F3DFEF2" w14:textId="77777777" w:rsidR="00850A36" w:rsidRPr="006E01BB" w:rsidRDefault="00850A36">
            <w:pPr>
              <w:pStyle w:val="TableText"/>
              <w:jc w:val="center"/>
              <w:rPr>
                <w:rFonts w:eastAsia="Calibri"/>
                <w:i/>
                <w:iCs/>
                <w:color w:val="000000" w:themeColor="text1"/>
                <w:szCs w:val="20"/>
                <w:highlight w:val="yellow"/>
              </w:rPr>
            </w:pPr>
          </w:p>
        </w:tc>
        <w:tc>
          <w:tcPr>
            <w:tcW w:w="460" w:type="pct"/>
            <w:vAlign w:val="bottom"/>
          </w:tcPr>
          <w:p w14:paraId="486A65A0" w14:textId="77777777" w:rsidR="00850A36" w:rsidRPr="00C06702" w:rsidRDefault="00850A36">
            <w:pPr>
              <w:pStyle w:val="TableText"/>
              <w:jc w:val="center"/>
              <w:rPr>
                <w:rFonts w:eastAsia="Calibri"/>
                <w:i/>
                <w:iCs/>
                <w:color w:val="000000" w:themeColor="text1"/>
                <w:szCs w:val="20"/>
              </w:rPr>
            </w:pPr>
          </w:p>
        </w:tc>
      </w:tr>
      <w:tr w:rsidR="00850A36" w:rsidRPr="00C06702" w14:paraId="3D7ACE51" w14:textId="77777777" w:rsidTr="132E0B0E">
        <w:trPr>
          <w:trHeight w:val="283"/>
        </w:trPr>
        <w:tc>
          <w:tcPr>
            <w:tcW w:w="2193" w:type="pct"/>
          </w:tcPr>
          <w:p w14:paraId="33E1B3AD" w14:textId="77777777" w:rsidR="00850A36" w:rsidRPr="00C06702" w:rsidRDefault="00850A36">
            <w:pPr>
              <w:pStyle w:val="TableText"/>
              <w:rPr>
                <w:i/>
                <w:iCs/>
                <w:color w:val="000000" w:themeColor="text1"/>
              </w:rPr>
            </w:pPr>
            <w:r w:rsidRPr="00C06702">
              <w:rPr>
                <w:i/>
                <w:iCs/>
                <w:color w:val="000000" w:themeColor="text1"/>
              </w:rPr>
              <w:t>20%</w:t>
            </w:r>
          </w:p>
        </w:tc>
        <w:tc>
          <w:tcPr>
            <w:tcW w:w="849" w:type="pct"/>
          </w:tcPr>
          <w:p w14:paraId="74B6CB70" w14:textId="39CE67AE"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23A76E7E"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2.14</w:t>
            </w:r>
          </w:p>
        </w:tc>
        <w:tc>
          <w:tcPr>
            <w:tcW w:w="699" w:type="pct"/>
          </w:tcPr>
          <w:p w14:paraId="69469357" w14:textId="17E54CD4"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538F59F4"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28%</w:t>
            </w:r>
          </w:p>
        </w:tc>
      </w:tr>
      <w:tr w:rsidR="00850A36" w:rsidRPr="00C06702" w14:paraId="195749D8" w14:textId="77777777" w:rsidTr="132E0B0E">
        <w:trPr>
          <w:trHeight w:val="283"/>
        </w:trPr>
        <w:tc>
          <w:tcPr>
            <w:tcW w:w="2193" w:type="pct"/>
          </w:tcPr>
          <w:p w14:paraId="2B49C9C0" w14:textId="77777777" w:rsidR="00850A36" w:rsidRPr="00C06702" w:rsidRDefault="00850A36">
            <w:pPr>
              <w:pStyle w:val="TableText"/>
              <w:rPr>
                <w:i/>
                <w:iCs/>
                <w:color w:val="000000" w:themeColor="text1"/>
              </w:rPr>
            </w:pPr>
            <w:r w:rsidRPr="00C06702">
              <w:rPr>
                <w:i/>
                <w:iCs/>
                <w:color w:val="000000" w:themeColor="text1"/>
              </w:rPr>
              <w:t>30%</w:t>
            </w:r>
          </w:p>
        </w:tc>
        <w:tc>
          <w:tcPr>
            <w:tcW w:w="849" w:type="pct"/>
          </w:tcPr>
          <w:p w14:paraId="48CD99CD" w14:textId="437E249D"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12921927"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2.42</w:t>
            </w:r>
          </w:p>
        </w:tc>
        <w:tc>
          <w:tcPr>
            <w:tcW w:w="699" w:type="pct"/>
          </w:tcPr>
          <w:p w14:paraId="09DBB22E" w14:textId="6FE838C1"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4C4F4D5A"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13%</w:t>
            </w:r>
          </w:p>
        </w:tc>
      </w:tr>
      <w:tr w:rsidR="00850A36" w:rsidRPr="00C06702" w14:paraId="09FD10E4" w14:textId="77777777" w:rsidTr="132E0B0E">
        <w:trPr>
          <w:trHeight w:val="283"/>
        </w:trPr>
        <w:tc>
          <w:tcPr>
            <w:tcW w:w="2193" w:type="pct"/>
          </w:tcPr>
          <w:p w14:paraId="44B89645" w14:textId="77777777" w:rsidR="00850A36" w:rsidRPr="00C06702" w:rsidRDefault="00850A36">
            <w:pPr>
              <w:pStyle w:val="TableText"/>
              <w:rPr>
                <w:i/>
                <w:iCs/>
                <w:color w:val="000000" w:themeColor="text1"/>
              </w:rPr>
            </w:pPr>
            <w:r w:rsidRPr="00C06702">
              <w:rPr>
                <w:i/>
                <w:iCs/>
                <w:color w:val="000000" w:themeColor="text1"/>
              </w:rPr>
              <w:t>50%</w:t>
            </w:r>
          </w:p>
        </w:tc>
        <w:tc>
          <w:tcPr>
            <w:tcW w:w="849" w:type="pct"/>
          </w:tcPr>
          <w:p w14:paraId="7869B4BF" w14:textId="212D50D8"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0A4801DF"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3.01</w:t>
            </w:r>
          </w:p>
        </w:tc>
        <w:tc>
          <w:tcPr>
            <w:tcW w:w="699" w:type="pct"/>
          </w:tcPr>
          <w:p w14:paraId="077C6C81" w14:textId="2BDEE265"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4B5B55F2"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-10%</w:t>
            </w:r>
          </w:p>
        </w:tc>
      </w:tr>
      <w:tr w:rsidR="00850A36" w:rsidRPr="00C06702" w14:paraId="34675E79" w14:textId="77777777" w:rsidTr="132E0B0E">
        <w:trPr>
          <w:trHeight w:val="283"/>
        </w:trPr>
        <w:tc>
          <w:tcPr>
            <w:tcW w:w="2193" w:type="pct"/>
          </w:tcPr>
          <w:p w14:paraId="4C7DA47D" w14:textId="7DF2F227" w:rsidR="00850A36" w:rsidRPr="00A762F5" w:rsidRDefault="00850A36" w:rsidP="132E0B0E">
            <w:pPr>
              <w:pStyle w:val="TableText"/>
              <w:rPr>
                <w:i/>
                <w:iCs/>
                <w:color w:val="000000" w:themeColor="text1"/>
                <w:vertAlign w:val="superscript"/>
              </w:rPr>
            </w:pPr>
            <w:r w:rsidRPr="132E0B0E">
              <w:rPr>
                <w:i/>
                <w:iCs/>
                <w:color w:val="000000" w:themeColor="text1"/>
              </w:rPr>
              <w:t xml:space="preserve">SMR (1.09 in </w:t>
            </w:r>
            <w:proofErr w:type="gramStart"/>
            <w:r w:rsidRPr="132E0B0E">
              <w:rPr>
                <w:i/>
                <w:iCs/>
                <w:color w:val="000000" w:themeColor="text1"/>
              </w:rPr>
              <w:t>BC)</w:t>
            </w:r>
            <w:r w:rsidR="001726E9" w:rsidRPr="132E0B0E">
              <w:rPr>
                <w:i/>
                <w:iCs/>
                <w:color w:val="000000" w:themeColor="text1"/>
                <w:vertAlign w:val="superscript"/>
              </w:rPr>
              <w:t>a</w:t>
            </w:r>
            <w:proofErr w:type="gramEnd"/>
          </w:p>
        </w:tc>
        <w:tc>
          <w:tcPr>
            <w:tcW w:w="849" w:type="pct"/>
          </w:tcPr>
          <w:p w14:paraId="0B1C28F4" w14:textId="77777777" w:rsidR="00850A36" w:rsidRPr="006E01BB" w:rsidRDefault="00850A36">
            <w:pPr>
              <w:pStyle w:val="TableText"/>
              <w:jc w:val="center"/>
              <w:rPr>
                <w:rFonts w:eastAsia="Calibri"/>
                <w:i/>
                <w:iCs/>
                <w:color w:val="000000" w:themeColor="text1"/>
                <w:szCs w:val="20"/>
                <w:highlight w:val="yellow"/>
              </w:rPr>
            </w:pPr>
          </w:p>
        </w:tc>
        <w:tc>
          <w:tcPr>
            <w:tcW w:w="799" w:type="pct"/>
          </w:tcPr>
          <w:p w14:paraId="525BCE70" w14:textId="77777777" w:rsidR="00850A36" w:rsidRPr="00C06702" w:rsidRDefault="00850A36">
            <w:pPr>
              <w:pStyle w:val="TableText"/>
              <w:jc w:val="center"/>
              <w:rPr>
                <w:rFonts w:eastAsia="Calibri"/>
                <w:i/>
                <w:iCs/>
                <w:color w:val="000000" w:themeColor="text1"/>
                <w:szCs w:val="20"/>
              </w:rPr>
            </w:pPr>
          </w:p>
        </w:tc>
        <w:tc>
          <w:tcPr>
            <w:tcW w:w="699" w:type="pct"/>
          </w:tcPr>
          <w:p w14:paraId="270B8890" w14:textId="77777777" w:rsidR="00850A36" w:rsidRPr="006E01BB" w:rsidRDefault="00850A36">
            <w:pPr>
              <w:pStyle w:val="TableText"/>
              <w:jc w:val="center"/>
              <w:rPr>
                <w:rFonts w:eastAsia="Calibri"/>
                <w:i/>
                <w:iCs/>
                <w:color w:val="000000" w:themeColor="text1"/>
                <w:szCs w:val="20"/>
                <w:highlight w:val="yellow"/>
              </w:rPr>
            </w:pPr>
          </w:p>
        </w:tc>
        <w:tc>
          <w:tcPr>
            <w:tcW w:w="460" w:type="pct"/>
            <w:vAlign w:val="bottom"/>
          </w:tcPr>
          <w:p w14:paraId="0082C90B" w14:textId="77777777" w:rsidR="00850A36" w:rsidRPr="00C06702" w:rsidRDefault="00850A36">
            <w:pPr>
              <w:pStyle w:val="TableText"/>
              <w:jc w:val="center"/>
              <w:rPr>
                <w:rFonts w:eastAsia="Calibri"/>
                <w:i/>
                <w:iCs/>
                <w:color w:val="000000" w:themeColor="text1"/>
                <w:szCs w:val="20"/>
              </w:rPr>
            </w:pPr>
          </w:p>
        </w:tc>
      </w:tr>
      <w:tr w:rsidR="00850A36" w:rsidRPr="00C06702" w14:paraId="05EE2D83" w14:textId="77777777" w:rsidTr="132E0B0E">
        <w:trPr>
          <w:trHeight w:val="283"/>
        </w:trPr>
        <w:tc>
          <w:tcPr>
            <w:tcW w:w="2193" w:type="pct"/>
          </w:tcPr>
          <w:p w14:paraId="7CA019A0" w14:textId="77777777" w:rsidR="00850A36" w:rsidRPr="00C06702" w:rsidRDefault="00850A36">
            <w:pPr>
              <w:pStyle w:val="TableText"/>
              <w:rPr>
                <w:i/>
                <w:iCs/>
                <w:color w:val="000000" w:themeColor="text1"/>
              </w:rPr>
            </w:pPr>
            <w:r w:rsidRPr="00C06702">
              <w:rPr>
                <w:i/>
                <w:iCs/>
                <w:color w:val="000000" w:themeColor="text1"/>
              </w:rPr>
              <w:t>2.7</w:t>
            </w:r>
          </w:p>
        </w:tc>
        <w:tc>
          <w:tcPr>
            <w:tcW w:w="849" w:type="pct"/>
          </w:tcPr>
          <w:p w14:paraId="25041A62" w14:textId="4C7216CF"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2974D83A"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2.29</w:t>
            </w:r>
          </w:p>
        </w:tc>
        <w:tc>
          <w:tcPr>
            <w:tcW w:w="699" w:type="pct"/>
          </w:tcPr>
          <w:p w14:paraId="0297EC83" w14:textId="6C5422EB"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1958FCFD"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19%</w:t>
            </w:r>
          </w:p>
        </w:tc>
      </w:tr>
      <w:tr w:rsidR="00850A36" w:rsidRPr="00C06702" w14:paraId="6A3C07AF" w14:textId="77777777" w:rsidTr="132E0B0E">
        <w:trPr>
          <w:trHeight w:val="283"/>
        </w:trPr>
        <w:tc>
          <w:tcPr>
            <w:tcW w:w="2193" w:type="pct"/>
          </w:tcPr>
          <w:p w14:paraId="1D54BC87" w14:textId="77777777" w:rsidR="00850A36" w:rsidRPr="00C06702" w:rsidRDefault="00850A36">
            <w:pPr>
              <w:pStyle w:val="TableText"/>
              <w:rPr>
                <w:i/>
                <w:iCs/>
                <w:color w:val="000000" w:themeColor="text1"/>
              </w:rPr>
            </w:pPr>
            <w:r w:rsidRPr="00C06702">
              <w:rPr>
                <w:i/>
                <w:iCs/>
                <w:color w:val="000000" w:themeColor="text1"/>
              </w:rPr>
              <w:t>3.7</w:t>
            </w:r>
          </w:p>
        </w:tc>
        <w:tc>
          <w:tcPr>
            <w:tcW w:w="849" w:type="pct"/>
          </w:tcPr>
          <w:p w14:paraId="56D15AE3" w14:textId="7F9C7DB4"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38989A1F"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2.08</w:t>
            </w:r>
          </w:p>
        </w:tc>
        <w:tc>
          <w:tcPr>
            <w:tcW w:w="699" w:type="pct"/>
          </w:tcPr>
          <w:p w14:paraId="515D6111" w14:textId="76F3A071"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06619FCC"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31%</w:t>
            </w:r>
          </w:p>
        </w:tc>
      </w:tr>
      <w:tr w:rsidR="00850A36" w:rsidRPr="00C06702" w14:paraId="0B9EBD0B" w14:textId="77777777" w:rsidTr="132E0B0E">
        <w:trPr>
          <w:trHeight w:val="283"/>
        </w:trPr>
        <w:tc>
          <w:tcPr>
            <w:tcW w:w="2193" w:type="pct"/>
          </w:tcPr>
          <w:p w14:paraId="1BFFB5B8" w14:textId="77777777" w:rsidR="00850A36" w:rsidRPr="00C06702" w:rsidRDefault="00850A36">
            <w:pPr>
              <w:pStyle w:val="TableText"/>
              <w:rPr>
                <w:i/>
                <w:iCs/>
                <w:color w:val="000000" w:themeColor="text1"/>
              </w:rPr>
            </w:pPr>
            <w:r w:rsidRPr="00C06702">
              <w:rPr>
                <w:i/>
                <w:iCs/>
                <w:color w:val="000000" w:themeColor="text1"/>
              </w:rPr>
              <w:t>SOC OS extrapolation (BC = Weibull)</w:t>
            </w:r>
          </w:p>
        </w:tc>
        <w:tc>
          <w:tcPr>
            <w:tcW w:w="849" w:type="pct"/>
          </w:tcPr>
          <w:p w14:paraId="3BEB11F6" w14:textId="77777777" w:rsidR="00850A36" w:rsidRPr="006E01BB" w:rsidRDefault="00850A36">
            <w:pPr>
              <w:pStyle w:val="TableText"/>
              <w:jc w:val="center"/>
              <w:rPr>
                <w:rFonts w:eastAsia="Calibri"/>
                <w:i/>
                <w:iCs/>
                <w:color w:val="000000" w:themeColor="text1"/>
                <w:szCs w:val="20"/>
                <w:highlight w:val="yellow"/>
              </w:rPr>
            </w:pPr>
          </w:p>
        </w:tc>
        <w:tc>
          <w:tcPr>
            <w:tcW w:w="799" w:type="pct"/>
          </w:tcPr>
          <w:p w14:paraId="441CD419" w14:textId="77777777" w:rsidR="00850A36" w:rsidRPr="00C06702" w:rsidRDefault="00850A36">
            <w:pPr>
              <w:pStyle w:val="TableText"/>
              <w:jc w:val="center"/>
              <w:rPr>
                <w:rFonts w:eastAsia="Calibri"/>
                <w:i/>
                <w:iCs/>
                <w:color w:val="000000" w:themeColor="text1"/>
                <w:szCs w:val="20"/>
              </w:rPr>
            </w:pPr>
          </w:p>
        </w:tc>
        <w:tc>
          <w:tcPr>
            <w:tcW w:w="699" w:type="pct"/>
          </w:tcPr>
          <w:p w14:paraId="210192BC" w14:textId="77777777" w:rsidR="00850A36" w:rsidRPr="006E01BB" w:rsidRDefault="00850A36">
            <w:pPr>
              <w:pStyle w:val="TableText"/>
              <w:jc w:val="center"/>
              <w:rPr>
                <w:rFonts w:eastAsia="Calibri"/>
                <w:i/>
                <w:iCs/>
                <w:color w:val="000000" w:themeColor="text1"/>
                <w:szCs w:val="20"/>
                <w:highlight w:val="yellow"/>
              </w:rPr>
            </w:pPr>
          </w:p>
        </w:tc>
        <w:tc>
          <w:tcPr>
            <w:tcW w:w="460" w:type="pct"/>
            <w:vAlign w:val="bottom"/>
          </w:tcPr>
          <w:p w14:paraId="5466ECFE" w14:textId="77777777" w:rsidR="00850A36" w:rsidRPr="00C06702" w:rsidRDefault="00850A36">
            <w:pPr>
              <w:pStyle w:val="TableText"/>
              <w:jc w:val="center"/>
              <w:rPr>
                <w:rFonts w:eastAsia="Calibri"/>
                <w:i/>
                <w:iCs/>
                <w:color w:val="000000" w:themeColor="text1"/>
                <w:szCs w:val="20"/>
              </w:rPr>
            </w:pPr>
          </w:p>
        </w:tc>
      </w:tr>
      <w:tr w:rsidR="00850A36" w:rsidRPr="00C06702" w14:paraId="3D278058" w14:textId="77777777" w:rsidTr="132E0B0E">
        <w:trPr>
          <w:trHeight w:val="283"/>
        </w:trPr>
        <w:tc>
          <w:tcPr>
            <w:tcW w:w="2193" w:type="pct"/>
          </w:tcPr>
          <w:p w14:paraId="63C710A2" w14:textId="77777777" w:rsidR="00850A36" w:rsidRPr="00C06702" w:rsidRDefault="00850A36">
            <w:pPr>
              <w:pStyle w:val="TableText"/>
              <w:rPr>
                <w:i/>
                <w:iCs/>
                <w:color w:val="000000" w:themeColor="text1"/>
              </w:rPr>
            </w:pPr>
            <w:r w:rsidRPr="00C06702">
              <w:rPr>
                <w:i/>
                <w:iCs/>
                <w:color w:val="000000" w:themeColor="text1"/>
              </w:rPr>
              <w:t>Exponential</w:t>
            </w:r>
          </w:p>
        </w:tc>
        <w:tc>
          <w:tcPr>
            <w:tcW w:w="849" w:type="pct"/>
          </w:tcPr>
          <w:p w14:paraId="66D5F52F" w14:textId="401548E8"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392C0037"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3.21</w:t>
            </w:r>
          </w:p>
        </w:tc>
        <w:tc>
          <w:tcPr>
            <w:tcW w:w="699" w:type="pct"/>
          </w:tcPr>
          <w:p w14:paraId="68110649" w14:textId="1665B81B" w:rsidR="00850A36" w:rsidRPr="006E01BB" w:rsidRDefault="007D095B"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702B0338"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-15%</w:t>
            </w:r>
          </w:p>
        </w:tc>
      </w:tr>
      <w:tr w:rsidR="00850A36" w:rsidRPr="00C06702" w14:paraId="74A88F99" w14:textId="77777777" w:rsidTr="132E0B0E">
        <w:trPr>
          <w:trHeight w:val="283"/>
        </w:trPr>
        <w:tc>
          <w:tcPr>
            <w:tcW w:w="2193" w:type="pct"/>
          </w:tcPr>
          <w:p w14:paraId="2F737355" w14:textId="77777777" w:rsidR="00850A36" w:rsidRPr="00C06702" w:rsidRDefault="00850A36">
            <w:pPr>
              <w:pStyle w:val="TableText"/>
              <w:rPr>
                <w:i/>
                <w:iCs/>
                <w:color w:val="000000" w:themeColor="text1"/>
              </w:rPr>
            </w:pPr>
            <w:r w:rsidRPr="00C06702">
              <w:rPr>
                <w:i/>
                <w:iCs/>
                <w:color w:val="000000" w:themeColor="text1"/>
              </w:rPr>
              <w:t>Loglogistic</w:t>
            </w:r>
          </w:p>
        </w:tc>
        <w:tc>
          <w:tcPr>
            <w:tcW w:w="849" w:type="pct"/>
          </w:tcPr>
          <w:p w14:paraId="7B1C42AA" w14:textId="175B0FBC"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06367C35"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2.29</w:t>
            </w:r>
          </w:p>
        </w:tc>
        <w:tc>
          <w:tcPr>
            <w:tcW w:w="699" w:type="pct"/>
          </w:tcPr>
          <w:p w14:paraId="7347A7E3" w14:textId="07A2CE60"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1F0096DE"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18%</w:t>
            </w:r>
          </w:p>
        </w:tc>
      </w:tr>
      <w:tr w:rsidR="00850A36" w:rsidRPr="00C06702" w14:paraId="6C09520D" w14:textId="77777777" w:rsidTr="132E0B0E">
        <w:trPr>
          <w:trHeight w:val="283"/>
        </w:trPr>
        <w:tc>
          <w:tcPr>
            <w:tcW w:w="2193" w:type="pct"/>
          </w:tcPr>
          <w:p w14:paraId="0199CF55" w14:textId="77777777" w:rsidR="00850A36" w:rsidRPr="00C06702" w:rsidRDefault="00850A36">
            <w:pPr>
              <w:pStyle w:val="TableText"/>
              <w:rPr>
                <w:i/>
                <w:iCs/>
                <w:color w:val="000000" w:themeColor="text1"/>
              </w:rPr>
            </w:pPr>
            <w:r w:rsidRPr="00C06702">
              <w:rPr>
                <w:i/>
                <w:iCs/>
                <w:color w:val="000000" w:themeColor="text1"/>
              </w:rPr>
              <w:t>Lognormal</w:t>
            </w:r>
          </w:p>
        </w:tc>
        <w:tc>
          <w:tcPr>
            <w:tcW w:w="849" w:type="pct"/>
          </w:tcPr>
          <w:p w14:paraId="04B38EFA" w14:textId="0B5B0532"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7780CEE8"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2.07</w:t>
            </w:r>
          </w:p>
        </w:tc>
        <w:tc>
          <w:tcPr>
            <w:tcW w:w="699" w:type="pct"/>
          </w:tcPr>
          <w:p w14:paraId="238E8790" w14:textId="4F0DDE7E"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2DF35B7B"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30%</w:t>
            </w:r>
          </w:p>
        </w:tc>
      </w:tr>
      <w:tr w:rsidR="00850A36" w:rsidRPr="00C06702" w14:paraId="7E2D806C" w14:textId="77777777" w:rsidTr="132E0B0E">
        <w:trPr>
          <w:trHeight w:val="283"/>
        </w:trPr>
        <w:tc>
          <w:tcPr>
            <w:tcW w:w="2193" w:type="pct"/>
          </w:tcPr>
          <w:p w14:paraId="3C9DAACB" w14:textId="77777777" w:rsidR="00850A36" w:rsidRPr="00C06702" w:rsidRDefault="00850A36">
            <w:pPr>
              <w:pStyle w:val="TableText"/>
              <w:rPr>
                <w:i/>
                <w:iCs/>
                <w:color w:val="000000" w:themeColor="text1"/>
              </w:rPr>
            </w:pPr>
            <w:r w:rsidRPr="00C06702">
              <w:rPr>
                <w:i/>
                <w:iCs/>
                <w:color w:val="000000" w:themeColor="text1"/>
              </w:rPr>
              <w:t>Generalised gamma</w:t>
            </w:r>
          </w:p>
        </w:tc>
        <w:tc>
          <w:tcPr>
            <w:tcW w:w="849" w:type="pct"/>
          </w:tcPr>
          <w:p w14:paraId="07AE0125" w14:textId="7E0FB133"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396EA249"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2.10</w:t>
            </w:r>
          </w:p>
        </w:tc>
        <w:tc>
          <w:tcPr>
            <w:tcW w:w="699" w:type="pct"/>
          </w:tcPr>
          <w:p w14:paraId="6454AD0C" w14:textId="7BEF3C57"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1F7FA018"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29%</w:t>
            </w:r>
          </w:p>
        </w:tc>
      </w:tr>
      <w:tr w:rsidR="00850A36" w:rsidRPr="00C06702" w14:paraId="2094B69E" w14:textId="77777777" w:rsidTr="132E0B0E">
        <w:trPr>
          <w:trHeight w:val="283"/>
        </w:trPr>
        <w:tc>
          <w:tcPr>
            <w:tcW w:w="2193" w:type="pct"/>
          </w:tcPr>
          <w:p w14:paraId="32A4A8EB" w14:textId="77777777" w:rsidR="00850A36" w:rsidRPr="00C06702" w:rsidRDefault="00850A36">
            <w:pPr>
              <w:pStyle w:val="TableText"/>
              <w:rPr>
                <w:i/>
                <w:iCs/>
                <w:color w:val="000000" w:themeColor="text1"/>
              </w:rPr>
            </w:pPr>
            <w:r w:rsidRPr="00C06702">
              <w:rPr>
                <w:i/>
                <w:iCs/>
                <w:color w:val="000000" w:themeColor="text1"/>
              </w:rPr>
              <w:t>Gamma</w:t>
            </w:r>
          </w:p>
        </w:tc>
        <w:tc>
          <w:tcPr>
            <w:tcW w:w="849" w:type="pct"/>
          </w:tcPr>
          <w:p w14:paraId="71F1189C" w14:textId="791FB591"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799" w:type="pct"/>
          </w:tcPr>
          <w:p w14:paraId="4949FF53" w14:textId="77777777" w:rsidR="00850A36" w:rsidRPr="00C06702" w:rsidRDefault="00850A36">
            <w:pPr>
              <w:pStyle w:val="TableText"/>
              <w:jc w:val="center"/>
              <w:rPr>
                <w:rFonts w:eastAsia="Calibri"/>
                <w:i/>
                <w:iCs/>
                <w:color w:val="000000" w:themeColor="text1"/>
                <w:szCs w:val="20"/>
              </w:rPr>
            </w:pPr>
            <w:r w:rsidRPr="00C06702">
              <w:rPr>
                <w:rFonts w:eastAsia="Calibri"/>
                <w:i/>
                <w:iCs/>
                <w:color w:val="000000" w:themeColor="text1"/>
                <w:szCs w:val="20"/>
              </w:rPr>
              <w:t>2.87</w:t>
            </w:r>
          </w:p>
        </w:tc>
        <w:tc>
          <w:tcPr>
            <w:tcW w:w="699" w:type="pct"/>
          </w:tcPr>
          <w:p w14:paraId="36D4E74C" w14:textId="5FBB295C" w:rsidR="00850A36" w:rsidRPr="006E01BB" w:rsidRDefault="00031AFF" w:rsidP="132E0B0E">
            <w:pPr>
              <w:pStyle w:val="TableText"/>
              <w:jc w:val="center"/>
              <w:rPr>
                <w:rFonts w:eastAsia="Calibri"/>
                <w:i/>
                <w:iCs/>
                <w:color w:val="000000" w:themeColor="text1"/>
                <w:highlight w:val="yellow"/>
              </w:rPr>
            </w:pPr>
            <w:r w:rsidRPr="132E0B0E">
              <w:rPr>
                <w:rFonts w:eastAsia="Calibri"/>
                <w:b/>
                <w:bCs/>
                <w:color w:val="000000" w:themeColor="text1"/>
              </w:rPr>
              <w:t>$Redacted</w:t>
            </w:r>
          </w:p>
        </w:tc>
        <w:tc>
          <w:tcPr>
            <w:tcW w:w="460" w:type="pct"/>
            <w:vAlign w:val="bottom"/>
          </w:tcPr>
          <w:p w14:paraId="20BA27C7" w14:textId="77777777" w:rsidR="00850A36" w:rsidRPr="00C06702" w:rsidRDefault="00850A36">
            <w:pPr>
              <w:pStyle w:val="TableText"/>
              <w:jc w:val="center"/>
              <w:rPr>
                <w:rFonts w:eastAsia="Calibri"/>
                <w:i/>
                <w:iCs/>
                <w:color w:val="000000" w:themeColor="text1"/>
                <w:szCs w:val="20"/>
              </w:rPr>
            </w:pPr>
            <w:r w:rsidRPr="00C06702">
              <w:rPr>
                <w:i/>
                <w:iCs/>
                <w:color w:val="000000" w:themeColor="text1"/>
              </w:rPr>
              <w:t>-5%</w:t>
            </w:r>
          </w:p>
        </w:tc>
      </w:tr>
    </w:tbl>
    <w:p w14:paraId="042E7D28" w14:textId="7487EEBB" w:rsidR="00850A36" w:rsidRDefault="001726E9" w:rsidP="001726E9">
      <w:pPr>
        <w:pStyle w:val="TableFooter"/>
        <w:rPr>
          <w:rFonts w:eastAsia="Calibri"/>
        </w:rPr>
      </w:pPr>
      <w:bookmarkStart w:id="52" w:name="_Hlk68276759"/>
      <w:r>
        <w:rPr>
          <w:rFonts w:eastAsia="Calibri"/>
        </w:rPr>
        <w:t xml:space="preserve">Source: </w:t>
      </w:r>
      <w:r w:rsidR="00850A36">
        <w:rPr>
          <w:rFonts w:eastAsia="Calibri"/>
        </w:rPr>
        <w:t>Constructed during the evaluation.</w:t>
      </w:r>
    </w:p>
    <w:p w14:paraId="06840C06" w14:textId="4DFBCD18" w:rsidR="00850A36" w:rsidRDefault="614747C9" w:rsidP="00850A36">
      <w:pPr>
        <w:pStyle w:val="TableFooter"/>
        <w:rPr>
          <w:rFonts w:eastAsia="Calibri"/>
        </w:rPr>
      </w:pPr>
      <w:r w:rsidRPr="23728776">
        <w:rPr>
          <w:rFonts w:eastAsia="Calibri"/>
        </w:rPr>
        <w:t>AXI = axicabtagene ciloleucel; BC = base case; ICER = incremental cost-effectiveness ratio; QALY = quality adjusted life year OS = overall survival; PFS = progression free survival. SMR = standardised mortality ratio; S</w:t>
      </w:r>
      <w:r w:rsidR="35535BC5" w:rsidRPr="23728776">
        <w:rPr>
          <w:rFonts w:eastAsia="Calibri"/>
        </w:rPr>
        <w:t>O</w:t>
      </w:r>
      <w:r w:rsidRPr="23728776">
        <w:rPr>
          <w:rFonts w:eastAsia="Calibri"/>
        </w:rPr>
        <w:t>C = standard of care</w:t>
      </w:r>
    </w:p>
    <w:p w14:paraId="1EAEF738" w14:textId="269F5956" w:rsidR="001726E9" w:rsidRPr="001726E9" w:rsidRDefault="001726E9" w:rsidP="001726E9">
      <w:pPr>
        <w:pStyle w:val="TableFooter"/>
        <w:tabs>
          <w:tab w:val="left" w:pos="284"/>
        </w:tabs>
        <w:rPr>
          <w:rFonts w:eastAsia="Calibri"/>
        </w:rPr>
      </w:pPr>
      <w:r w:rsidRPr="132E0B0E">
        <w:rPr>
          <w:rFonts w:eastAsia="Calibri"/>
          <w:vertAlign w:val="superscript"/>
        </w:rPr>
        <w:t>a</w:t>
      </w:r>
      <w:r>
        <w:tab/>
      </w:r>
      <w:r w:rsidRPr="132E0B0E">
        <w:rPr>
          <w:rFonts w:eastAsia="Calibri"/>
        </w:rPr>
        <w:t>by replacing 1.09 to 2.7 and 3.7 in the formulas in cells K31:1014 and X31:1014 in the ‘</w:t>
      </w:r>
      <w:proofErr w:type="spellStart"/>
      <w:r w:rsidRPr="132E0B0E">
        <w:rPr>
          <w:rFonts w:eastAsia="Calibri"/>
        </w:rPr>
        <w:t>calcs_survselections</w:t>
      </w:r>
      <w:proofErr w:type="spellEnd"/>
      <w:r w:rsidRPr="132E0B0E">
        <w:rPr>
          <w:rFonts w:eastAsia="Calibri"/>
        </w:rPr>
        <w:t>’ worksheet</w:t>
      </w:r>
    </w:p>
    <w:p w14:paraId="12CE0744" w14:textId="73CB1211" w:rsidR="00850A36" w:rsidRPr="001654C7" w:rsidRDefault="614747C9" w:rsidP="00850A36">
      <w:r>
        <w:t xml:space="preserve">The </w:t>
      </w:r>
      <w:r w:rsidR="0CFD6F73">
        <w:t>Commentary</w:t>
      </w:r>
      <w:r>
        <w:t xml:space="preserve"> considered that, overall, the model was highly sensitive to the assumptions made regarding long term survival for either treatment. </w:t>
      </w:r>
      <w:r w:rsidR="796F5DA1">
        <w:t>T</w:t>
      </w:r>
      <w:r>
        <w:t>his included</w:t>
      </w:r>
      <w:r w:rsidR="796F5DA1">
        <w:t xml:space="preserve"> the</w:t>
      </w:r>
      <w:r>
        <w:t xml:space="preserve"> cure fraction assumption, cure point assumption, OS parametric extrapolation choice for </w:t>
      </w:r>
      <w:r w:rsidR="2C2DC755">
        <w:t>SOC</w:t>
      </w:r>
      <w:r>
        <w:t>,</w:t>
      </w:r>
      <w:r w:rsidR="7530B7FF">
        <w:t xml:space="preserve"> and</w:t>
      </w:r>
      <w:r>
        <w:t xml:space="preserve"> SMR for cured patients. The impact of varying any of these assumptions on the ICER suggests how uncertain the long-term benefit of AXI would be over a 30</w:t>
      </w:r>
      <w:r w:rsidR="00FF48FA">
        <w:t>-</w:t>
      </w:r>
      <w:r>
        <w:t xml:space="preserve">year time horizon. Given the lack of consensus on the possibility of cure in </w:t>
      </w:r>
      <w:r w:rsidR="796F5DA1">
        <w:t>r/r FL</w:t>
      </w:r>
      <w:r>
        <w:t>, it appears that the ADAR’s cure assumptions favour AXI and likely underestimate the ICER.</w:t>
      </w:r>
    </w:p>
    <w:p w14:paraId="04F98151" w14:textId="2BA3843E" w:rsidR="00850A36" w:rsidRPr="00C06702" w:rsidRDefault="614747C9" w:rsidP="00850A36">
      <w:r>
        <w:t xml:space="preserve">Additionally, the benefit is estimated based on the clinical comparison of ZUMA-5 and the propensity weighted SCHOLAR-5 results. As discussed above, this analysis was an unanchored comparison which, the </w:t>
      </w:r>
      <w:r w:rsidR="70299E8B">
        <w:t>Commentary</w:t>
      </w:r>
      <w:r>
        <w:t xml:space="preserve"> considered, did not necessarily account for all observed (and unobserved) differences in the compared patient cohorts. This was highly uncertain, and the model did not include functionality to test this uncertainty. </w:t>
      </w:r>
    </w:p>
    <w:p w14:paraId="72E2AA15" w14:textId="72308A12" w:rsidR="00850A36" w:rsidRDefault="00850A36" w:rsidP="00850A36">
      <w:r>
        <w:t xml:space="preserve">The ADAR argued that a 5% discount rate distorts results against interventions where costs are largely accrued upfront and health outcomes are accrued over a prolonged </w:t>
      </w:r>
      <w:proofErr w:type="gramStart"/>
      <w:r>
        <w:t>period of time</w:t>
      </w:r>
      <w:proofErr w:type="gramEnd"/>
      <w:r>
        <w:t xml:space="preserve">. As such, the base case ICER of </w:t>
      </w:r>
      <w:r w:rsidR="007D095B" w:rsidRPr="132E0B0E">
        <w:rPr>
          <w:rFonts w:eastAsia="Calibri"/>
          <w:b/>
          <w:bCs/>
          <w:color w:val="000000" w:themeColor="text1"/>
        </w:rPr>
        <w:t>$Redacted</w:t>
      </w:r>
      <w:r>
        <w:t xml:space="preserve">/QALY is not considered </w:t>
      </w:r>
      <w:r w:rsidR="001726E9">
        <w:t xml:space="preserve">by the applicant </w:t>
      </w:r>
      <w:r>
        <w:t xml:space="preserve">to be a fair and </w:t>
      </w:r>
      <w:r>
        <w:lastRenderedPageBreak/>
        <w:t>reasonable estimation of the true cost-effectiveness of AXI as LYs and QALYs are disproportionately impacted by discounting.</w:t>
      </w:r>
    </w:p>
    <w:p w14:paraId="7CA3E787" w14:textId="7AA2A56F" w:rsidR="00850A36" w:rsidRPr="00F34CCF" w:rsidRDefault="614747C9" w:rsidP="132E0B0E">
      <w:pPr>
        <w:rPr>
          <w:i/>
          <w:iCs/>
        </w:rPr>
      </w:pPr>
      <w:r>
        <w:t xml:space="preserve">As acknowledged by the ADAR, this </w:t>
      </w:r>
      <w:r w:rsidR="09EA7A8F">
        <w:t>is</w:t>
      </w:r>
      <w:r>
        <w:t xml:space="preserve"> the standard methodology for MSAC, which ensures all health technologies are evaluated based on the same guidelines. Additionally, it was noted during the </w:t>
      </w:r>
      <w:r w:rsidR="70299E8B">
        <w:t>Commentary</w:t>
      </w:r>
      <w:r>
        <w:t xml:space="preserve"> that reducing or removing discounting, in addition to unreasonably favouring AXI, would increase the relative importance of the highly uncertain long-term survival extrapolations</w:t>
      </w:r>
      <w:r w:rsidRPr="132E0B0E">
        <w:rPr>
          <w:i/>
          <w:iCs/>
        </w:rPr>
        <w:t>.</w:t>
      </w:r>
    </w:p>
    <w:p w14:paraId="36F628A5" w14:textId="798A2395" w:rsidR="00850A36" w:rsidRPr="00330A0A" w:rsidRDefault="00850A36" w:rsidP="00850A36">
      <w:pPr>
        <w:pStyle w:val="Heading2"/>
        <w:numPr>
          <w:ilvl w:val="0"/>
          <w:numId w:val="0"/>
        </w:numPr>
      </w:pPr>
      <w:bookmarkStart w:id="53" w:name="_Toc69491426"/>
      <w:bookmarkEnd w:id="52"/>
      <w:r>
        <w:t>1</w:t>
      </w:r>
      <w:r w:rsidR="002176CC">
        <w:t>4</w:t>
      </w:r>
      <w:r>
        <w:t>.</w:t>
      </w:r>
      <w:r>
        <w:tab/>
        <w:t>Financial/budgetary impacts</w:t>
      </w:r>
      <w:bookmarkEnd w:id="53"/>
    </w:p>
    <w:p w14:paraId="1C820C7F" w14:textId="480BE86E" w:rsidR="00850A36" w:rsidRDefault="00850A36" w:rsidP="00850A36">
      <w:r w:rsidRPr="00CE28E3">
        <w:t>T</w:t>
      </w:r>
      <w:r>
        <w:t>he data sources used to estimate the financial implications in the ADAR a</w:t>
      </w:r>
      <w:r w:rsidR="7F08143A">
        <w:t>re</w:t>
      </w:r>
      <w:r>
        <w:t xml:space="preserve"> presented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065"/>
        <w:gridCol w:w="2970"/>
        <w:gridCol w:w="3981"/>
      </w:tblGrid>
      <w:tr w:rsidR="00850A36" w:rsidRPr="008A030E" w14:paraId="148ED5B5" w14:textId="77777777" w:rsidTr="132E0B0E">
        <w:trPr>
          <w:tblHeader/>
        </w:trPr>
        <w:tc>
          <w:tcPr>
            <w:tcW w:w="2065" w:type="dxa"/>
            <w:tcBorders>
              <w:bottom w:val="single" w:sz="4" w:space="0" w:color="auto"/>
            </w:tcBorders>
          </w:tcPr>
          <w:p w14:paraId="442633B6" w14:textId="77777777" w:rsidR="00850A36" w:rsidRPr="008A030E" w:rsidRDefault="00850A36">
            <w:pPr>
              <w:pStyle w:val="TableHeading0"/>
              <w:rPr>
                <w:bCs/>
                <w:szCs w:val="20"/>
              </w:rPr>
            </w:pPr>
            <w:r w:rsidRPr="008A030E">
              <w:rPr>
                <w:bCs/>
                <w:szCs w:val="20"/>
              </w:rPr>
              <w:t>Data</w:t>
            </w:r>
          </w:p>
        </w:tc>
        <w:tc>
          <w:tcPr>
            <w:tcW w:w="2970" w:type="dxa"/>
            <w:tcBorders>
              <w:bottom w:val="single" w:sz="4" w:space="0" w:color="auto"/>
            </w:tcBorders>
          </w:tcPr>
          <w:p w14:paraId="089AA337" w14:textId="77777777" w:rsidR="00850A36" w:rsidRPr="008A030E" w:rsidRDefault="00850A36">
            <w:pPr>
              <w:pStyle w:val="TableHeading0"/>
              <w:jc w:val="center"/>
              <w:rPr>
                <w:bCs/>
                <w:szCs w:val="20"/>
              </w:rPr>
            </w:pPr>
            <w:r w:rsidRPr="008A030E">
              <w:rPr>
                <w:bCs/>
                <w:szCs w:val="20"/>
              </w:rPr>
              <w:t>Source / value</w:t>
            </w:r>
          </w:p>
        </w:tc>
        <w:tc>
          <w:tcPr>
            <w:tcW w:w="3981" w:type="dxa"/>
            <w:tcBorders>
              <w:bottom w:val="single" w:sz="4" w:space="0" w:color="auto"/>
            </w:tcBorders>
          </w:tcPr>
          <w:p w14:paraId="2F741D25" w14:textId="77777777" w:rsidR="00850A36" w:rsidRPr="008A030E" w:rsidRDefault="00850A36">
            <w:pPr>
              <w:pStyle w:val="TableHeading0"/>
              <w:jc w:val="center"/>
              <w:rPr>
                <w:bCs/>
                <w:szCs w:val="20"/>
              </w:rPr>
            </w:pPr>
            <w:r w:rsidRPr="008A030E">
              <w:rPr>
                <w:bCs/>
                <w:szCs w:val="20"/>
              </w:rPr>
              <w:t>Justification/ Comment</w:t>
            </w:r>
          </w:p>
        </w:tc>
      </w:tr>
      <w:tr w:rsidR="00850A36" w:rsidRPr="008A030E" w14:paraId="19CFDE73" w14:textId="77777777" w:rsidTr="132E0B0E">
        <w:tc>
          <w:tcPr>
            <w:tcW w:w="2065" w:type="dxa"/>
            <w:tcBorders>
              <w:right w:val="nil"/>
            </w:tcBorders>
          </w:tcPr>
          <w:p w14:paraId="46A93C3F" w14:textId="77777777" w:rsidR="00850A36" w:rsidRPr="008A030E" w:rsidRDefault="00850A36">
            <w:pPr>
              <w:pStyle w:val="TableText"/>
              <w:rPr>
                <w:szCs w:val="20"/>
              </w:rPr>
            </w:pPr>
            <w:r w:rsidRPr="008A030E">
              <w:rPr>
                <w:szCs w:val="20"/>
              </w:rPr>
              <w:t>Epidemiological data inputs</w:t>
            </w:r>
          </w:p>
        </w:tc>
        <w:tc>
          <w:tcPr>
            <w:tcW w:w="2970" w:type="dxa"/>
            <w:tcBorders>
              <w:left w:val="nil"/>
              <w:right w:val="nil"/>
            </w:tcBorders>
          </w:tcPr>
          <w:p w14:paraId="65791F44" w14:textId="77777777" w:rsidR="00850A36" w:rsidRPr="008A030E" w:rsidRDefault="00850A36">
            <w:pPr>
              <w:pStyle w:val="TableText"/>
              <w:rPr>
                <w:szCs w:val="20"/>
              </w:rPr>
            </w:pPr>
          </w:p>
        </w:tc>
        <w:tc>
          <w:tcPr>
            <w:tcW w:w="3981" w:type="dxa"/>
            <w:tcBorders>
              <w:left w:val="nil"/>
            </w:tcBorders>
          </w:tcPr>
          <w:p w14:paraId="72B1607F" w14:textId="77777777" w:rsidR="00850A36" w:rsidRPr="008A030E" w:rsidRDefault="00850A36">
            <w:pPr>
              <w:pStyle w:val="TableText"/>
              <w:rPr>
                <w:szCs w:val="20"/>
              </w:rPr>
            </w:pPr>
          </w:p>
        </w:tc>
      </w:tr>
      <w:tr w:rsidR="00850A36" w:rsidRPr="008A030E" w14:paraId="50494238" w14:textId="77777777" w:rsidTr="132E0B0E">
        <w:tc>
          <w:tcPr>
            <w:tcW w:w="2065" w:type="dxa"/>
          </w:tcPr>
          <w:p w14:paraId="5695B46C" w14:textId="77777777" w:rsidR="00850A36" w:rsidRPr="008A030E" w:rsidRDefault="00850A36">
            <w:pPr>
              <w:pStyle w:val="TableText"/>
              <w:rPr>
                <w:szCs w:val="20"/>
              </w:rPr>
            </w:pPr>
            <w:r w:rsidRPr="008A030E">
              <w:rPr>
                <w:szCs w:val="20"/>
              </w:rPr>
              <w:t>Australian population</w:t>
            </w:r>
          </w:p>
        </w:tc>
        <w:tc>
          <w:tcPr>
            <w:tcW w:w="2970" w:type="dxa"/>
          </w:tcPr>
          <w:p w14:paraId="48377A7C" w14:textId="77777777" w:rsidR="00850A36" w:rsidRPr="008A030E" w:rsidRDefault="00850A36">
            <w:pPr>
              <w:pStyle w:val="TableText"/>
              <w:rPr>
                <w:szCs w:val="20"/>
              </w:rPr>
            </w:pPr>
            <w:r w:rsidRPr="008A030E">
              <w:rPr>
                <w:szCs w:val="20"/>
              </w:rPr>
              <w:t xml:space="preserve">Australian Bureau of Statistics, Population Projections, Australia 2017 </w:t>
            </w:r>
          </w:p>
        </w:tc>
        <w:tc>
          <w:tcPr>
            <w:tcW w:w="3981" w:type="dxa"/>
          </w:tcPr>
          <w:p w14:paraId="1362CC6E" w14:textId="77777777" w:rsidR="00850A36" w:rsidRPr="008A030E" w:rsidRDefault="00850A36">
            <w:pPr>
              <w:pStyle w:val="TableText"/>
              <w:rPr>
                <w:szCs w:val="20"/>
              </w:rPr>
            </w:pPr>
            <w:r w:rsidRPr="008A030E">
              <w:rPr>
                <w:szCs w:val="20"/>
              </w:rPr>
              <w:t xml:space="preserve">Reasonable. </w:t>
            </w:r>
          </w:p>
        </w:tc>
      </w:tr>
      <w:tr w:rsidR="00850A36" w:rsidRPr="008A030E" w14:paraId="203D7AD3" w14:textId="77777777" w:rsidTr="132E0B0E">
        <w:tc>
          <w:tcPr>
            <w:tcW w:w="2065" w:type="dxa"/>
          </w:tcPr>
          <w:p w14:paraId="257E4945" w14:textId="77777777" w:rsidR="00850A36" w:rsidRPr="008A030E" w:rsidRDefault="00850A36">
            <w:pPr>
              <w:pStyle w:val="TableText"/>
              <w:rPr>
                <w:szCs w:val="20"/>
              </w:rPr>
            </w:pPr>
            <w:r w:rsidRPr="008A030E">
              <w:rPr>
                <w:szCs w:val="20"/>
              </w:rPr>
              <w:t>Age-standardised incidence rate of follicular lymphoma</w:t>
            </w:r>
          </w:p>
        </w:tc>
        <w:tc>
          <w:tcPr>
            <w:tcW w:w="2970" w:type="dxa"/>
          </w:tcPr>
          <w:p w14:paraId="78CD9742" w14:textId="77777777" w:rsidR="00850A36" w:rsidRPr="008A030E" w:rsidRDefault="00850A36">
            <w:pPr>
              <w:pStyle w:val="TableText"/>
              <w:rPr>
                <w:szCs w:val="20"/>
              </w:rPr>
            </w:pPr>
            <w:r w:rsidRPr="008A030E">
              <w:rPr>
                <w:szCs w:val="20"/>
              </w:rPr>
              <w:t>5.44/100,000: Australian Institute of Health and Welfare, Cancer data in Australia</w:t>
            </w:r>
          </w:p>
        </w:tc>
        <w:tc>
          <w:tcPr>
            <w:tcW w:w="3981" w:type="dxa"/>
          </w:tcPr>
          <w:p w14:paraId="0230ABDA" w14:textId="77777777" w:rsidR="00850A36" w:rsidRPr="008A030E" w:rsidRDefault="00850A36">
            <w:pPr>
              <w:pStyle w:val="TableText"/>
              <w:rPr>
                <w:szCs w:val="20"/>
              </w:rPr>
            </w:pPr>
            <w:r w:rsidRPr="008A030E">
              <w:rPr>
                <w:szCs w:val="20"/>
              </w:rPr>
              <w:t>An average of the incidence rate reported in the previous 5 years with data available (2015-2019) was applied</w:t>
            </w:r>
          </w:p>
        </w:tc>
      </w:tr>
      <w:tr w:rsidR="00850A36" w:rsidRPr="008A030E" w14:paraId="56B26EDC" w14:textId="77777777" w:rsidTr="132E0B0E">
        <w:tc>
          <w:tcPr>
            <w:tcW w:w="2065" w:type="dxa"/>
          </w:tcPr>
          <w:p w14:paraId="719DC612" w14:textId="77777777" w:rsidR="00850A36" w:rsidRPr="008A030E" w:rsidRDefault="00850A36">
            <w:pPr>
              <w:pStyle w:val="TableText"/>
              <w:rPr>
                <w:szCs w:val="20"/>
              </w:rPr>
            </w:pPr>
            <w:r>
              <w:rPr>
                <w:szCs w:val="20"/>
              </w:rPr>
              <w:t>%</w:t>
            </w:r>
            <w:r w:rsidRPr="008A030E">
              <w:rPr>
                <w:szCs w:val="20"/>
              </w:rPr>
              <w:t xml:space="preserve"> incident cases of staged as Grade 3b</w:t>
            </w:r>
          </w:p>
        </w:tc>
        <w:tc>
          <w:tcPr>
            <w:tcW w:w="2970" w:type="dxa"/>
          </w:tcPr>
          <w:p w14:paraId="4CC49414" w14:textId="77777777" w:rsidR="00850A36" w:rsidRPr="008A030E" w:rsidRDefault="00850A36">
            <w:pPr>
              <w:pStyle w:val="TableText"/>
              <w:rPr>
                <w:szCs w:val="20"/>
              </w:rPr>
            </w:pPr>
            <w:r w:rsidRPr="008A030E">
              <w:rPr>
                <w:szCs w:val="20"/>
              </w:rPr>
              <w:t xml:space="preserve">7.5%: Barraclough 2023 </w:t>
            </w:r>
          </w:p>
        </w:tc>
        <w:tc>
          <w:tcPr>
            <w:tcW w:w="3981" w:type="dxa"/>
          </w:tcPr>
          <w:p w14:paraId="2C71A0B4" w14:textId="77777777" w:rsidR="00850A36" w:rsidRPr="008A030E" w:rsidRDefault="00850A36">
            <w:pPr>
              <w:pStyle w:val="TableText"/>
            </w:pPr>
            <w:r>
              <w:t xml:space="preserve">Applied value of 7.5% represents the midpoint of estimate of 5%-10% outlined in the </w:t>
            </w:r>
            <w:proofErr w:type="gramStart"/>
            <w:r>
              <w:t>article</w:t>
            </w:r>
            <w:proofErr w:type="gramEnd"/>
          </w:p>
          <w:p w14:paraId="075EB0D4" w14:textId="77777777" w:rsidR="00850A36" w:rsidRPr="008A030E" w:rsidRDefault="00850A36">
            <w:pPr>
              <w:pStyle w:val="TableText"/>
              <w:rPr>
                <w:szCs w:val="20"/>
              </w:rPr>
            </w:pPr>
            <w:r w:rsidRPr="008A030E">
              <w:rPr>
                <w:szCs w:val="20"/>
              </w:rPr>
              <w:t>This value was applied to calculate the proportion of follicular lymphoma cases with Grade 1-3a (i.e. the complement to the proportion with Grade 3b)</w:t>
            </w:r>
          </w:p>
        </w:tc>
      </w:tr>
      <w:tr w:rsidR="00850A36" w:rsidRPr="008A030E" w14:paraId="022DD1EF" w14:textId="77777777" w:rsidTr="132E0B0E">
        <w:tc>
          <w:tcPr>
            <w:tcW w:w="2065" w:type="dxa"/>
          </w:tcPr>
          <w:p w14:paraId="1653D075" w14:textId="77777777" w:rsidR="00850A36" w:rsidRPr="008A030E" w:rsidRDefault="00850A36">
            <w:pPr>
              <w:pStyle w:val="TableText"/>
            </w:pPr>
            <w:r>
              <w:t>% incident cases commencing 2L treatment within 36 months</w:t>
            </w:r>
          </w:p>
        </w:tc>
        <w:tc>
          <w:tcPr>
            <w:tcW w:w="2970" w:type="dxa"/>
          </w:tcPr>
          <w:p w14:paraId="2870C683" w14:textId="77777777" w:rsidR="00850A36" w:rsidRPr="008A030E" w:rsidRDefault="00850A36">
            <w:pPr>
              <w:pStyle w:val="TableText"/>
              <w:rPr>
                <w:color w:val="0070C0"/>
                <w:szCs w:val="20"/>
              </w:rPr>
            </w:pPr>
            <w:r w:rsidRPr="008A030E">
              <w:rPr>
                <w:szCs w:val="20"/>
              </w:rPr>
              <w:t xml:space="preserve">13%: Commissioned analysis of the Lymphoma and Related Diseases Registry. </w:t>
            </w:r>
            <w:r w:rsidRPr="008A030E">
              <w:rPr>
                <w:color w:val="000000" w:themeColor="text1"/>
                <w:szCs w:val="20"/>
              </w:rPr>
              <w:t>(</w:t>
            </w:r>
            <w:proofErr w:type="spellStart"/>
            <w:r w:rsidRPr="008A030E">
              <w:rPr>
                <w:color w:val="000000" w:themeColor="text1"/>
                <w:szCs w:val="20"/>
              </w:rPr>
              <w:t>LaRDR</w:t>
            </w:r>
            <w:proofErr w:type="spellEnd"/>
            <w:r w:rsidRPr="008A030E">
              <w:rPr>
                <w:color w:val="000000" w:themeColor="text1"/>
                <w:szCs w:val="20"/>
              </w:rPr>
              <w:t>)</w:t>
            </w:r>
          </w:p>
        </w:tc>
        <w:tc>
          <w:tcPr>
            <w:tcW w:w="3981" w:type="dxa"/>
          </w:tcPr>
          <w:p w14:paraId="097C574D" w14:textId="3ED47643" w:rsidR="00850A36" w:rsidRPr="008A030E" w:rsidRDefault="00850A36">
            <w:pPr>
              <w:pStyle w:val="TableText"/>
              <w:rPr>
                <w:szCs w:val="20"/>
              </w:rPr>
            </w:pPr>
            <w:r w:rsidRPr="008A030E">
              <w:rPr>
                <w:szCs w:val="20"/>
              </w:rPr>
              <w:t xml:space="preserve">Applied based on the funding request for </w:t>
            </w:r>
            <w:r>
              <w:rPr>
                <w:szCs w:val="20"/>
              </w:rPr>
              <w:t>AXI</w:t>
            </w:r>
            <w:r w:rsidRPr="008A030E">
              <w:rPr>
                <w:szCs w:val="20"/>
              </w:rPr>
              <w:t xml:space="preserve"> being restricted to patient relapsed or refractory follicular lymphoma after two or more lines of systemic therapy</w:t>
            </w:r>
            <w:r w:rsidR="0013523F">
              <w:rPr>
                <w:szCs w:val="20"/>
              </w:rPr>
              <w:t xml:space="preserve">. The basis for </w:t>
            </w:r>
            <w:r w:rsidR="00D557A9">
              <w:rPr>
                <w:szCs w:val="20"/>
              </w:rPr>
              <w:t>limiting this esti</w:t>
            </w:r>
            <w:r w:rsidR="00243AD6">
              <w:rPr>
                <w:szCs w:val="20"/>
              </w:rPr>
              <w:t xml:space="preserve">mate to those that </w:t>
            </w:r>
            <w:r w:rsidR="00EE47DD">
              <w:rPr>
                <w:szCs w:val="20"/>
              </w:rPr>
              <w:t xml:space="preserve">commenced 2L treatment within 36 months was not </w:t>
            </w:r>
            <w:r w:rsidR="00C57F69">
              <w:rPr>
                <w:szCs w:val="20"/>
              </w:rPr>
              <w:t xml:space="preserve">explained. </w:t>
            </w:r>
          </w:p>
        </w:tc>
      </w:tr>
      <w:tr w:rsidR="00850A36" w:rsidRPr="008A030E" w14:paraId="2C8190C8" w14:textId="77777777" w:rsidTr="132E0B0E">
        <w:tc>
          <w:tcPr>
            <w:tcW w:w="2065" w:type="dxa"/>
          </w:tcPr>
          <w:p w14:paraId="32DB70B4" w14:textId="77777777" w:rsidR="00850A36" w:rsidRPr="008A030E" w:rsidRDefault="00850A36">
            <w:pPr>
              <w:pStyle w:val="TableText"/>
              <w:rPr>
                <w:szCs w:val="20"/>
              </w:rPr>
            </w:pPr>
            <w:r>
              <w:rPr>
                <w:szCs w:val="20"/>
              </w:rPr>
              <w:t xml:space="preserve">% </w:t>
            </w:r>
            <w:r w:rsidRPr="008A030E">
              <w:rPr>
                <w:szCs w:val="20"/>
              </w:rPr>
              <w:t>patients relapsed or refractory after 2+ lines of therapy expected to receive 3L therapy</w:t>
            </w:r>
          </w:p>
        </w:tc>
        <w:tc>
          <w:tcPr>
            <w:tcW w:w="2970" w:type="dxa"/>
          </w:tcPr>
          <w:p w14:paraId="277F69AF" w14:textId="438415E5" w:rsidR="00850A36" w:rsidRPr="008A030E" w:rsidRDefault="00850A36">
            <w:pPr>
              <w:pStyle w:val="TableText"/>
              <w:rPr>
                <w:szCs w:val="20"/>
              </w:rPr>
            </w:pPr>
            <w:r w:rsidRPr="008A030E">
              <w:rPr>
                <w:szCs w:val="20"/>
              </w:rPr>
              <w:t>61%: Survey of 4 Australian clinicians experienced in the management of follicular lymphoma</w:t>
            </w:r>
          </w:p>
        </w:tc>
        <w:tc>
          <w:tcPr>
            <w:tcW w:w="3981" w:type="dxa"/>
          </w:tcPr>
          <w:p w14:paraId="5E062335" w14:textId="3CBBA4D4" w:rsidR="00850A36" w:rsidRPr="008A030E" w:rsidRDefault="00850A36">
            <w:pPr>
              <w:pStyle w:val="TableText"/>
              <w:rPr>
                <w:color w:val="0070C0"/>
              </w:rPr>
            </w:pPr>
            <w:r>
              <w:t xml:space="preserve">Applied value of 61% represents the average of the responses (range 50%-90%). </w:t>
            </w:r>
            <w:r w:rsidRPr="132E0B0E">
              <w:rPr>
                <w:color w:val="000000" w:themeColor="text1"/>
              </w:rPr>
              <w:t xml:space="preserve">This indicates a wide range of responses to the survey, which suggest large financial uncertainty. </w:t>
            </w:r>
          </w:p>
        </w:tc>
      </w:tr>
      <w:tr w:rsidR="00850A36" w:rsidRPr="008A030E" w14:paraId="338C1C14" w14:textId="77777777" w:rsidTr="132E0B0E">
        <w:tc>
          <w:tcPr>
            <w:tcW w:w="2065" w:type="dxa"/>
          </w:tcPr>
          <w:p w14:paraId="019C0B0C" w14:textId="77777777" w:rsidR="00850A36" w:rsidRPr="008A030E" w:rsidRDefault="00850A36">
            <w:pPr>
              <w:pStyle w:val="TableText"/>
              <w:rPr>
                <w:szCs w:val="20"/>
              </w:rPr>
            </w:pPr>
            <w:r>
              <w:rPr>
                <w:szCs w:val="20"/>
              </w:rPr>
              <w:t>%</w:t>
            </w:r>
            <w:r w:rsidRPr="008A030E">
              <w:rPr>
                <w:szCs w:val="20"/>
              </w:rPr>
              <w:t xml:space="preserve"> patients currently treated in 3L treated with </w:t>
            </w:r>
            <w:r>
              <w:rPr>
                <w:szCs w:val="20"/>
              </w:rPr>
              <w:t>AXI</w:t>
            </w:r>
            <w:r w:rsidRPr="008A030E">
              <w:rPr>
                <w:szCs w:val="20"/>
              </w:rPr>
              <w:t xml:space="preserve"> instead</w:t>
            </w:r>
          </w:p>
        </w:tc>
        <w:tc>
          <w:tcPr>
            <w:tcW w:w="2970" w:type="dxa"/>
          </w:tcPr>
          <w:p w14:paraId="5A607C49" w14:textId="77777777" w:rsidR="00850A36" w:rsidRPr="008A030E" w:rsidRDefault="00850A36">
            <w:pPr>
              <w:pStyle w:val="TableText"/>
              <w:rPr>
                <w:szCs w:val="20"/>
              </w:rPr>
            </w:pPr>
            <w:r w:rsidRPr="008A030E">
              <w:rPr>
                <w:szCs w:val="20"/>
              </w:rPr>
              <w:t>70%: Survey of 4 Australian clinicians experienced in the management of follicular lymphoma</w:t>
            </w:r>
          </w:p>
        </w:tc>
        <w:tc>
          <w:tcPr>
            <w:tcW w:w="3981" w:type="dxa"/>
          </w:tcPr>
          <w:p w14:paraId="428CEDD0" w14:textId="77777777" w:rsidR="00850A36" w:rsidRPr="008A030E" w:rsidRDefault="00850A36">
            <w:pPr>
              <w:pStyle w:val="TableText"/>
            </w:pPr>
            <w:r>
              <w:t>Applied value of 70% represents the average of the responses (range 60%-80%)</w:t>
            </w:r>
          </w:p>
        </w:tc>
      </w:tr>
      <w:tr w:rsidR="00850A36" w:rsidRPr="008A030E" w14:paraId="70DA7D59" w14:textId="77777777" w:rsidTr="132E0B0E">
        <w:tc>
          <w:tcPr>
            <w:tcW w:w="2065" w:type="dxa"/>
            <w:tcBorders>
              <w:bottom w:val="single" w:sz="4" w:space="0" w:color="auto"/>
            </w:tcBorders>
            <w:vAlign w:val="center"/>
          </w:tcPr>
          <w:p w14:paraId="211E0B1A" w14:textId="77777777" w:rsidR="00850A36" w:rsidRPr="008A030E" w:rsidRDefault="00850A36" w:rsidP="00A762F5">
            <w:pPr>
              <w:pStyle w:val="TableText"/>
              <w:jc w:val="both"/>
              <w:rPr>
                <w:szCs w:val="20"/>
              </w:rPr>
            </w:pPr>
            <w:r>
              <w:rPr>
                <w:szCs w:val="20"/>
              </w:rPr>
              <w:t xml:space="preserve">% </w:t>
            </w:r>
            <w:r w:rsidRPr="008A030E">
              <w:rPr>
                <w:szCs w:val="20"/>
              </w:rPr>
              <w:t xml:space="preserve">patients not currently treated in 3L treated with </w:t>
            </w:r>
            <w:r>
              <w:rPr>
                <w:szCs w:val="20"/>
              </w:rPr>
              <w:t>AXI</w:t>
            </w:r>
          </w:p>
        </w:tc>
        <w:tc>
          <w:tcPr>
            <w:tcW w:w="2970" w:type="dxa"/>
            <w:tcBorders>
              <w:bottom w:val="single" w:sz="4" w:space="0" w:color="auto"/>
            </w:tcBorders>
          </w:tcPr>
          <w:p w14:paraId="189CA423" w14:textId="77777777" w:rsidR="00850A36" w:rsidRPr="008A030E" w:rsidRDefault="00850A36">
            <w:pPr>
              <w:pStyle w:val="TableText"/>
              <w:rPr>
                <w:szCs w:val="20"/>
              </w:rPr>
            </w:pPr>
            <w:r w:rsidRPr="008A030E">
              <w:rPr>
                <w:szCs w:val="20"/>
              </w:rPr>
              <w:t>36%: Survey of 4 Australian clinicians experienced in the management of follicular lymphoma</w:t>
            </w:r>
          </w:p>
        </w:tc>
        <w:tc>
          <w:tcPr>
            <w:tcW w:w="3981" w:type="dxa"/>
            <w:tcBorders>
              <w:bottom w:val="single" w:sz="4" w:space="0" w:color="auto"/>
            </w:tcBorders>
          </w:tcPr>
          <w:p w14:paraId="4C519553" w14:textId="3D48DB51" w:rsidR="00850A36" w:rsidRPr="006053D3" w:rsidRDefault="614747C9">
            <w:pPr>
              <w:pStyle w:val="TableText"/>
            </w:pPr>
            <w:r>
              <w:t>Applied value of 36% represents the average of the responses (range 20%-50%)</w:t>
            </w:r>
            <w:r w:rsidR="5C26E056">
              <w:t xml:space="preserve"> The </w:t>
            </w:r>
            <w:r w:rsidR="2CA5A180">
              <w:t>Commentary</w:t>
            </w:r>
            <w:r w:rsidR="5C26E056">
              <w:t xml:space="preserve"> noted that except for stating that only patients fit enough for treatment would be treated with AXI, the ADAR did not discuss why these patients are not currently treated with 3L treatment. </w:t>
            </w:r>
            <w:r w:rsidR="05411900">
              <w:t>I</w:t>
            </w:r>
            <w:r w:rsidR="5C26E056">
              <w:t xml:space="preserve">t is unclear if they are assumed to be unfit for any treatment or ‘Watching/waiting.’ Given the range of estimates from the survey, it is possible that there was lack of clarity in the survey respondents as well. </w:t>
            </w:r>
          </w:p>
        </w:tc>
      </w:tr>
      <w:tr w:rsidR="00850A36" w:rsidRPr="008A030E" w14:paraId="18A6615D" w14:textId="77777777" w:rsidTr="132E0B0E">
        <w:tc>
          <w:tcPr>
            <w:tcW w:w="2065" w:type="dxa"/>
            <w:tcBorders>
              <w:right w:val="nil"/>
            </w:tcBorders>
          </w:tcPr>
          <w:p w14:paraId="0907A444" w14:textId="77777777" w:rsidR="00850A36" w:rsidRPr="008A030E" w:rsidRDefault="00850A36">
            <w:pPr>
              <w:pStyle w:val="TableText"/>
              <w:rPr>
                <w:szCs w:val="20"/>
              </w:rPr>
            </w:pPr>
            <w:r w:rsidRPr="008A030E">
              <w:rPr>
                <w:szCs w:val="20"/>
              </w:rPr>
              <w:t>Health resource cost inputs</w:t>
            </w:r>
          </w:p>
        </w:tc>
        <w:tc>
          <w:tcPr>
            <w:tcW w:w="2970" w:type="dxa"/>
            <w:tcBorders>
              <w:left w:val="nil"/>
              <w:right w:val="nil"/>
            </w:tcBorders>
          </w:tcPr>
          <w:p w14:paraId="05356B98" w14:textId="77777777" w:rsidR="00850A36" w:rsidRPr="008A030E" w:rsidRDefault="00850A36">
            <w:pPr>
              <w:pStyle w:val="TableText"/>
              <w:rPr>
                <w:szCs w:val="20"/>
              </w:rPr>
            </w:pPr>
          </w:p>
        </w:tc>
        <w:tc>
          <w:tcPr>
            <w:tcW w:w="3981" w:type="dxa"/>
            <w:tcBorders>
              <w:left w:val="nil"/>
            </w:tcBorders>
          </w:tcPr>
          <w:p w14:paraId="6D6D641B" w14:textId="77777777" w:rsidR="00850A36" w:rsidRPr="008A030E" w:rsidRDefault="00850A36">
            <w:pPr>
              <w:pStyle w:val="TableText"/>
              <w:rPr>
                <w:szCs w:val="20"/>
              </w:rPr>
            </w:pPr>
          </w:p>
        </w:tc>
      </w:tr>
      <w:tr w:rsidR="00850A36" w:rsidRPr="008A030E" w14:paraId="75455B10" w14:textId="77777777" w:rsidTr="132E0B0E">
        <w:tc>
          <w:tcPr>
            <w:tcW w:w="2065" w:type="dxa"/>
          </w:tcPr>
          <w:p w14:paraId="41F1E282" w14:textId="77777777" w:rsidR="00850A36" w:rsidRPr="008A030E" w:rsidRDefault="00850A36">
            <w:pPr>
              <w:pStyle w:val="TableText"/>
              <w:rPr>
                <w:szCs w:val="20"/>
              </w:rPr>
            </w:pPr>
            <w:r>
              <w:rPr>
                <w:szCs w:val="20"/>
              </w:rPr>
              <w:t>NHRA</w:t>
            </w:r>
            <w:r w:rsidRPr="008A030E">
              <w:rPr>
                <w:szCs w:val="20"/>
              </w:rPr>
              <w:t xml:space="preserve"> costs: </w:t>
            </w:r>
            <w:r>
              <w:rPr>
                <w:szCs w:val="20"/>
              </w:rPr>
              <w:t>AXI</w:t>
            </w:r>
            <w:r w:rsidRPr="008A030E">
              <w:rPr>
                <w:szCs w:val="20"/>
              </w:rPr>
              <w:t xml:space="preserve"> acquisition</w:t>
            </w:r>
          </w:p>
        </w:tc>
        <w:tc>
          <w:tcPr>
            <w:tcW w:w="2970" w:type="dxa"/>
          </w:tcPr>
          <w:p w14:paraId="778B7821" w14:textId="16DC5028" w:rsidR="00850A36" w:rsidRPr="008A030E" w:rsidRDefault="007D095B" w:rsidP="132E0B0E">
            <w:pPr>
              <w:pStyle w:val="TableText"/>
              <w:rPr>
                <w:highlight w:val="yellow"/>
              </w:rPr>
            </w:pPr>
            <w:r w:rsidRPr="132E0B0E">
              <w:rPr>
                <w:rFonts w:eastAsia="Calibri"/>
                <w:b/>
                <w:bCs/>
                <w:color w:val="000000" w:themeColor="text1"/>
              </w:rPr>
              <w:t>$Redacted</w:t>
            </w:r>
          </w:p>
        </w:tc>
        <w:tc>
          <w:tcPr>
            <w:tcW w:w="3981" w:type="dxa"/>
          </w:tcPr>
          <w:p w14:paraId="3C8C8133" w14:textId="77777777" w:rsidR="00850A36" w:rsidRPr="008A030E" w:rsidRDefault="00850A36">
            <w:pPr>
              <w:pStyle w:val="TableText"/>
              <w:rPr>
                <w:szCs w:val="20"/>
              </w:rPr>
            </w:pPr>
            <w:r>
              <w:rPr>
                <w:szCs w:val="20"/>
              </w:rPr>
              <w:t>-</w:t>
            </w:r>
          </w:p>
        </w:tc>
      </w:tr>
      <w:tr w:rsidR="00850A36" w:rsidRPr="008A030E" w14:paraId="72803A35" w14:textId="77777777" w:rsidTr="132E0B0E">
        <w:tc>
          <w:tcPr>
            <w:tcW w:w="2065" w:type="dxa"/>
          </w:tcPr>
          <w:p w14:paraId="00C37757" w14:textId="77777777" w:rsidR="00850A36" w:rsidRPr="008A030E" w:rsidRDefault="00850A36">
            <w:pPr>
              <w:pStyle w:val="TableText"/>
              <w:rPr>
                <w:szCs w:val="20"/>
              </w:rPr>
            </w:pPr>
            <w:r w:rsidRPr="008A030E">
              <w:rPr>
                <w:szCs w:val="20"/>
              </w:rPr>
              <w:t>Hospital costs (Public)</w:t>
            </w:r>
          </w:p>
        </w:tc>
        <w:tc>
          <w:tcPr>
            <w:tcW w:w="2970" w:type="dxa"/>
          </w:tcPr>
          <w:p w14:paraId="65C60844" w14:textId="77777777" w:rsidR="00850A36" w:rsidRPr="008A030E" w:rsidRDefault="00850A36">
            <w:pPr>
              <w:pStyle w:val="TableText"/>
              <w:rPr>
                <w:szCs w:val="20"/>
              </w:rPr>
            </w:pPr>
            <w:r w:rsidRPr="008A030E">
              <w:rPr>
                <w:szCs w:val="20"/>
              </w:rPr>
              <w:t>NHCDC Cost weights for AR-DRG Version 11.0, 2021-21, Public Sector</w:t>
            </w:r>
          </w:p>
        </w:tc>
        <w:tc>
          <w:tcPr>
            <w:tcW w:w="3981" w:type="dxa"/>
            <w:vMerge w:val="restart"/>
          </w:tcPr>
          <w:p w14:paraId="7937F35D" w14:textId="0C7DFC14" w:rsidR="00850A36" w:rsidRPr="00C06702" w:rsidRDefault="796F5DA1">
            <w:pPr>
              <w:pStyle w:val="TableText"/>
            </w:pPr>
            <w:r>
              <w:t xml:space="preserve">The </w:t>
            </w:r>
            <w:r w:rsidR="1BCC4EF7">
              <w:t>Commentary</w:t>
            </w:r>
            <w:r>
              <w:t xml:space="preserve"> considered this was c</w:t>
            </w:r>
            <w:r w:rsidR="614747C9">
              <w:t xml:space="preserve">onsistent with economic evaluation. Hospitalisation costs may be </w:t>
            </w:r>
            <w:r w:rsidR="614747C9">
              <w:lastRenderedPageBreak/>
              <w:t>underestimated given assumption of no subsequent stem cell transplant for CAR</w:t>
            </w:r>
            <w:r w:rsidR="4E1BDCB3">
              <w:t>-</w:t>
            </w:r>
            <w:r w:rsidR="614747C9">
              <w:t>T. PBS cost savings may be overestimated given the more costly PBS therapies (</w:t>
            </w:r>
            <w:proofErr w:type="spellStart"/>
            <w:r w:rsidR="614747C9">
              <w:t>idelalisib</w:t>
            </w:r>
            <w:proofErr w:type="spellEnd"/>
            <w:r w:rsidR="614747C9">
              <w:t xml:space="preserve"> and </w:t>
            </w:r>
            <w:proofErr w:type="spellStart"/>
            <w:r w:rsidR="614747C9">
              <w:t>obinutuzuamb</w:t>
            </w:r>
            <w:proofErr w:type="spellEnd"/>
            <w:r w:rsidR="614747C9">
              <w:t>) may be over</w:t>
            </w:r>
            <w:r w:rsidR="41B9E6CC">
              <w:t>-</w:t>
            </w:r>
            <w:r w:rsidR="614747C9">
              <w:t xml:space="preserve">represented compared to the Australian setting. </w:t>
            </w:r>
          </w:p>
        </w:tc>
      </w:tr>
      <w:tr w:rsidR="00850A36" w:rsidRPr="008A030E" w14:paraId="59243569" w14:textId="77777777" w:rsidTr="132E0B0E">
        <w:tc>
          <w:tcPr>
            <w:tcW w:w="2065" w:type="dxa"/>
          </w:tcPr>
          <w:p w14:paraId="3C45F42C" w14:textId="77777777" w:rsidR="00850A36" w:rsidRPr="008A030E" w:rsidRDefault="00850A36">
            <w:pPr>
              <w:pStyle w:val="TableText"/>
              <w:rPr>
                <w:szCs w:val="20"/>
              </w:rPr>
            </w:pPr>
            <w:r w:rsidRPr="008A030E">
              <w:rPr>
                <w:szCs w:val="20"/>
              </w:rPr>
              <w:lastRenderedPageBreak/>
              <w:t>PBS costs</w:t>
            </w:r>
          </w:p>
        </w:tc>
        <w:tc>
          <w:tcPr>
            <w:tcW w:w="2970" w:type="dxa"/>
          </w:tcPr>
          <w:p w14:paraId="62B50BA2" w14:textId="77777777" w:rsidR="00850A36" w:rsidRPr="008A030E" w:rsidRDefault="00850A36">
            <w:pPr>
              <w:pStyle w:val="TableText"/>
              <w:rPr>
                <w:szCs w:val="20"/>
              </w:rPr>
            </w:pPr>
            <w:r w:rsidRPr="008A030E">
              <w:rPr>
                <w:szCs w:val="20"/>
              </w:rPr>
              <w:t>PBS, January 2024</w:t>
            </w:r>
          </w:p>
        </w:tc>
        <w:tc>
          <w:tcPr>
            <w:tcW w:w="3981" w:type="dxa"/>
            <w:vMerge/>
          </w:tcPr>
          <w:p w14:paraId="568C22E9" w14:textId="77777777" w:rsidR="00850A36" w:rsidRPr="00C06702" w:rsidRDefault="00850A36">
            <w:pPr>
              <w:pStyle w:val="TableText"/>
              <w:rPr>
                <w:szCs w:val="20"/>
              </w:rPr>
            </w:pPr>
          </w:p>
        </w:tc>
      </w:tr>
      <w:tr w:rsidR="00850A36" w:rsidRPr="008A030E" w14:paraId="08D68500" w14:textId="77777777" w:rsidTr="132E0B0E">
        <w:tc>
          <w:tcPr>
            <w:tcW w:w="2065" w:type="dxa"/>
          </w:tcPr>
          <w:p w14:paraId="5D21E525" w14:textId="77777777" w:rsidR="00850A36" w:rsidRPr="008A030E" w:rsidRDefault="00850A36">
            <w:pPr>
              <w:pStyle w:val="TableText"/>
              <w:rPr>
                <w:szCs w:val="20"/>
              </w:rPr>
            </w:pPr>
            <w:r w:rsidRPr="008A030E">
              <w:rPr>
                <w:szCs w:val="20"/>
              </w:rPr>
              <w:t>MBS costs</w:t>
            </w:r>
          </w:p>
        </w:tc>
        <w:tc>
          <w:tcPr>
            <w:tcW w:w="2970" w:type="dxa"/>
          </w:tcPr>
          <w:p w14:paraId="78609AC6" w14:textId="77777777" w:rsidR="00850A36" w:rsidRPr="008A030E" w:rsidRDefault="00850A36">
            <w:pPr>
              <w:pStyle w:val="TableText"/>
              <w:rPr>
                <w:szCs w:val="20"/>
              </w:rPr>
            </w:pPr>
            <w:r w:rsidRPr="008A030E">
              <w:rPr>
                <w:szCs w:val="20"/>
              </w:rPr>
              <w:t>$118.90: Item 13950, MBS January 2024</w:t>
            </w:r>
          </w:p>
        </w:tc>
        <w:tc>
          <w:tcPr>
            <w:tcW w:w="3981" w:type="dxa"/>
          </w:tcPr>
          <w:p w14:paraId="2D1E9212" w14:textId="6897F04F" w:rsidR="00850A36" w:rsidRPr="00C06702" w:rsidRDefault="00850A36">
            <w:pPr>
              <w:pStyle w:val="TableText"/>
              <w:rPr>
                <w:szCs w:val="20"/>
              </w:rPr>
            </w:pPr>
            <w:r w:rsidRPr="00C06702">
              <w:rPr>
                <w:szCs w:val="20"/>
              </w:rPr>
              <w:t xml:space="preserve">The ADAR did not include other monitoring and management MBS that had been included </w:t>
            </w:r>
            <w:r w:rsidR="00C06702">
              <w:rPr>
                <w:szCs w:val="20"/>
              </w:rPr>
              <w:t>i</w:t>
            </w:r>
            <w:r w:rsidRPr="00C06702">
              <w:rPr>
                <w:szCs w:val="20"/>
              </w:rPr>
              <w:t>n the economic evaluation. Though this was inappropriate, it would have minimal impact on costs to Government.</w:t>
            </w:r>
          </w:p>
        </w:tc>
      </w:tr>
    </w:tbl>
    <w:p w14:paraId="28B8F6EA" w14:textId="2834C6E9" w:rsidR="00850A36" w:rsidRDefault="00850A36" w:rsidP="001726E9">
      <w:pPr>
        <w:pStyle w:val="TableFooter"/>
      </w:pPr>
      <w:r>
        <w:t>Source: Table 74</w:t>
      </w:r>
      <w:r w:rsidR="001726E9">
        <w:t xml:space="preserve"> of MSAC 1771 </w:t>
      </w:r>
      <w:proofErr w:type="spellStart"/>
      <w:r w:rsidR="001726E9">
        <w:t>ADAR+in-line</w:t>
      </w:r>
      <w:proofErr w:type="spellEnd"/>
      <w:r w:rsidR="001726E9">
        <w:t xml:space="preserve"> commentary</w:t>
      </w:r>
    </w:p>
    <w:p w14:paraId="5AE54566" w14:textId="0BBFAAEB" w:rsidR="00850A36" w:rsidRDefault="00850A36" w:rsidP="00850A36">
      <w:pPr>
        <w:pStyle w:val="TableFooter"/>
      </w:pPr>
      <w:r>
        <w:t>2L = second line; 3L = third line; AR-DRG = Australian refined diagnosis-related groups; AXI = axicabtagene ciloleucel; MBS = Medicare Benefits Schedule; NHCDC = National Hospital Cost Data Collection; NHRA = National Health Reform Agreement; PBS = Pharmaceutical Benefits Scheme</w:t>
      </w:r>
    </w:p>
    <w:p w14:paraId="28A44474" w14:textId="77777777" w:rsidR="00850A36" w:rsidRDefault="00850A36" w:rsidP="00850A36">
      <w:r>
        <w:t>The ADAR estimated the eligible population through the following steps:</w:t>
      </w:r>
    </w:p>
    <w:p w14:paraId="40E2ED48" w14:textId="335A3B40" w:rsidR="00850A36" w:rsidRDefault="00850A36" w:rsidP="00850A36">
      <w:pPr>
        <w:pStyle w:val="ListParagraph"/>
        <w:numPr>
          <w:ilvl w:val="0"/>
          <w:numId w:val="30"/>
        </w:numPr>
      </w:pPr>
      <w:r>
        <w:t xml:space="preserve">Estimating prevalent pool (based on incident cases from 2021-2023) and incident cases in Year 1 (2024) </w:t>
      </w:r>
      <w:r w:rsidR="47299F56">
        <w:t>b</w:t>
      </w:r>
      <w:r>
        <w:t xml:space="preserve">ased on ABS statistics and from </w:t>
      </w:r>
      <w:r w:rsidRPr="00116E16">
        <w:t>Age-standardised incidence rate</w:t>
      </w:r>
      <w:r>
        <w:t xml:space="preserve"> (5.44/100,000)</w:t>
      </w:r>
      <w:r w:rsidRPr="00116E16">
        <w:t xml:space="preserve"> of follicular lymphoma</w:t>
      </w:r>
      <w:r>
        <w:t xml:space="preserve"> from the Australian Institute for Health and Welfare (AIHW)</w:t>
      </w:r>
      <w:r w:rsidR="00D511CC">
        <w:t>.</w:t>
      </w:r>
    </w:p>
    <w:p w14:paraId="5CB5C682" w14:textId="70A2B185" w:rsidR="00850A36" w:rsidRDefault="00850A36" w:rsidP="00850A36">
      <w:pPr>
        <w:pStyle w:val="ListParagraph"/>
        <w:numPr>
          <w:ilvl w:val="0"/>
          <w:numId w:val="30"/>
        </w:numPr>
      </w:pPr>
      <w:r>
        <w:t>Excluding stage 3b patients by adjusting for 7.5% of 3b follicular lymphoma patients based on Barraclough 2023</w:t>
      </w:r>
      <w:r w:rsidR="00D511CC">
        <w:t>.</w:t>
      </w:r>
    </w:p>
    <w:p w14:paraId="448D63E2" w14:textId="77777777" w:rsidR="00850A36" w:rsidRDefault="00850A36" w:rsidP="00850A36">
      <w:pPr>
        <w:pStyle w:val="ListParagraph"/>
        <w:numPr>
          <w:ilvl w:val="0"/>
          <w:numId w:val="30"/>
        </w:numPr>
      </w:pPr>
      <w:r>
        <w:t>Applying the percentage of incident cases commencing second line treatment within 36 months of diagnosis (13%) based on a commissioned analysis from the Lymphoma and Related Diseases Registry (</w:t>
      </w:r>
      <w:proofErr w:type="spellStart"/>
      <w:r>
        <w:t>LaRDR</w:t>
      </w:r>
      <w:proofErr w:type="spellEnd"/>
      <w:r>
        <w:t>).</w:t>
      </w:r>
    </w:p>
    <w:p w14:paraId="7F3DBC33" w14:textId="2C813CB8" w:rsidR="00850A36" w:rsidRDefault="00850A36" w:rsidP="00850A36">
      <w:pPr>
        <w:pStyle w:val="ListParagraph"/>
        <w:numPr>
          <w:ilvl w:val="0"/>
          <w:numId w:val="30"/>
        </w:numPr>
      </w:pPr>
      <w:r>
        <w:t>Applying the percentage of patients who relapse or are refractory to second line treatment based on a survey of 4 Australian clinicians (61%)</w:t>
      </w:r>
      <w:r w:rsidR="00D511CC">
        <w:t>.</w:t>
      </w:r>
    </w:p>
    <w:p w14:paraId="7E69EE54" w14:textId="75032CFE" w:rsidR="00850A36" w:rsidRDefault="00850A36" w:rsidP="00850A36">
      <w:pPr>
        <w:pStyle w:val="ListParagraph"/>
        <w:numPr>
          <w:ilvl w:val="0"/>
          <w:numId w:val="30"/>
        </w:numPr>
      </w:pPr>
      <w:r>
        <w:t>Applying the percentage of patients currently being treated in third line who would receive AXI instead based on a survey of 4 Australian clinicians (70%)</w:t>
      </w:r>
      <w:r w:rsidR="00D511CC">
        <w:t>.</w:t>
      </w:r>
    </w:p>
    <w:p w14:paraId="40E90BD2" w14:textId="5E9B34AE" w:rsidR="00850A36" w:rsidRDefault="00850A36" w:rsidP="00850A36">
      <w:pPr>
        <w:pStyle w:val="ListParagraph"/>
        <w:numPr>
          <w:ilvl w:val="0"/>
          <w:numId w:val="30"/>
        </w:numPr>
      </w:pPr>
      <w:r>
        <w:t xml:space="preserve">Applying the percentage of patients not receiving third line treatment who would be healthy enough to receive AXI based on a survey of 4 Australian clinicians (36%). </w:t>
      </w:r>
    </w:p>
    <w:p w14:paraId="47774224" w14:textId="121A2809" w:rsidR="00850A36" w:rsidRPr="00B45838" w:rsidRDefault="00850A36" w:rsidP="00850A36">
      <w:r>
        <w:t>T</w:t>
      </w:r>
      <w:r w:rsidRPr="00CE28E3">
        <w:t xml:space="preserve">he financial implications resulting from the proposed listing of </w:t>
      </w:r>
      <w:r>
        <w:t>AXI</w:t>
      </w:r>
      <w:r w:rsidRPr="00CE28E3">
        <w:t xml:space="preserve"> are summarised in </w:t>
      </w:r>
      <w:r>
        <w:fldChar w:fldCharType="begin"/>
      </w:r>
      <w:r>
        <w:instrText xml:space="preserve"> REF _Ref69726382 \h </w:instrText>
      </w:r>
      <w:r>
        <w:fldChar w:fldCharType="separate"/>
      </w:r>
      <w:r w:rsidR="00D511CC" w:rsidRPr="00CE28E3">
        <w:t>Table</w:t>
      </w:r>
      <w:r w:rsidR="00D511CC">
        <w:t> </w:t>
      </w:r>
      <w:r w:rsidR="00D511CC">
        <w:rPr>
          <w:noProof/>
        </w:rPr>
        <w:t>19</w:t>
      </w:r>
      <w:r>
        <w:fldChar w:fldCharType="end"/>
      </w:r>
      <w:r w:rsidR="00011EEC">
        <w:t xml:space="preserve"> and sensi</w:t>
      </w:r>
      <w:r w:rsidR="00133142">
        <w:t xml:space="preserve">tivity analyses </w:t>
      </w:r>
      <w:r w:rsidR="0018547A">
        <w:t xml:space="preserve">testing the uncertainty in the assumptions informed by expert opinion are summarised in </w:t>
      </w:r>
      <w:r w:rsidR="0018547A">
        <w:fldChar w:fldCharType="begin"/>
      </w:r>
      <w:r w:rsidR="0018547A">
        <w:instrText xml:space="preserve"> REF _Ref158213842 \h </w:instrText>
      </w:r>
      <w:r w:rsidR="0018547A">
        <w:fldChar w:fldCharType="separate"/>
      </w:r>
      <w:r w:rsidR="0018547A">
        <w:t xml:space="preserve">Table </w:t>
      </w:r>
      <w:r w:rsidR="0018547A">
        <w:rPr>
          <w:noProof/>
        </w:rPr>
        <w:t>20</w:t>
      </w:r>
      <w:r w:rsidR="0018547A">
        <w:fldChar w:fldCharType="end"/>
      </w:r>
      <w:r w:rsidRPr="00CE28E3">
        <w:t xml:space="preserve">. </w:t>
      </w:r>
    </w:p>
    <w:p w14:paraId="45314A86" w14:textId="1BAD94CA" w:rsidR="00850A36" w:rsidRPr="00CE28E3" w:rsidRDefault="00850A36" w:rsidP="00850A36">
      <w:pPr>
        <w:pStyle w:val="Caption"/>
      </w:pPr>
      <w:bookmarkStart w:id="54" w:name="_Ref69726382"/>
      <w:r>
        <w:lastRenderedPageBreak/>
        <w:t>Table </w:t>
      </w:r>
      <w:r>
        <w:fldChar w:fldCharType="begin"/>
      </w:r>
      <w:r>
        <w:instrText>SEQ Table \* ARABIC</w:instrText>
      </w:r>
      <w:r>
        <w:fldChar w:fldCharType="separate"/>
      </w:r>
      <w:r w:rsidR="00D511CC" w:rsidRPr="132E0B0E">
        <w:rPr>
          <w:noProof/>
        </w:rPr>
        <w:t>19</w:t>
      </w:r>
      <w:r>
        <w:fldChar w:fldCharType="end"/>
      </w:r>
      <w:bookmarkEnd w:id="54"/>
      <w:r>
        <w:tab/>
        <w:t>Net financial implications of AXI to the government</w:t>
      </w:r>
    </w:p>
    <w:tbl>
      <w:tblPr>
        <w:tblW w:w="0" w:type="auto"/>
        <w:tblCellMar>
          <w:left w:w="0" w:type="dxa"/>
          <w:right w:w="0" w:type="dxa"/>
        </w:tblCellMar>
        <w:tblLook w:val="04A0" w:firstRow="1" w:lastRow="0" w:firstColumn="1" w:lastColumn="0" w:noHBand="0" w:noVBand="1"/>
      </w:tblPr>
      <w:tblGrid>
        <w:gridCol w:w="2232"/>
        <w:gridCol w:w="1129"/>
        <w:gridCol w:w="1129"/>
        <w:gridCol w:w="1129"/>
        <w:gridCol w:w="1129"/>
        <w:gridCol w:w="1129"/>
        <w:gridCol w:w="1129"/>
      </w:tblGrid>
      <w:tr w:rsidR="00850A36" w:rsidRPr="00CE28E3" w14:paraId="15FFCAB6" w14:textId="77777777" w:rsidTr="132E0B0E">
        <w:trPr>
          <w:tblHeader/>
        </w:trPr>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04E2A8" w14:textId="77777777" w:rsidR="00850A36" w:rsidRPr="00CE28E3" w:rsidRDefault="00850A36">
            <w:pPr>
              <w:pStyle w:val="TableText"/>
              <w:keepNext/>
              <w:rPr>
                <w:b/>
                <w:bCs/>
              </w:rPr>
            </w:pPr>
            <w:bookmarkStart w:id="55" w:name="Title_Table12" w:colFirst="0" w:colLast="0"/>
            <w:bookmarkStart w:id="56" w:name="_Hlk68276802"/>
            <w:r>
              <w:rPr>
                <w:b/>
                <w:bCs/>
              </w:rPr>
              <w:t xml:space="preserve">Parameter </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7F0B1" w14:textId="77777777" w:rsidR="00850A36" w:rsidRPr="00CE28E3" w:rsidRDefault="00850A36">
            <w:pPr>
              <w:pStyle w:val="TableText"/>
              <w:keepNext/>
              <w:rPr>
                <w:b/>
                <w:bCs/>
              </w:rPr>
            </w:pPr>
            <w:r w:rsidRPr="00CE28E3">
              <w:rPr>
                <w:b/>
                <w:bCs/>
              </w:rPr>
              <w:t xml:space="preserve">Year </w:t>
            </w:r>
            <w:r>
              <w:rPr>
                <w:b/>
                <w:bCs/>
              </w:rPr>
              <w:t>2024</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598FD8" w14:textId="77777777" w:rsidR="00850A36" w:rsidRPr="00CE28E3" w:rsidRDefault="00850A36">
            <w:pPr>
              <w:pStyle w:val="TableText"/>
              <w:keepNext/>
              <w:rPr>
                <w:b/>
                <w:bCs/>
              </w:rPr>
            </w:pPr>
            <w:r w:rsidRPr="00CE28E3">
              <w:rPr>
                <w:b/>
                <w:bCs/>
              </w:rPr>
              <w:t xml:space="preserve">Year </w:t>
            </w:r>
            <w:r>
              <w:rPr>
                <w:b/>
                <w:bCs/>
              </w:rPr>
              <w:t>2025</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00745" w14:textId="77777777" w:rsidR="00850A36" w:rsidRPr="00CE28E3" w:rsidRDefault="00850A36">
            <w:pPr>
              <w:pStyle w:val="TableText"/>
              <w:keepNext/>
              <w:rPr>
                <w:b/>
                <w:bCs/>
              </w:rPr>
            </w:pPr>
            <w:r w:rsidRPr="00CE28E3">
              <w:rPr>
                <w:b/>
                <w:bCs/>
              </w:rPr>
              <w:t xml:space="preserve">Year </w:t>
            </w:r>
            <w:r>
              <w:rPr>
                <w:b/>
                <w:bCs/>
              </w:rPr>
              <w:t>2026</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3A593" w14:textId="77777777" w:rsidR="00850A36" w:rsidRPr="00CE28E3" w:rsidRDefault="00850A36">
            <w:pPr>
              <w:pStyle w:val="TableText"/>
              <w:keepNext/>
              <w:rPr>
                <w:b/>
                <w:bCs/>
              </w:rPr>
            </w:pPr>
            <w:r w:rsidRPr="00CE28E3">
              <w:rPr>
                <w:b/>
                <w:bCs/>
              </w:rPr>
              <w:t xml:space="preserve">Year </w:t>
            </w:r>
            <w:r>
              <w:rPr>
                <w:b/>
                <w:bCs/>
              </w:rPr>
              <w:t>2027</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03EB7E" w14:textId="77777777" w:rsidR="00850A36" w:rsidRPr="00CE28E3" w:rsidRDefault="00850A36">
            <w:pPr>
              <w:pStyle w:val="TableText"/>
              <w:keepNext/>
              <w:rPr>
                <w:b/>
                <w:bCs/>
              </w:rPr>
            </w:pPr>
            <w:r w:rsidRPr="00CE28E3">
              <w:rPr>
                <w:b/>
                <w:bCs/>
              </w:rPr>
              <w:t xml:space="preserve">Year </w:t>
            </w:r>
            <w:r>
              <w:rPr>
                <w:b/>
                <w:bCs/>
              </w:rPr>
              <w:t>2028</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6E1A9D" w14:textId="77777777" w:rsidR="00850A36" w:rsidRPr="00CE28E3" w:rsidRDefault="00850A36">
            <w:pPr>
              <w:pStyle w:val="TableText"/>
              <w:keepNext/>
              <w:rPr>
                <w:b/>
                <w:bCs/>
              </w:rPr>
            </w:pPr>
            <w:r w:rsidRPr="00CE28E3">
              <w:rPr>
                <w:b/>
                <w:bCs/>
              </w:rPr>
              <w:t xml:space="preserve">Year </w:t>
            </w:r>
            <w:r>
              <w:rPr>
                <w:b/>
                <w:bCs/>
              </w:rPr>
              <w:t>2029</w:t>
            </w:r>
          </w:p>
        </w:tc>
      </w:tr>
      <w:bookmarkEnd w:id="55"/>
      <w:tr w:rsidR="00850A36" w:rsidRPr="00CE28E3" w14:paraId="3B8568AB" w14:textId="77777777" w:rsidTr="132E0B0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05B26" w14:textId="77777777" w:rsidR="00850A36" w:rsidRPr="00CE28E3" w:rsidRDefault="00850A36">
            <w:pPr>
              <w:pStyle w:val="TableText"/>
              <w:keepNext/>
              <w:rPr>
                <w:b/>
                <w:bCs/>
              </w:rPr>
            </w:pPr>
            <w:r w:rsidRPr="00CE28E3">
              <w:rPr>
                <w:b/>
                <w:bCs/>
              </w:rPr>
              <w:t>Estimated use and cost of the proposed health technology</w:t>
            </w:r>
          </w:p>
        </w:tc>
      </w:tr>
      <w:tr w:rsidR="00850A36" w:rsidRPr="00CE28E3" w14:paraId="65CBAA9D"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D33E1" w14:textId="77777777" w:rsidR="00850A36" w:rsidRPr="00CE28E3" w:rsidRDefault="00850A36">
            <w:pPr>
              <w:pStyle w:val="TableText"/>
              <w:keepNext/>
            </w:pPr>
            <w:r w:rsidRPr="00CE28E3">
              <w:t xml:space="preserve">Number of people who receive </w:t>
            </w:r>
            <w:r>
              <w:t>AXI</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D8BE459" w14:textId="0467FE9D" w:rsidR="00850A36" w:rsidRPr="007D095B" w:rsidRDefault="007D095B">
            <w:pPr>
              <w:pStyle w:val="TableText"/>
              <w:keepNext/>
              <w:rPr>
                <w:b/>
                <w:bCs/>
              </w:rPr>
            </w:pPr>
            <w:r w:rsidRPr="132E0B0E">
              <w:rPr>
                <w:b/>
                <w:bCs/>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AC43193" w14:textId="78E500BA" w:rsidR="00850A36" w:rsidRPr="007D095B" w:rsidRDefault="007D095B">
            <w:pPr>
              <w:pStyle w:val="TableText"/>
              <w:keepNext/>
              <w:rPr>
                <w:b/>
                <w:bCs/>
              </w:rPr>
            </w:pPr>
            <w:r w:rsidRPr="132E0B0E">
              <w:rPr>
                <w:b/>
                <w:bCs/>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3AECF5C" w14:textId="4DCDFFEE" w:rsidR="00850A36" w:rsidRPr="007D095B" w:rsidRDefault="007D095B">
            <w:pPr>
              <w:pStyle w:val="TableText"/>
              <w:keepNext/>
              <w:rPr>
                <w:b/>
                <w:bCs/>
              </w:rPr>
            </w:pPr>
            <w:r w:rsidRPr="132E0B0E">
              <w:rPr>
                <w:b/>
                <w:bCs/>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455D91B" w14:textId="6B073A43" w:rsidR="00850A36" w:rsidRPr="007D095B" w:rsidRDefault="007D095B">
            <w:pPr>
              <w:pStyle w:val="TableText"/>
              <w:keepNext/>
              <w:rPr>
                <w:b/>
                <w:bCs/>
              </w:rPr>
            </w:pPr>
            <w:r w:rsidRPr="132E0B0E">
              <w:rPr>
                <w:b/>
                <w:bCs/>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C76D51A" w14:textId="7B14B212" w:rsidR="00850A36" w:rsidRPr="007D095B" w:rsidRDefault="007D095B">
            <w:pPr>
              <w:pStyle w:val="TableText"/>
              <w:keepNext/>
              <w:rPr>
                <w:b/>
                <w:bCs/>
              </w:rPr>
            </w:pPr>
            <w:r w:rsidRPr="132E0B0E">
              <w:rPr>
                <w:b/>
                <w:bCs/>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5D9F654" w14:textId="52E095C0" w:rsidR="00850A36" w:rsidRPr="007D095B" w:rsidRDefault="007D095B">
            <w:pPr>
              <w:pStyle w:val="TableText"/>
              <w:keepNext/>
              <w:rPr>
                <w:b/>
                <w:bCs/>
              </w:rPr>
            </w:pPr>
            <w:r w:rsidRPr="132E0B0E">
              <w:rPr>
                <w:b/>
                <w:bCs/>
              </w:rPr>
              <w:t>Redacted</w:t>
            </w:r>
          </w:p>
        </w:tc>
      </w:tr>
      <w:tr w:rsidR="00850A36" w:rsidRPr="00CE28E3" w14:paraId="4D7FFD76"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D286B" w14:textId="77777777" w:rsidR="00850A36" w:rsidRPr="006F2F70" w:rsidRDefault="00850A36">
            <w:pPr>
              <w:pStyle w:val="TableText"/>
              <w:keepNext/>
              <w:rPr>
                <w:vertAlign w:val="superscript"/>
              </w:rPr>
            </w:pPr>
            <w:r>
              <w:t xml:space="preserve">Total NHRA </w:t>
            </w:r>
            <w:proofErr w:type="spellStart"/>
            <w:r>
              <w:t>costs</w:t>
            </w:r>
            <w:r>
              <w:rPr>
                <w:vertAlign w:val="superscript"/>
              </w:rPr>
              <w:t>a</w:t>
            </w:r>
            <w:proofErr w:type="spellEnd"/>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DE47379" w14:textId="7ABACEB6" w:rsidR="00850A36" w:rsidRPr="006E01BB"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02EEAA9" w14:textId="44152226" w:rsidR="00850A36" w:rsidRPr="006E01BB"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2ED190E" w14:textId="0B24D528" w:rsidR="00850A36" w:rsidRPr="006E01BB"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CE708C0" w14:textId="1D30E9B9" w:rsidR="00850A36" w:rsidRPr="006E01BB"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6477F5A" w14:textId="07610009" w:rsidR="00850A36" w:rsidRPr="006E01BB"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FED4BC0" w14:textId="73E80561" w:rsidR="00850A36" w:rsidRPr="006E01BB" w:rsidRDefault="007D095B">
            <w:pPr>
              <w:pStyle w:val="TableText"/>
              <w:keepNext/>
              <w:rPr>
                <w:highlight w:val="yellow"/>
              </w:rPr>
            </w:pPr>
            <w:r w:rsidRPr="132E0B0E">
              <w:rPr>
                <w:rFonts w:eastAsia="Calibri"/>
                <w:b/>
                <w:bCs/>
                <w:color w:val="000000" w:themeColor="text1"/>
              </w:rPr>
              <w:t>$Redacted</w:t>
            </w:r>
          </w:p>
        </w:tc>
      </w:tr>
      <w:tr w:rsidR="00850A36" w:rsidRPr="00CE28E3" w14:paraId="158E1742" w14:textId="77777777" w:rsidTr="132E0B0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B6352" w14:textId="77777777" w:rsidR="00850A36" w:rsidRPr="00CE28E3" w:rsidRDefault="00850A36">
            <w:pPr>
              <w:pStyle w:val="TableText"/>
              <w:keepNext/>
              <w:rPr>
                <w:b/>
                <w:bCs/>
              </w:rPr>
            </w:pPr>
            <w:r w:rsidRPr="00CE28E3">
              <w:rPr>
                <w:b/>
                <w:bCs/>
              </w:rPr>
              <w:t>Change in use and cost of other health technologies</w:t>
            </w:r>
          </w:p>
        </w:tc>
      </w:tr>
      <w:tr w:rsidR="00850A36" w:rsidRPr="00CE28E3" w14:paraId="49CF4089"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F09FC" w14:textId="77777777" w:rsidR="00850A36" w:rsidRPr="00CE28E3" w:rsidRDefault="00850A36">
            <w:pPr>
              <w:pStyle w:val="TableText"/>
              <w:keepNext/>
            </w:pPr>
            <w:r w:rsidRPr="00CE28E3">
              <w:t xml:space="preserve">Change in </w:t>
            </w:r>
            <w:r>
              <w:t xml:space="preserve">Hospital costs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CCEB534" w14:textId="49D9590B" w:rsidR="00850A36" w:rsidRPr="009278EF"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10A6F9F" w14:textId="57B69EDF" w:rsidR="00850A36" w:rsidRPr="009278EF"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868F788" w14:textId="2A42BAD9" w:rsidR="00850A36" w:rsidRPr="009278EF"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DED1543" w14:textId="3AD7DD02" w:rsidR="00850A36" w:rsidRPr="009278EF"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B55AB18" w14:textId="034ED22D" w:rsidR="00850A36" w:rsidRPr="009278EF" w:rsidRDefault="007D095B">
            <w:pPr>
              <w:pStyle w:val="TableText"/>
              <w:keepNext/>
              <w:rPr>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0918604" w14:textId="7D374683" w:rsidR="00850A36" w:rsidRPr="009278EF" w:rsidRDefault="007D095B">
            <w:pPr>
              <w:pStyle w:val="TableText"/>
              <w:keepNext/>
              <w:rPr>
                <w:highlight w:val="yellow"/>
              </w:rPr>
            </w:pPr>
            <w:r w:rsidRPr="132E0B0E">
              <w:rPr>
                <w:rFonts w:eastAsia="Calibri"/>
                <w:b/>
                <w:bCs/>
                <w:color w:val="000000" w:themeColor="text1"/>
              </w:rPr>
              <w:t>$Redacted</w:t>
            </w:r>
          </w:p>
        </w:tc>
      </w:tr>
      <w:tr w:rsidR="00850A36" w:rsidRPr="00CE28E3" w14:paraId="74CB4E49"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BB5FE" w14:textId="77777777" w:rsidR="00850A36" w:rsidRPr="00CE28E3" w:rsidRDefault="00850A36">
            <w:pPr>
              <w:pStyle w:val="TableText"/>
              <w:keepNext/>
            </w:pPr>
            <w:r w:rsidRPr="00CE28E3">
              <w:t xml:space="preserve">Change in </w:t>
            </w:r>
            <w:r>
              <w:t>costs to the PBS</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3B18C2B" w14:textId="59653484"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D5B1E9E" w14:textId="7EBC88FB"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BB27ACC" w14:textId="029E9E2F"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91DD76C" w14:textId="47D97655"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38DE38FB" w14:textId="6DBB203A"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03CBA7E" w14:textId="75D8DAE3"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r>
      <w:tr w:rsidR="00850A36" w:rsidRPr="00CE28E3" w14:paraId="4D956F1B"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7308B" w14:textId="77777777" w:rsidR="00850A36" w:rsidRPr="00CE28E3" w:rsidRDefault="00850A36">
            <w:pPr>
              <w:pStyle w:val="TableText"/>
              <w:keepNext/>
            </w:pPr>
            <w:r w:rsidRPr="00CE28E3">
              <w:t xml:space="preserve">Net change in costs to the </w:t>
            </w:r>
            <w:r>
              <w:t>MBS</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B5E1F3B" w14:textId="3F4F7045"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4E1195C" w14:textId="3C3F06BD"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A96D33D" w14:textId="671F2F09"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77328574" w14:textId="62C94973"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836991E" w14:textId="7B9B9133"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19CF5FC" w14:textId="2D344C7D" w:rsidR="00850A36" w:rsidRPr="009278EF" w:rsidRDefault="007D095B">
            <w:pPr>
              <w:pStyle w:val="TableText"/>
              <w:keepNext/>
              <w:rPr>
                <w:color w:val="000000" w:themeColor="text1"/>
                <w:highlight w:val="yellow"/>
              </w:rPr>
            </w:pPr>
            <w:r w:rsidRPr="132E0B0E">
              <w:rPr>
                <w:rFonts w:eastAsia="Calibri"/>
                <w:b/>
                <w:bCs/>
                <w:color w:val="000000" w:themeColor="text1"/>
              </w:rPr>
              <w:t>$Redacted</w:t>
            </w:r>
          </w:p>
        </w:tc>
      </w:tr>
      <w:tr w:rsidR="00850A36" w:rsidRPr="00CE28E3" w14:paraId="009FF319" w14:textId="77777777" w:rsidTr="132E0B0E">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3F3D" w14:textId="77777777" w:rsidR="00850A36" w:rsidRPr="00CE28E3" w:rsidRDefault="00850A36">
            <w:pPr>
              <w:pStyle w:val="TableText"/>
              <w:keepNext/>
              <w:rPr>
                <w:b/>
                <w:bCs/>
              </w:rPr>
            </w:pPr>
            <w:r w:rsidRPr="132E0B0E">
              <w:rPr>
                <w:b/>
                <w:bCs/>
              </w:rPr>
              <w:t>Net financial impact to Government</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018AFE9A" w14:textId="3230CFA6" w:rsidR="00850A36" w:rsidRPr="009278EF" w:rsidRDefault="007D095B">
            <w:pPr>
              <w:pStyle w:val="TableText"/>
              <w:keepNext/>
              <w:rPr>
                <w:b/>
                <w:bCs/>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C55FBBD" w14:textId="715B7B73" w:rsidR="00850A36" w:rsidRPr="009278EF" w:rsidRDefault="007D095B">
            <w:pPr>
              <w:pStyle w:val="TableText"/>
              <w:keepNext/>
              <w:rPr>
                <w:b/>
                <w:bCs/>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9A7586E" w14:textId="0BA6B51D" w:rsidR="00850A36" w:rsidRPr="009278EF" w:rsidRDefault="007D095B">
            <w:pPr>
              <w:pStyle w:val="TableText"/>
              <w:keepNext/>
              <w:rPr>
                <w:b/>
                <w:bCs/>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43F83FF0" w14:textId="17A86ABA" w:rsidR="00850A36" w:rsidRPr="009278EF" w:rsidRDefault="007D095B">
            <w:pPr>
              <w:pStyle w:val="TableText"/>
              <w:keepNext/>
              <w:rPr>
                <w:b/>
                <w:bCs/>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25B9BB12" w14:textId="1B39DF61" w:rsidR="00850A36" w:rsidRPr="009278EF" w:rsidRDefault="007D095B">
            <w:pPr>
              <w:pStyle w:val="TableText"/>
              <w:keepNext/>
              <w:rPr>
                <w:b/>
                <w:bCs/>
                <w:highlight w:val="yellow"/>
              </w:rPr>
            </w:pPr>
            <w:r w:rsidRPr="132E0B0E">
              <w:rPr>
                <w:rFonts w:eastAsia="Calibri"/>
                <w:b/>
                <w:bCs/>
                <w:color w:val="000000" w:themeColor="text1"/>
              </w:rPr>
              <w:t>$Redacted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614A760E" w14:textId="144E9301" w:rsidR="00850A36" w:rsidRPr="009278EF" w:rsidRDefault="007D095B">
            <w:pPr>
              <w:pStyle w:val="TableText"/>
              <w:keepNext/>
              <w:rPr>
                <w:b/>
                <w:bCs/>
                <w:highlight w:val="yellow"/>
              </w:rPr>
            </w:pPr>
            <w:r w:rsidRPr="132E0B0E">
              <w:rPr>
                <w:rFonts w:eastAsia="Calibri"/>
                <w:b/>
                <w:bCs/>
                <w:color w:val="000000" w:themeColor="text1"/>
              </w:rPr>
              <w:t>$Redacted</w:t>
            </w:r>
          </w:p>
        </w:tc>
      </w:tr>
    </w:tbl>
    <w:p w14:paraId="133DAACD" w14:textId="7909FA8E" w:rsidR="00850A36" w:rsidRDefault="00850A36" w:rsidP="00850A36">
      <w:pPr>
        <w:pStyle w:val="TableFooter"/>
      </w:pPr>
      <w:bookmarkStart w:id="57" w:name="_Hlk68276814"/>
      <w:bookmarkEnd w:id="56"/>
      <w:r>
        <w:t>Source: Tables 80-84, pp124-127 of the ADAR.</w:t>
      </w:r>
    </w:p>
    <w:p w14:paraId="3FCE2E1A" w14:textId="77777777" w:rsidR="00850A36" w:rsidRDefault="00850A36" w:rsidP="00850A36">
      <w:pPr>
        <w:pStyle w:val="TableFooter"/>
      </w:pPr>
      <w:r>
        <w:t>AXI = axicabtagene ciloleucel; MBS = Medicare Benefits Schedule; NHRA = National Health Reform Agreement; PBS = Pharmaceutical Benefits Scheme</w:t>
      </w:r>
    </w:p>
    <w:p w14:paraId="63CB6031" w14:textId="7633B198" w:rsidR="00850A36" w:rsidRPr="006F2F70" w:rsidRDefault="00850A36" w:rsidP="00A762F5">
      <w:pPr>
        <w:pStyle w:val="TableFooter"/>
        <w:tabs>
          <w:tab w:val="left" w:pos="284"/>
        </w:tabs>
      </w:pPr>
      <w:r w:rsidRPr="132E0B0E">
        <w:rPr>
          <w:vertAlign w:val="superscript"/>
        </w:rPr>
        <w:t>a</w:t>
      </w:r>
      <w:r>
        <w:tab/>
        <w:t xml:space="preserve">Based on requested AXI price of </w:t>
      </w:r>
      <w:r w:rsidR="007D095B" w:rsidRPr="132E0B0E">
        <w:rPr>
          <w:rFonts w:eastAsia="Calibri"/>
          <w:b/>
          <w:bCs/>
          <w:color w:val="000000" w:themeColor="text1"/>
        </w:rPr>
        <w:t>$Redacted</w:t>
      </w:r>
      <w:r w:rsidR="007D095B" w:rsidRPr="132E0B0E">
        <w:rPr>
          <w:b/>
          <w:bCs/>
        </w:rPr>
        <w:t xml:space="preserve"> </w:t>
      </w:r>
      <w:r>
        <w:t>and number of patients treated with AXI</w:t>
      </w:r>
    </w:p>
    <w:bookmarkEnd w:id="57"/>
    <w:p w14:paraId="0C361790" w14:textId="17798D48" w:rsidR="00850A36" w:rsidRPr="00B45838" w:rsidRDefault="00850A36" w:rsidP="00717D86">
      <w:r>
        <w:t xml:space="preserve">The ADAR estimated a total cost to the NHRA of </w:t>
      </w:r>
      <w:r w:rsidR="007D095B" w:rsidRPr="132E0B0E">
        <w:rPr>
          <w:rFonts w:eastAsia="Calibri"/>
          <w:b/>
          <w:bCs/>
          <w:color w:val="000000" w:themeColor="text1"/>
        </w:rPr>
        <w:t>$Redacted</w:t>
      </w:r>
      <w:r w:rsidR="007D095B">
        <w:t xml:space="preserve"> </w:t>
      </w:r>
      <w:r>
        <w:t xml:space="preserve">in Year 1, increasing to </w:t>
      </w:r>
      <w:r w:rsidR="007D095B" w:rsidRPr="132E0B0E">
        <w:rPr>
          <w:rFonts w:eastAsia="Calibri"/>
          <w:b/>
          <w:bCs/>
          <w:color w:val="000000" w:themeColor="text1"/>
        </w:rPr>
        <w:t>$Redacted</w:t>
      </w:r>
      <w:r w:rsidR="007D095B">
        <w:t xml:space="preserve"> </w:t>
      </w:r>
      <w:r>
        <w:t xml:space="preserve">in Year 6, and a </w:t>
      </w:r>
      <w:r w:rsidR="08D18AA5">
        <w:t>n</w:t>
      </w:r>
      <w:r>
        <w:t xml:space="preserve">et cost to Government of </w:t>
      </w:r>
      <w:r w:rsidR="007D095B" w:rsidRPr="132E0B0E">
        <w:rPr>
          <w:rFonts w:eastAsia="Calibri"/>
          <w:b/>
          <w:bCs/>
          <w:color w:val="000000" w:themeColor="text1"/>
        </w:rPr>
        <w:t>$Redacted</w:t>
      </w:r>
      <w:r w:rsidR="007D095B">
        <w:t xml:space="preserve"> </w:t>
      </w:r>
      <w:r>
        <w:t xml:space="preserve">in Year 1, increasing to </w:t>
      </w:r>
      <w:r w:rsidR="007D095B" w:rsidRPr="132E0B0E">
        <w:rPr>
          <w:rFonts w:eastAsia="Calibri"/>
          <w:b/>
          <w:bCs/>
          <w:color w:val="000000" w:themeColor="text1"/>
        </w:rPr>
        <w:t>$Redacted</w:t>
      </w:r>
      <w:r w:rsidR="007D095B">
        <w:t xml:space="preserve"> </w:t>
      </w:r>
      <w:r>
        <w:t xml:space="preserve">in </w:t>
      </w:r>
      <w:r w:rsidR="675C40A0">
        <w:t>Y</w:t>
      </w:r>
      <w:r>
        <w:t xml:space="preserve">ear 6. </w:t>
      </w:r>
    </w:p>
    <w:p w14:paraId="1232A809" w14:textId="7DDF7781" w:rsidR="00850A36" w:rsidRPr="00D511CC" w:rsidRDefault="614747C9" w:rsidP="00717D86">
      <w:r>
        <w:t>Overall</w:t>
      </w:r>
      <w:r w:rsidR="60BBEF2D">
        <w:t>,</w:t>
      </w:r>
      <w:r>
        <w:t xml:space="preserve"> the </w:t>
      </w:r>
      <w:r w:rsidR="5C952D9D">
        <w:t>Commentary</w:t>
      </w:r>
      <w:r>
        <w:t xml:space="preserve"> considered that that key source of uncertainty included the proportion of patients relapsed or refractory to two or more lines of therapy and expected to receive third line therapy</w:t>
      </w:r>
      <w:r w:rsidR="0018547A">
        <w:t xml:space="preserve"> (</w:t>
      </w:r>
      <w:r w:rsidR="0018547A">
        <w:fldChar w:fldCharType="begin"/>
      </w:r>
      <w:r w:rsidR="0018547A">
        <w:instrText xml:space="preserve"> REF _Ref158213842 \h </w:instrText>
      </w:r>
      <w:r w:rsidR="0018547A">
        <w:fldChar w:fldCharType="separate"/>
      </w:r>
      <w:r w:rsidR="0018547A">
        <w:t xml:space="preserve">Table </w:t>
      </w:r>
      <w:r w:rsidR="0018547A">
        <w:rPr>
          <w:noProof/>
        </w:rPr>
        <w:t>20</w:t>
      </w:r>
      <w:r w:rsidR="0018547A">
        <w:fldChar w:fldCharType="end"/>
      </w:r>
      <w:r w:rsidR="0018547A">
        <w:t>)</w:t>
      </w:r>
      <w:r>
        <w:t xml:space="preserve">. </w:t>
      </w:r>
      <w:r w:rsidR="60BBEF2D">
        <w:t>T</w:t>
      </w:r>
      <w:r>
        <w:t xml:space="preserve">hese estimates were based on a survey of 4 Australian clinicians and ranged from 50% to 90%. </w:t>
      </w:r>
    </w:p>
    <w:p w14:paraId="3C652801" w14:textId="2DAAB463" w:rsidR="00850A36" w:rsidRPr="00D511CC" w:rsidRDefault="614747C9" w:rsidP="00717D86">
      <w:r>
        <w:t xml:space="preserve">Additionally, the </w:t>
      </w:r>
      <w:r w:rsidR="0A45AB90">
        <w:t>Commentary</w:t>
      </w:r>
      <w:r>
        <w:t xml:space="preserve"> considered that it was likely that the savings to PBS were overestimated due to </w:t>
      </w:r>
      <w:r w:rsidR="29B0BD5E">
        <w:t xml:space="preserve">the </w:t>
      </w:r>
      <w:r w:rsidR="14C0C89B">
        <w:t>SOC</w:t>
      </w:r>
      <w:r w:rsidR="575E6A9D">
        <w:t xml:space="preserve"> </w:t>
      </w:r>
      <w:r>
        <w:t>over</w:t>
      </w:r>
      <w:r w:rsidR="7A9C54D4">
        <w:t>-</w:t>
      </w:r>
      <w:r>
        <w:t xml:space="preserve"> weighting more costly components of </w:t>
      </w:r>
      <w:proofErr w:type="spellStart"/>
      <w:r>
        <w:t>obinutuzumab</w:t>
      </w:r>
      <w:proofErr w:type="spellEnd"/>
      <w:r>
        <w:t xml:space="preserve"> and </w:t>
      </w:r>
      <w:proofErr w:type="spellStart"/>
      <w:r>
        <w:t>idelalisib</w:t>
      </w:r>
      <w:proofErr w:type="spellEnd"/>
      <w:r>
        <w:t>. Similarly, the role of SCT in post-CAR</w:t>
      </w:r>
      <w:r w:rsidR="45607DBF">
        <w:t xml:space="preserve"> </w:t>
      </w:r>
      <w:r>
        <w:t xml:space="preserve">T follicular lymphoma remains uncertain, and the ADAR’s assumption that AXI would have no subsequent SCT use likely underestimated net hospitalisation costs. Overall, however, neither PBS nor hospitalisation costs would be expected to be key drivers of the financial impact. </w:t>
      </w:r>
    </w:p>
    <w:p w14:paraId="32EE678F" w14:textId="256890FB" w:rsidR="00E30A16" w:rsidRDefault="00E30A16" w:rsidP="00E30A16">
      <w:pPr>
        <w:pStyle w:val="Caption"/>
        <w:keepLines/>
      </w:pPr>
      <w:bookmarkStart w:id="58" w:name="_Ref158213842"/>
      <w:r>
        <w:lastRenderedPageBreak/>
        <w:t xml:space="preserve">Table </w:t>
      </w:r>
      <w:r>
        <w:fldChar w:fldCharType="begin"/>
      </w:r>
      <w:r>
        <w:instrText>SEQ Table \* ARABIC</w:instrText>
      </w:r>
      <w:r>
        <w:fldChar w:fldCharType="separate"/>
      </w:r>
      <w:r w:rsidRPr="132E0B0E">
        <w:rPr>
          <w:noProof/>
        </w:rPr>
        <w:t>20</w:t>
      </w:r>
      <w:r>
        <w:fldChar w:fldCharType="end"/>
      </w:r>
      <w:bookmarkEnd w:id="58"/>
      <w:r>
        <w:tab/>
        <w:t>Results of sensitivity analysis: overall net cost to government</w:t>
      </w:r>
    </w:p>
    <w:tbl>
      <w:tblPr>
        <w:tblStyle w:val="TableGrid3"/>
        <w:tblW w:w="5000" w:type="pct"/>
        <w:tblLook w:val="04A0" w:firstRow="1" w:lastRow="0" w:firstColumn="1" w:lastColumn="0" w:noHBand="0" w:noVBand="1"/>
      </w:tblPr>
      <w:tblGrid>
        <w:gridCol w:w="2395"/>
        <w:gridCol w:w="1103"/>
        <w:gridCol w:w="1104"/>
        <w:gridCol w:w="1104"/>
        <w:gridCol w:w="1104"/>
        <w:gridCol w:w="1104"/>
        <w:gridCol w:w="1102"/>
      </w:tblGrid>
      <w:tr w:rsidR="00E30A16" w:rsidRPr="00881B9D" w14:paraId="323631AB" w14:textId="77777777" w:rsidTr="132E0B0E">
        <w:tc>
          <w:tcPr>
            <w:tcW w:w="1329" w:type="pct"/>
            <w:tcBorders>
              <w:bottom w:val="single" w:sz="4" w:space="0" w:color="auto"/>
            </w:tcBorders>
            <w:shd w:val="clear" w:color="auto" w:fill="auto"/>
          </w:tcPr>
          <w:p w14:paraId="7F07AD3D" w14:textId="77777777" w:rsidR="00E30A16" w:rsidRPr="003062AF" w:rsidRDefault="00E30A16">
            <w:pPr>
              <w:pStyle w:val="TableHeading0"/>
              <w:keepNext/>
              <w:keepLines/>
            </w:pPr>
            <w:r w:rsidRPr="003062AF">
              <w:t>Parameter</w:t>
            </w:r>
          </w:p>
        </w:tc>
        <w:tc>
          <w:tcPr>
            <w:tcW w:w="612" w:type="pct"/>
            <w:tcBorders>
              <w:bottom w:val="single" w:sz="4" w:space="0" w:color="auto"/>
            </w:tcBorders>
            <w:shd w:val="clear" w:color="auto" w:fill="auto"/>
          </w:tcPr>
          <w:p w14:paraId="648E0A9F" w14:textId="77777777" w:rsidR="00E30A16" w:rsidRPr="003062AF" w:rsidRDefault="00E30A16">
            <w:pPr>
              <w:pStyle w:val="TableHeading0"/>
              <w:keepNext/>
              <w:keepLines/>
              <w:jc w:val="center"/>
            </w:pPr>
            <w:r w:rsidRPr="003062AF">
              <w:t>2024</w:t>
            </w:r>
          </w:p>
        </w:tc>
        <w:tc>
          <w:tcPr>
            <w:tcW w:w="612" w:type="pct"/>
            <w:tcBorders>
              <w:bottom w:val="single" w:sz="4" w:space="0" w:color="auto"/>
            </w:tcBorders>
            <w:shd w:val="clear" w:color="auto" w:fill="auto"/>
          </w:tcPr>
          <w:p w14:paraId="383A7391" w14:textId="77777777" w:rsidR="00E30A16" w:rsidRPr="003062AF" w:rsidRDefault="00E30A16">
            <w:pPr>
              <w:pStyle w:val="TableHeading0"/>
              <w:keepNext/>
              <w:keepLines/>
              <w:jc w:val="center"/>
            </w:pPr>
            <w:r w:rsidRPr="003062AF">
              <w:t>2025</w:t>
            </w:r>
          </w:p>
        </w:tc>
        <w:tc>
          <w:tcPr>
            <w:tcW w:w="612" w:type="pct"/>
            <w:tcBorders>
              <w:bottom w:val="single" w:sz="4" w:space="0" w:color="auto"/>
            </w:tcBorders>
            <w:shd w:val="clear" w:color="auto" w:fill="auto"/>
          </w:tcPr>
          <w:p w14:paraId="35705A8B" w14:textId="77777777" w:rsidR="00E30A16" w:rsidRPr="003062AF" w:rsidRDefault="00E30A16">
            <w:pPr>
              <w:pStyle w:val="TableHeading0"/>
              <w:keepNext/>
              <w:keepLines/>
              <w:jc w:val="center"/>
            </w:pPr>
            <w:r w:rsidRPr="003062AF">
              <w:t>2026</w:t>
            </w:r>
          </w:p>
        </w:tc>
        <w:tc>
          <w:tcPr>
            <w:tcW w:w="612" w:type="pct"/>
            <w:tcBorders>
              <w:bottom w:val="single" w:sz="4" w:space="0" w:color="auto"/>
            </w:tcBorders>
            <w:shd w:val="clear" w:color="auto" w:fill="auto"/>
          </w:tcPr>
          <w:p w14:paraId="324E4A4F" w14:textId="77777777" w:rsidR="00E30A16" w:rsidRPr="003062AF" w:rsidRDefault="00E30A16">
            <w:pPr>
              <w:pStyle w:val="TableHeading0"/>
              <w:keepNext/>
              <w:keepLines/>
              <w:jc w:val="center"/>
            </w:pPr>
            <w:r w:rsidRPr="003062AF">
              <w:t>2027</w:t>
            </w:r>
          </w:p>
        </w:tc>
        <w:tc>
          <w:tcPr>
            <w:tcW w:w="612" w:type="pct"/>
            <w:tcBorders>
              <w:bottom w:val="single" w:sz="4" w:space="0" w:color="auto"/>
            </w:tcBorders>
            <w:shd w:val="clear" w:color="auto" w:fill="auto"/>
          </w:tcPr>
          <w:p w14:paraId="00857AF1" w14:textId="77777777" w:rsidR="00E30A16" w:rsidRPr="003062AF" w:rsidRDefault="00E30A16">
            <w:pPr>
              <w:pStyle w:val="TableHeading0"/>
              <w:keepNext/>
              <w:keepLines/>
              <w:jc w:val="center"/>
            </w:pPr>
            <w:r w:rsidRPr="003062AF">
              <w:t>2028</w:t>
            </w:r>
          </w:p>
        </w:tc>
        <w:tc>
          <w:tcPr>
            <w:tcW w:w="611" w:type="pct"/>
            <w:tcBorders>
              <w:bottom w:val="single" w:sz="4" w:space="0" w:color="auto"/>
            </w:tcBorders>
            <w:shd w:val="clear" w:color="auto" w:fill="auto"/>
          </w:tcPr>
          <w:p w14:paraId="1BCA128B" w14:textId="77777777" w:rsidR="00E30A16" w:rsidRPr="003062AF" w:rsidRDefault="00E30A16">
            <w:pPr>
              <w:pStyle w:val="TableHeading0"/>
              <w:keepNext/>
              <w:keepLines/>
              <w:jc w:val="center"/>
            </w:pPr>
            <w:r w:rsidRPr="003062AF">
              <w:t>2029</w:t>
            </w:r>
          </w:p>
        </w:tc>
      </w:tr>
      <w:tr w:rsidR="00E30A16" w:rsidRPr="00881B9D" w14:paraId="66F9ECBF" w14:textId="77777777" w:rsidTr="132E0B0E">
        <w:tc>
          <w:tcPr>
            <w:tcW w:w="1329" w:type="pct"/>
            <w:tcBorders>
              <w:right w:val="nil"/>
            </w:tcBorders>
            <w:shd w:val="clear" w:color="auto" w:fill="auto"/>
          </w:tcPr>
          <w:p w14:paraId="641C43EC" w14:textId="77777777" w:rsidR="00E30A16" w:rsidRPr="003062AF" w:rsidRDefault="00E30A16">
            <w:pPr>
              <w:pStyle w:val="TableText"/>
              <w:keepNext/>
              <w:keepLines/>
            </w:pPr>
            <w:r w:rsidRPr="003062AF">
              <w:t>Base case</w:t>
            </w:r>
          </w:p>
        </w:tc>
        <w:tc>
          <w:tcPr>
            <w:tcW w:w="612" w:type="pct"/>
            <w:tcBorders>
              <w:left w:val="nil"/>
              <w:right w:val="nil"/>
            </w:tcBorders>
            <w:shd w:val="clear" w:color="auto" w:fill="auto"/>
          </w:tcPr>
          <w:p w14:paraId="2B66B247" w14:textId="77777777" w:rsidR="00E30A16" w:rsidRPr="003062AF" w:rsidRDefault="00E30A16">
            <w:pPr>
              <w:pStyle w:val="TableText"/>
              <w:keepNext/>
              <w:keepLines/>
            </w:pPr>
          </w:p>
        </w:tc>
        <w:tc>
          <w:tcPr>
            <w:tcW w:w="612" w:type="pct"/>
            <w:tcBorders>
              <w:left w:val="nil"/>
              <w:right w:val="nil"/>
            </w:tcBorders>
            <w:shd w:val="clear" w:color="auto" w:fill="auto"/>
          </w:tcPr>
          <w:p w14:paraId="1DD2216A" w14:textId="77777777" w:rsidR="00E30A16" w:rsidRPr="003062AF" w:rsidRDefault="00E30A16">
            <w:pPr>
              <w:pStyle w:val="TableText"/>
              <w:keepNext/>
              <w:keepLines/>
            </w:pPr>
          </w:p>
        </w:tc>
        <w:tc>
          <w:tcPr>
            <w:tcW w:w="612" w:type="pct"/>
            <w:tcBorders>
              <w:left w:val="nil"/>
              <w:right w:val="nil"/>
            </w:tcBorders>
            <w:shd w:val="clear" w:color="auto" w:fill="auto"/>
          </w:tcPr>
          <w:p w14:paraId="2158AE42" w14:textId="77777777" w:rsidR="00E30A16" w:rsidRPr="003062AF" w:rsidRDefault="00E30A16">
            <w:pPr>
              <w:pStyle w:val="TableText"/>
              <w:keepNext/>
              <w:keepLines/>
            </w:pPr>
          </w:p>
        </w:tc>
        <w:tc>
          <w:tcPr>
            <w:tcW w:w="612" w:type="pct"/>
            <w:tcBorders>
              <w:left w:val="nil"/>
              <w:right w:val="nil"/>
            </w:tcBorders>
            <w:shd w:val="clear" w:color="auto" w:fill="auto"/>
          </w:tcPr>
          <w:p w14:paraId="6221F024" w14:textId="77777777" w:rsidR="00E30A16" w:rsidRPr="003062AF" w:rsidRDefault="00E30A16">
            <w:pPr>
              <w:pStyle w:val="TableText"/>
              <w:keepNext/>
              <w:keepLines/>
            </w:pPr>
          </w:p>
        </w:tc>
        <w:tc>
          <w:tcPr>
            <w:tcW w:w="612" w:type="pct"/>
            <w:tcBorders>
              <w:left w:val="nil"/>
              <w:right w:val="nil"/>
            </w:tcBorders>
            <w:shd w:val="clear" w:color="auto" w:fill="auto"/>
          </w:tcPr>
          <w:p w14:paraId="4B0690EF" w14:textId="77777777" w:rsidR="00E30A16" w:rsidRPr="003062AF" w:rsidRDefault="00E30A16">
            <w:pPr>
              <w:pStyle w:val="TableText"/>
              <w:keepNext/>
              <w:keepLines/>
            </w:pPr>
          </w:p>
        </w:tc>
        <w:tc>
          <w:tcPr>
            <w:tcW w:w="611" w:type="pct"/>
            <w:tcBorders>
              <w:left w:val="nil"/>
            </w:tcBorders>
            <w:shd w:val="clear" w:color="auto" w:fill="auto"/>
          </w:tcPr>
          <w:p w14:paraId="55F30454" w14:textId="77777777" w:rsidR="00E30A16" w:rsidRPr="003062AF" w:rsidRDefault="00E30A16">
            <w:pPr>
              <w:pStyle w:val="TableText"/>
              <w:keepNext/>
              <w:keepLines/>
            </w:pPr>
          </w:p>
        </w:tc>
      </w:tr>
      <w:tr w:rsidR="00E30A16" w:rsidRPr="003062AF" w14:paraId="1E740337" w14:textId="77777777" w:rsidTr="132E0B0E">
        <w:tc>
          <w:tcPr>
            <w:tcW w:w="1329" w:type="pct"/>
            <w:tcBorders>
              <w:bottom w:val="single" w:sz="4" w:space="0" w:color="auto"/>
            </w:tcBorders>
            <w:shd w:val="clear" w:color="auto" w:fill="auto"/>
          </w:tcPr>
          <w:p w14:paraId="1CFC3A40" w14:textId="77777777" w:rsidR="00E30A16" w:rsidRPr="003062AF" w:rsidRDefault="00E30A16">
            <w:pPr>
              <w:pStyle w:val="TableText"/>
              <w:keepNext/>
              <w:keepLines/>
            </w:pPr>
            <w:r>
              <w:t>Overall net cost to government</w:t>
            </w:r>
          </w:p>
        </w:tc>
        <w:tc>
          <w:tcPr>
            <w:tcW w:w="612" w:type="pct"/>
            <w:tcBorders>
              <w:bottom w:val="single" w:sz="4" w:space="0" w:color="auto"/>
            </w:tcBorders>
            <w:shd w:val="clear" w:color="auto" w:fill="auto"/>
          </w:tcPr>
          <w:p w14:paraId="13535B15" w14:textId="5E110936"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7FD9E015" w14:textId="41E4FBA0"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64769351" w14:textId="731D597D"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33FE76D9" w14:textId="4AAD8B0F"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4422364D" w14:textId="400BFBF4"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tcBorders>
              <w:bottom w:val="single" w:sz="4" w:space="0" w:color="auto"/>
            </w:tcBorders>
            <w:shd w:val="clear" w:color="auto" w:fill="auto"/>
          </w:tcPr>
          <w:p w14:paraId="6F8A0F25" w14:textId="0615BECD"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3062AF" w14:paraId="445EA3AD" w14:textId="77777777" w:rsidTr="132E0B0E">
        <w:tc>
          <w:tcPr>
            <w:tcW w:w="1329" w:type="pct"/>
            <w:tcBorders>
              <w:right w:val="nil"/>
            </w:tcBorders>
            <w:shd w:val="clear" w:color="auto" w:fill="auto"/>
          </w:tcPr>
          <w:p w14:paraId="63AC29B9" w14:textId="77777777" w:rsidR="00E30A16" w:rsidRPr="003062AF" w:rsidRDefault="00E30A16">
            <w:pPr>
              <w:pStyle w:val="TableText"/>
              <w:keepNext/>
              <w:keepLines/>
            </w:pPr>
            <w:r>
              <w:t>Third line treatment uptake</w:t>
            </w:r>
          </w:p>
        </w:tc>
        <w:tc>
          <w:tcPr>
            <w:tcW w:w="612" w:type="pct"/>
            <w:tcBorders>
              <w:left w:val="nil"/>
              <w:right w:val="nil"/>
            </w:tcBorders>
            <w:shd w:val="clear" w:color="auto" w:fill="auto"/>
          </w:tcPr>
          <w:p w14:paraId="5EC988C1" w14:textId="77777777" w:rsidR="00E30A16" w:rsidRPr="003062AF" w:rsidRDefault="00E30A16">
            <w:pPr>
              <w:pStyle w:val="TableText"/>
              <w:keepNext/>
              <w:keepLines/>
            </w:pPr>
          </w:p>
        </w:tc>
        <w:tc>
          <w:tcPr>
            <w:tcW w:w="612" w:type="pct"/>
            <w:tcBorders>
              <w:left w:val="nil"/>
              <w:right w:val="nil"/>
            </w:tcBorders>
            <w:shd w:val="clear" w:color="auto" w:fill="auto"/>
          </w:tcPr>
          <w:p w14:paraId="74903930" w14:textId="77777777" w:rsidR="00E30A16" w:rsidRPr="003062AF" w:rsidRDefault="00E30A16">
            <w:pPr>
              <w:pStyle w:val="TableText"/>
              <w:keepNext/>
              <w:keepLines/>
            </w:pPr>
          </w:p>
        </w:tc>
        <w:tc>
          <w:tcPr>
            <w:tcW w:w="612" w:type="pct"/>
            <w:tcBorders>
              <w:left w:val="nil"/>
              <w:right w:val="nil"/>
            </w:tcBorders>
            <w:shd w:val="clear" w:color="auto" w:fill="auto"/>
          </w:tcPr>
          <w:p w14:paraId="5BEEE7EA" w14:textId="77777777" w:rsidR="00E30A16" w:rsidRPr="003062AF" w:rsidRDefault="00E30A16">
            <w:pPr>
              <w:pStyle w:val="TableText"/>
              <w:keepNext/>
              <w:keepLines/>
            </w:pPr>
          </w:p>
        </w:tc>
        <w:tc>
          <w:tcPr>
            <w:tcW w:w="612" w:type="pct"/>
            <w:tcBorders>
              <w:left w:val="nil"/>
              <w:right w:val="nil"/>
            </w:tcBorders>
            <w:shd w:val="clear" w:color="auto" w:fill="auto"/>
          </w:tcPr>
          <w:p w14:paraId="7743D10C" w14:textId="77777777" w:rsidR="00E30A16" w:rsidRPr="003062AF" w:rsidRDefault="00E30A16">
            <w:pPr>
              <w:pStyle w:val="TableText"/>
              <w:keepNext/>
              <w:keepLines/>
            </w:pPr>
          </w:p>
        </w:tc>
        <w:tc>
          <w:tcPr>
            <w:tcW w:w="612" w:type="pct"/>
            <w:tcBorders>
              <w:left w:val="nil"/>
              <w:right w:val="nil"/>
            </w:tcBorders>
            <w:shd w:val="clear" w:color="auto" w:fill="auto"/>
          </w:tcPr>
          <w:p w14:paraId="7FB7BFC7" w14:textId="77777777" w:rsidR="00E30A16" w:rsidRPr="003062AF" w:rsidRDefault="00E30A16">
            <w:pPr>
              <w:pStyle w:val="TableText"/>
              <w:keepNext/>
              <w:keepLines/>
            </w:pPr>
          </w:p>
        </w:tc>
        <w:tc>
          <w:tcPr>
            <w:tcW w:w="611" w:type="pct"/>
            <w:tcBorders>
              <w:left w:val="nil"/>
            </w:tcBorders>
            <w:shd w:val="clear" w:color="auto" w:fill="auto"/>
          </w:tcPr>
          <w:p w14:paraId="47453066" w14:textId="77777777" w:rsidR="00E30A16" w:rsidRPr="003062AF" w:rsidRDefault="00E30A16">
            <w:pPr>
              <w:pStyle w:val="TableText"/>
              <w:keepNext/>
              <w:keepLines/>
            </w:pPr>
          </w:p>
        </w:tc>
      </w:tr>
      <w:tr w:rsidR="00E30A16" w:rsidRPr="00881B9D" w14:paraId="66009B2E" w14:textId="77777777" w:rsidTr="132E0B0E">
        <w:tc>
          <w:tcPr>
            <w:tcW w:w="5000" w:type="pct"/>
            <w:gridSpan w:val="7"/>
            <w:shd w:val="clear" w:color="auto" w:fill="auto"/>
          </w:tcPr>
          <w:p w14:paraId="7DBA0FE4" w14:textId="77777777" w:rsidR="00E30A16" w:rsidRPr="003062AF" w:rsidRDefault="00E30A16">
            <w:pPr>
              <w:pStyle w:val="TableText"/>
              <w:keepNext/>
              <w:keepLines/>
            </w:pPr>
            <w:r w:rsidRPr="003062AF">
              <w:t xml:space="preserve">Proportion patients relapsed or refractory after </w:t>
            </w:r>
            <w:r>
              <w:t>two prior</w:t>
            </w:r>
            <w:r w:rsidRPr="003062AF">
              <w:t xml:space="preserve"> lines of therapy expected to receive </w:t>
            </w:r>
            <w:r>
              <w:t>third line</w:t>
            </w:r>
            <w:r w:rsidRPr="003062AF">
              <w:t xml:space="preserve"> therapy</w:t>
            </w:r>
          </w:p>
        </w:tc>
      </w:tr>
      <w:tr w:rsidR="00E30A16" w:rsidRPr="003062AF" w14:paraId="2FD27810" w14:textId="77777777" w:rsidTr="132E0B0E">
        <w:tc>
          <w:tcPr>
            <w:tcW w:w="1329" w:type="pct"/>
            <w:shd w:val="clear" w:color="auto" w:fill="auto"/>
          </w:tcPr>
          <w:p w14:paraId="404E2F91" w14:textId="77777777" w:rsidR="00E30A16" w:rsidRPr="003062AF" w:rsidRDefault="00E30A16">
            <w:pPr>
              <w:pStyle w:val="TableText"/>
              <w:keepNext/>
              <w:keepLines/>
            </w:pPr>
            <w:r w:rsidRPr="003062AF">
              <w:t>Lower bound</w:t>
            </w:r>
            <w:r>
              <w:t xml:space="preserve"> response</w:t>
            </w:r>
            <w:r w:rsidRPr="003062AF">
              <w:t>: 30%</w:t>
            </w:r>
          </w:p>
        </w:tc>
        <w:tc>
          <w:tcPr>
            <w:tcW w:w="612" w:type="pct"/>
            <w:shd w:val="clear" w:color="auto" w:fill="auto"/>
          </w:tcPr>
          <w:p w14:paraId="1283B12F" w14:textId="1025C711"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613113F1" w14:textId="31202C81"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32D6E369" w14:textId="6F9C3137"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78DF0B55" w14:textId="1C10E02D"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1FC2B411" w14:textId="2A635A4C"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shd w:val="clear" w:color="auto" w:fill="auto"/>
          </w:tcPr>
          <w:p w14:paraId="0B82B124" w14:textId="66E4A1AD"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3062AF" w14:paraId="775294AE" w14:textId="77777777" w:rsidTr="132E0B0E">
        <w:tc>
          <w:tcPr>
            <w:tcW w:w="1329" w:type="pct"/>
            <w:tcBorders>
              <w:bottom w:val="single" w:sz="4" w:space="0" w:color="auto"/>
            </w:tcBorders>
            <w:shd w:val="clear" w:color="auto" w:fill="auto"/>
          </w:tcPr>
          <w:p w14:paraId="3854CA51" w14:textId="77777777" w:rsidR="00E30A16" w:rsidRPr="003062AF" w:rsidRDefault="00E30A16">
            <w:pPr>
              <w:pStyle w:val="TableText"/>
              <w:keepNext/>
              <w:keepLines/>
            </w:pPr>
            <w:r w:rsidRPr="003062AF">
              <w:t>Upper bound</w:t>
            </w:r>
            <w:r>
              <w:t xml:space="preserve"> response</w:t>
            </w:r>
            <w:r w:rsidRPr="003062AF">
              <w:t>: 90%</w:t>
            </w:r>
          </w:p>
        </w:tc>
        <w:tc>
          <w:tcPr>
            <w:tcW w:w="612" w:type="pct"/>
            <w:tcBorders>
              <w:bottom w:val="single" w:sz="4" w:space="0" w:color="auto"/>
            </w:tcBorders>
            <w:shd w:val="clear" w:color="auto" w:fill="auto"/>
          </w:tcPr>
          <w:p w14:paraId="27E24A5D" w14:textId="27AD73FA"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2F4B8975" w14:textId="21B5AE32"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7FE525C4" w14:textId="02F8FF07"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14E6CF5C" w14:textId="38AC80D2"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tcBorders>
              <w:bottom w:val="single" w:sz="4" w:space="0" w:color="auto"/>
            </w:tcBorders>
            <w:shd w:val="clear" w:color="auto" w:fill="auto"/>
          </w:tcPr>
          <w:p w14:paraId="75ADB956" w14:textId="6B83E6B6"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tcBorders>
              <w:bottom w:val="single" w:sz="4" w:space="0" w:color="auto"/>
            </w:tcBorders>
            <w:shd w:val="clear" w:color="auto" w:fill="auto"/>
          </w:tcPr>
          <w:p w14:paraId="24AC0BEF" w14:textId="7BB35DCE"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3062AF" w14:paraId="1E236176" w14:textId="77777777" w:rsidTr="132E0B0E">
        <w:tc>
          <w:tcPr>
            <w:tcW w:w="1329" w:type="pct"/>
            <w:tcBorders>
              <w:right w:val="nil"/>
            </w:tcBorders>
            <w:shd w:val="clear" w:color="auto" w:fill="auto"/>
          </w:tcPr>
          <w:p w14:paraId="361ED4A4" w14:textId="77777777" w:rsidR="00E30A16" w:rsidRPr="003062AF" w:rsidRDefault="00E30A16">
            <w:pPr>
              <w:pStyle w:val="TableText"/>
              <w:keepNext/>
              <w:keepLines/>
            </w:pPr>
            <w:proofErr w:type="spellStart"/>
            <w:r>
              <w:t>Axi-cel</w:t>
            </w:r>
            <w:proofErr w:type="spellEnd"/>
            <w:r>
              <w:t xml:space="preserve"> uptake</w:t>
            </w:r>
          </w:p>
        </w:tc>
        <w:tc>
          <w:tcPr>
            <w:tcW w:w="612" w:type="pct"/>
            <w:tcBorders>
              <w:left w:val="nil"/>
              <w:right w:val="nil"/>
            </w:tcBorders>
            <w:shd w:val="clear" w:color="auto" w:fill="auto"/>
          </w:tcPr>
          <w:p w14:paraId="57D0741D" w14:textId="77777777" w:rsidR="00E30A16" w:rsidRPr="003062AF" w:rsidRDefault="00E30A16">
            <w:pPr>
              <w:pStyle w:val="TableText"/>
              <w:keepNext/>
              <w:keepLines/>
            </w:pPr>
          </w:p>
        </w:tc>
        <w:tc>
          <w:tcPr>
            <w:tcW w:w="612" w:type="pct"/>
            <w:tcBorders>
              <w:left w:val="nil"/>
              <w:right w:val="nil"/>
            </w:tcBorders>
            <w:shd w:val="clear" w:color="auto" w:fill="auto"/>
          </w:tcPr>
          <w:p w14:paraId="730362E2" w14:textId="77777777" w:rsidR="00E30A16" w:rsidRPr="003062AF" w:rsidRDefault="00E30A16">
            <w:pPr>
              <w:pStyle w:val="TableText"/>
              <w:keepNext/>
              <w:keepLines/>
            </w:pPr>
          </w:p>
        </w:tc>
        <w:tc>
          <w:tcPr>
            <w:tcW w:w="612" w:type="pct"/>
            <w:tcBorders>
              <w:left w:val="nil"/>
              <w:right w:val="nil"/>
            </w:tcBorders>
            <w:shd w:val="clear" w:color="auto" w:fill="auto"/>
          </w:tcPr>
          <w:p w14:paraId="63F57CF3" w14:textId="77777777" w:rsidR="00E30A16" w:rsidRPr="003062AF" w:rsidRDefault="00E30A16">
            <w:pPr>
              <w:pStyle w:val="TableText"/>
              <w:keepNext/>
              <w:keepLines/>
            </w:pPr>
          </w:p>
        </w:tc>
        <w:tc>
          <w:tcPr>
            <w:tcW w:w="612" w:type="pct"/>
            <w:tcBorders>
              <w:left w:val="nil"/>
              <w:right w:val="nil"/>
            </w:tcBorders>
            <w:shd w:val="clear" w:color="auto" w:fill="auto"/>
          </w:tcPr>
          <w:p w14:paraId="5BC75210" w14:textId="77777777" w:rsidR="00E30A16" w:rsidRPr="003062AF" w:rsidRDefault="00E30A16">
            <w:pPr>
              <w:pStyle w:val="TableText"/>
              <w:keepNext/>
              <w:keepLines/>
            </w:pPr>
          </w:p>
        </w:tc>
        <w:tc>
          <w:tcPr>
            <w:tcW w:w="612" w:type="pct"/>
            <w:tcBorders>
              <w:left w:val="nil"/>
              <w:right w:val="nil"/>
            </w:tcBorders>
            <w:shd w:val="clear" w:color="auto" w:fill="auto"/>
          </w:tcPr>
          <w:p w14:paraId="08A41D36" w14:textId="77777777" w:rsidR="00E30A16" w:rsidRPr="003062AF" w:rsidRDefault="00E30A16">
            <w:pPr>
              <w:pStyle w:val="TableText"/>
              <w:keepNext/>
              <w:keepLines/>
            </w:pPr>
          </w:p>
        </w:tc>
        <w:tc>
          <w:tcPr>
            <w:tcW w:w="611" w:type="pct"/>
            <w:tcBorders>
              <w:left w:val="nil"/>
            </w:tcBorders>
            <w:shd w:val="clear" w:color="auto" w:fill="auto"/>
          </w:tcPr>
          <w:p w14:paraId="1B015B97" w14:textId="77777777" w:rsidR="00E30A16" w:rsidRPr="003062AF" w:rsidRDefault="00E30A16">
            <w:pPr>
              <w:pStyle w:val="TableText"/>
              <w:keepNext/>
              <w:keepLines/>
            </w:pPr>
          </w:p>
        </w:tc>
      </w:tr>
      <w:tr w:rsidR="00E30A16" w:rsidRPr="00881B9D" w14:paraId="207DF459" w14:textId="77777777" w:rsidTr="132E0B0E">
        <w:tc>
          <w:tcPr>
            <w:tcW w:w="5000" w:type="pct"/>
            <w:gridSpan w:val="7"/>
            <w:shd w:val="clear" w:color="auto" w:fill="auto"/>
          </w:tcPr>
          <w:p w14:paraId="4E5EA8C9" w14:textId="1E2A9E1C" w:rsidR="00E30A16" w:rsidRPr="003062AF" w:rsidRDefault="00E30A16">
            <w:pPr>
              <w:pStyle w:val="TableText"/>
              <w:keepNext/>
              <w:keepLines/>
            </w:pPr>
            <w:r>
              <w:t xml:space="preserve">What proportion of patients that currently receive a third line treatment do you anticipate would be treated with </w:t>
            </w:r>
            <w:r w:rsidR="00EE6A7B">
              <w:t xml:space="preserve">AXI </w:t>
            </w:r>
            <w:r>
              <w:t>instead?</w:t>
            </w:r>
          </w:p>
        </w:tc>
      </w:tr>
      <w:tr w:rsidR="00E30A16" w:rsidRPr="003062AF" w14:paraId="39E5068C" w14:textId="77777777" w:rsidTr="132E0B0E">
        <w:tc>
          <w:tcPr>
            <w:tcW w:w="1329" w:type="pct"/>
            <w:shd w:val="clear" w:color="auto" w:fill="auto"/>
          </w:tcPr>
          <w:p w14:paraId="1B13BF32" w14:textId="77777777" w:rsidR="00E30A16" w:rsidRPr="003062AF" w:rsidRDefault="00E30A16">
            <w:pPr>
              <w:pStyle w:val="TableText"/>
              <w:keepNext/>
              <w:keepLines/>
            </w:pPr>
            <w:r w:rsidRPr="003062AF">
              <w:t>Lower bound</w:t>
            </w:r>
            <w:r>
              <w:t xml:space="preserve"> response</w:t>
            </w:r>
            <w:r w:rsidRPr="003062AF">
              <w:t>: 60%</w:t>
            </w:r>
          </w:p>
        </w:tc>
        <w:tc>
          <w:tcPr>
            <w:tcW w:w="612" w:type="pct"/>
            <w:shd w:val="clear" w:color="auto" w:fill="auto"/>
          </w:tcPr>
          <w:p w14:paraId="5F9A91DE" w14:textId="79171C35"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47DACE09" w14:textId="1A3BC64B"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301F07B0" w14:textId="529E4BD9"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3176AB4D" w14:textId="62FB9431"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309683F0" w14:textId="49A98B98"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shd w:val="clear" w:color="auto" w:fill="auto"/>
          </w:tcPr>
          <w:p w14:paraId="1950554C" w14:textId="71D55561"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3062AF" w14:paraId="56AD709C" w14:textId="77777777" w:rsidTr="132E0B0E">
        <w:tc>
          <w:tcPr>
            <w:tcW w:w="1329" w:type="pct"/>
            <w:shd w:val="clear" w:color="auto" w:fill="auto"/>
          </w:tcPr>
          <w:p w14:paraId="2238FCB5" w14:textId="77777777" w:rsidR="00E30A16" w:rsidRPr="003062AF" w:rsidRDefault="00E30A16">
            <w:pPr>
              <w:pStyle w:val="TableText"/>
              <w:keepNext/>
              <w:keepLines/>
            </w:pPr>
            <w:r w:rsidRPr="003062AF">
              <w:t>Upper bound</w:t>
            </w:r>
            <w:r>
              <w:t xml:space="preserve"> response</w:t>
            </w:r>
            <w:r w:rsidRPr="003062AF">
              <w:t>: 80%</w:t>
            </w:r>
          </w:p>
        </w:tc>
        <w:tc>
          <w:tcPr>
            <w:tcW w:w="612" w:type="pct"/>
            <w:shd w:val="clear" w:color="auto" w:fill="auto"/>
          </w:tcPr>
          <w:p w14:paraId="7F43690B" w14:textId="38E83A61"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5821BB2A" w14:textId="1F5579B8"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211610F4" w14:textId="475FD942"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66951A2F" w14:textId="224100D7"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011A6A19" w14:textId="43F593B2"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shd w:val="clear" w:color="auto" w:fill="auto"/>
          </w:tcPr>
          <w:p w14:paraId="6D64FF92" w14:textId="47FFCD5C"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881B9D" w14:paraId="04A25429" w14:textId="77777777" w:rsidTr="132E0B0E">
        <w:tc>
          <w:tcPr>
            <w:tcW w:w="5000" w:type="pct"/>
            <w:gridSpan w:val="7"/>
            <w:shd w:val="clear" w:color="auto" w:fill="auto"/>
          </w:tcPr>
          <w:p w14:paraId="56C5FDB1" w14:textId="7EF08754" w:rsidR="00E30A16" w:rsidRPr="003062AF" w:rsidRDefault="00E30A16">
            <w:pPr>
              <w:pStyle w:val="TableText"/>
              <w:keepNext/>
              <w:keepLines/>
            </w:pPr>
            <w:r w:rsidRPr="003062AF">
              <w:t xml:space="preserve">What proportion of patients that are currently untreated would you expect to be treated with </w:t>
            </w:r>
            <w:r w:rsidR="00EE6A7B">
              <w:t>AXI</w:t>
            </w:r>
            <w:r w:rsidRPr="003062AF">
              <w:t>?</w:t>
            </w:r>
          </w:p>
        </w:tc>
      </w:tr>
      <w:tr w:rsidR="00E30A16" w:rsidRPr="003062AF" w14:paraId="0CAD1859" w14:textId="77777777" w:rsidTr="132E0B0E">
        <w:tc>
          <w:tcPr>
            <w:tcW w:w="1329" w:type="pct"/>
            <w:shd w:val="clear" w:color="auto" w:fill="auto"/>
          </w:tcPr>
          <w:p w14:paraId="628348BD" w14:textId="77777777" w:rsidR="00E30A16" w:rsidRPr="003062AF" w:rsidRDefault="00E30A16">
            <w:pPr>
              <w:pStyle w:val="TableText"/>
              <w:keepNext/>
              <w:keepLines/>
            </w:pPr>
            <w:r w:rsidRPr="003062AF">
              <w:t>Lower bound</w:t>
            </w:r>
            <w:r>
              <w:t xml:space="preserve"> response</w:t>
            </w:r>
            <w:r w:rsidRPr="003062AF">
              <w:t>: 20%</w:t>
            </w:r>
          </w:p>
        </w:tc>
        <w:tc>
          <w:tcPr>
            <w:tcW w:w="612" w:type="pct"/>
            <w:shd w:val="clear" w:color="auto" w:fill="auto"/>
          </w:tcPr>
          <w:p w14:paraId="618A5C11" w14:textId="6A2C9B03"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13FAD71D" w14:textId="3F1493A3"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191B2C55" w14:textId="009120D5"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42808694" w14:textId="2DEBF669"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57B7C377" w14:textId="4485B384"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shd w:val="clear" w:color="auto" w:fill="auto"/>
          </w:tcPr>
          <w:p w14:paraId="3FD2950E" w14:textId="591511F5"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r w:rsidR="00E30A16" w:rsidRPr="003062AF" w14:paraId="342311EB" w14:textId="77777777" w:rsidTr="132E0B0E">
        <w:tc>
          <w:tcPr>
            <w:tcW w:w="1329" w:type="pct"/>
            <w:shd w:val="clear" w:color="auto" w:fill="auto"/>
          </w:tcPr>
          <w:p w14:paraId="678BD523" w14:textId="77777777" w:rsidR="00E30A16" w:rsidRPr="003062AF" w:rsidRDefault="00E30A16">
            <w:pPr>
              <w:pStyle w:val="TableText"/>
              <w:keepNext/>
              <w:keepLines/>
            </w:pPr>
            <w:r w:rsidRPr="003062AF">
              <w:t>Upper bound</w:t>
            </w:r>
            <w:r>
              <w:t xml:space="preserve"> response</w:t>
            </w:r>
            <w:r w:rsidRPr="003062AF">
              <w:t>: 50%</w:t>
            </w:r>
          </w:p>
        </w:tc>
        <w:tc>
          <w:tcPr>
            <w:tcW w:w="612" w:type="pct"/>
            <w:shd w:val="clear" w:color="auto" w:fill="auto"/>
          </w:tcPr>
          <w:p w14:paraId="7A7C9280" w14:textId="24A9B688"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180D4332" w14:textId="74DE907E"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4FD79108" w14:textId="2F0FFF4D"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1BE3BEC5" w14:textId="43DCCE15"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2" w:type="pct"/>
            <w:shd w:val="clear" w:color="auto" w:fill="auto"/>
          </w:tcPr>
          <w:p w14:paraId="0B1A3D66" w14:textId="6283592B" w:rsidR="00E30A16" w:rsidRPr="00FC1CF8" w:rsidRDefault="007D095B">
            <w:pPr>
              <w:pStyle w:val="TableText"/>
              <w:keepNext/>
              <w:keepLines/>
              <w:jc w:val="center"/>
              <w:rPr>
                <w:highlight w:val="yellow"/>
              </w:rPr>
            </w:pPr>
            <w:r w:rsidRPr="132E0B0E">
              <w:rPr>
                <w:rFonts w:eastAsia="Calibri"/>
                <w:b/>
                <w:bCs/>
                <w:color w:val="000000" w:themeColor="text1"/>
              </w:rPr>
              <w:t>$Redacted</w:t>
            </w:r>
          </w:p>
        </w:tc>
        <w:tc>
          <w:tcPr>
            <w:tcW w:w="611" w:type="pct"/>
            <w:shd w:val="clear" w:color="auto" w:fill="auto"/>
          </w:tcPr>
          <w:p w14:paraId="08B21D84" w14:textId="3123C944" w:rsidR="00E30A16" w:rsidRPr="00FC1CF8" w:rsidRDefault="007D095B">
            <w:pPr>
              <w:pStyle w:val="TableText"/>
              <w:keepNext/>
              <w:keepLines/>
              <w:jc w:val="center"/>
              <w:rPr>
                <w:highlight w:val="yellow"/>
              </w:rPr>
            </w:pPr>
            <w:r w:rsidRPr="132E0B0E">
              <w:rPr>
                <w:rFonts w:eastAsia="Calibri"/>
                <w:b/>
                <w:bCs/>
                <w:color w:val="000000" w:themeColor="text1"/>
              </w:rPr>
              <w:t>$Redacted</w:t>
            </w:r>
          </w:p>
        </w:tc>
      </w:tr>
    </w:tbl>
    <w:p w14:paraId="6D3B2255" w14:textId="19BE6174" w:rsidR="00E30A16" w:rsidRPr="00D511CC" w:rsidRDefault="00AA2D32" w:rsidP="00892EDE">
      <w:pPr>
        <w:pStyle w:val="Tablenotes"/>
      </w:pPr>
      <w:r>
        <w:t>Source: Table 8</w:t>
      </w:r>
      <w:r w:rsidR="0018547A">
        <w:t xml:space="preserve">7 of MSAC 1771 </w:t>
      </w:r>
      <w:proofErr w:type="spellStart"/>
      <w:r w:rsidR="0018547A">
        <w:t>ADAR+in</w:t>
      </w:r>
      <w:proofErr w:type="spellEnd"/>
      <w:r w:rsidR="0018547A">
        <w:t xml:space="preserve"> line commentary</w:t>
      </w:r>
    </w:p>
    <w:p w14:paraId="0FBC73D3" w14:textId="0005B882" w:rsidR="00850A36" w:rsidRPr="00CE28E3" w:rsidRDefault="00850A36" w:rsidP="00850A36">
      <w:pPr>
        <w:pStyle w:val="Heading2"/>
        <w:numPr>
          <w:ilvl w:val="0"/>
          <w:numId w:val="0"/>
        </w:numPr>
      </w:pPr>
      <w:bookmarkStart w:id="59" w:name="_Toc69491427"/>
      <w:r>
        <w:t>1</w:t>
      </w:r>
      <w:r w:rsidR="002176CC">
        <w:t>5</w:t>
      </w:r>
      <w:r>
        <w:t>.</w:t>
      </w:r>
      <w:r>
        <w:tab/>
      </w:r>
      <w:r w:rsidRPr="00CE28E3">
        <w:t xml:space="preserve">Other relevant </w:t>
      </w:r>
      <w:bookmarkEnd w:id="59"/>
      <w:r>
        <w:t>information</w:t>
      </w:r>
    </w:p>
    <w:p w14:paraId="0BC53AA1" w14:textId="0BE0A60C" w:rsidR="001724C2" w:rsidRDefault="000C6DC2" w:rsidP="0096595D">
      <w:pPr>
        <w:rPr>
          <w:i/>
          <w:iCs/>
          <w:color w:val="0070C0"/>
          <w:vertAlign w:val="superscript"/>
        </w:rPr>
      </w:pPr>
      <w:r w:rsidRPr="000C6DC2">
        <w:t>AXI was considered by the National Institute for Health Care Excellence (NICE) for treatment of relapsed or refractory follicular lymphoma after 3 or more systemic treatments in adults in 2023 but was not recommended (TA894). The NICE considered that the clinical evidence was “from a small study [ZUMA-5: Full Analysis Set N=80 follicular lymphoma patients with three/more lines of prior therapy; 18-month follow-up data] that suggests that axicabtagene ciloleucel increases the amount of time people have before their condition gets worse and how long they live, but it is uncertain by how much”</w:t>
      </w:r>
      <w:r w:rsidR="00E4172C">
        <w:t>.</w:t>
      </w:r>
      <w:r w:rsidRPr="000C6DC2">
        <w:rPr>
          <w:i/>
          <w:iCs/>
          <w:color w:val="0070C0"/>
          <w:vertAlign w:val="superscript"/>
        </w:rPr>
        <w:t xml:space="preserve"> </w:t>
      </w:r>
      <w:r w:rsidRPr="00F37017">
        <w:rPr>
          <w:rStyle w:val="FootnoteReference"/>
        </w:rPr>
        <w:footnoteReference w:id="19"/>
      </w:r>
      <w:bookmarkStart w:id="60" w:name="_Toc69491428"/>
    </w:p>
    <w:p w14:paraId="6F598964" w14:textId="630284F0" w:rsidR="00526DE3" w:rsidRPr="00F37017" w:rsidRDefault="00526DE3" w:rsidP="00F37017">
      <w:pPr>
        <w:rPr>
          <w:color w:val="0070C0"/>
        </w:rPr>
      </w:pPr>
      <w:r w:rsidRPr="00F37017">
        <w:t>AXI was considered</w:t>
      </w:r>
      <w:r w:rsidR="002C0A03" w:rsidRPr="00F37017">
        <w:t xml:space="preserve"> and recommended</w:t>
      </w:r>
      <w:r w:rsidRPr="00F37017">
        <w:t xml:space="preserve"> by </w:t>
      </w:r>
      <w:r w:rsidR="007963D4" w:rsidRPr="007963D4">
        <w:t>The Canadian Agency for Drugs and Technologies in Health</w:t>
      </w:r>
      <w:r>
        <w:t xml:space="preserve"> </w:t>
      </w:r>
      <w:r w:rsidR="007963D4">
        <w:t>(</w:t>
      </w:r>
      <w:r>
        <w:t>CADTH</w:t>
      </w:r>
      <w:r w:rsidR="007963D4">
        <w:t>)</w:t>
      </w:r>
      <w:r>
        <w:t xml:space="preserve"> </w:t>
      </w:r>
      <w:proofErr w:type="spellStart"/>
      <w:r>
        <w:t>pCODR</w:t>
      </w:r>
      <w:proofErr w:type="spellEnd"/>
      <w:r>
        <w:t xml:space="preserve"> Expert Review Committee (</w:t>
      </w:r>
      <w:proofErr w:type="spellStart"/>
      <w:r>
        <w:t>pERC</w:t>
      </w:r>
      <w:proofErr w:type="spellEnd"/>
      <w:r>
        <w:t xml:space="preserve">) </w:t>
      </w:r>
      <w:r w:rsidR="002C0A03">
        <w:t xml:space="preserve">for </w:t>
      </w:r>
      <w:r>
        <w:t>reimburse</w:t>
      </w:r>
      <w:r w:rsidR="002C0A03">
        <w:t>ment</w:t>
      </w:r>
      <w:r>
        <w:t xml:space="preserve"> for the treatment of adult patients with relapsed or refractory (r/r) grade 1, 2, or 3a follicular lymphoma (FL) after </w:t>
      </w:r>
      <w:r w:rsidR="002C0A03">
        <w:t>2</w:t>
      </w:r>
      <w:r>
        <w:t xml:space="preserve"> or more lines of systemic therapy</w:t>
      </w:r>
      <w:r w:rsidR="00EE1BB8">
        <w:t xml:space="preserve"> (which must have included an anti-CD20 monoclonal antibody combined with an alkylating agent)</w:t>
      </w:r>
      <w:r w:rsidR="002C0A03">
        <w:t xml:space="preserve">. </w:t>
      </w:r>
      <w:r w:rsidR="004B78B9">
        <w:t xml:space="preserve">CADTH considered that </w:t>
      </w:r>
      <w:r w:rsidR="00822D93">
        <w:t xml:space="preserve">the </w:t>
      </w:r>
      <w:r w:rsidR="004B78B9">
        <w:t xml:space="preserve">phase II, multi-centre, single-arm, open-label </w:t>
      </w:r>
      <w:r w:rsidR="000145DC">
        <w:t>study</w:t>
      </w:r>
      <w:r w:rsidR="004B78B9">
        <w:t xml:space="preserve"> (ZUMA-5; N = 127) demonstrated that axicabtagene ciloleucel resulted in benefits in the primary endpoint of response rates for adult patients with r/r FL after </w:t>
      </w:r>
      <w:r w:rsidR="009838E3">
        <w:t>2</w:t>
      </w:r>
      <w:r w:rsidR="004B78B9">
        <w:t xml:space="preserve"> or more lines of systemic therapy</w:t>
      </w:r>
      <w:r w:rsidR="00822D93">
        <w:t>.</w:t>
      </w:r>
      <w:r w:rsidR="000B6378">
        <w:t xml:space="preserve"> </w:t>
      </w:r>
      <w:r w:rsidR="00B24FD0">
        <w:t>This recommendation was contingent on conditions listed in Table 1 of CADTH’s Reimbursement Recommendation for AXI</w:t>
      </w:r>
      <w:r w:rsidR="00EF271F">
        <w:t xml:space="preserve">, including a reduction in price. </w:t>
      </w:r>
      <w:r w:rsidR="000B6378">
        <w:t xml:space="preserve">The submitted price was </w:t>
      </w:r>
      <w:r w:rsidR="00B3636C" w:rsidRPr="00B3636C">
        <w:t>$485,021 per 1-time infusion</w:t>
      </w:r>
      <w:r w:rsidR="00B3636C">
        <w:t xml:space="preserve">. </w:t>
      </w:r>
      <w:r w:rsidR="00E30CBE">
        <w:t xml:space="preserve">CADTH noted </w:t>
      </w:r>
      <w:r w:rsidR="0003170F">
        <w:t xml:space="preserve">a price reduction of 82% to 95% would be required for axicabtagene ciloleucel to be cost-effective at a </w:t>
      </w:r>
      <w:r w:rsidR="006C24CD">
        <w:t>willingness -to-pay (</w:t>
      </w:r>
      <w:r w:rsidR="0003170F">
        <w:t>WTP</w:t>
      </w:r>
      <w:r w:rsidR="006C24CD">
        <w:t>)</w:t>
      </w:r>
      <w:r w:rsidR="0003170F">
        <w:t xml:space="preserve"> threshold of $50,000 per</w:t>
      </w:r>
      <w:r w:rsidR="00344733">
        <w:t xml:space="preserve"> </w:t>
      </w:r>
      <w:r w:rsidR="0003170F">
        <w:t>QALY gained, relative to current standards of</w:t>
      </w:r>
      <w:r w:rsidR="00344733">
        <w:t xml:space="preserve"> </w:t>
      </w:r>
      <w:r w:rsidR="0003170F">
        <w:t>care.</w:t>
      </w:r>
      <w:r w:rsidR="00B3636C">
        <w:t xml:space="preserve"> </w:t>
      </w:r>
      <w:r w:rsidR="009455BE">
        <w:t xml:space="preserve">CADTH also noted that </w:t>
      </w:r>
      <w:r w:rsidR="008F7FFD">
        <w:t>the magnitude of survival benefit is uncertain given the limitations with the comparative evidence</w:t>
      </w:r>
      <w:r w:rsidR="00527D5A">
        <w:t>, and given the degree of remaining uncertainty, noted that greater price reductions may be required.</w:t>
      </w:r>
      <w:r w:rsidR="00491A0E">
        <w:rPr>
          <w:rStyle w:val="FootnoteReference"/>
        </w:rPr>
        <w:footnoteReference w:id="20"/>
      </w:r>
    </w:p>
    <w:p w14:paraId="582121A9" w14:textId="6E9A8B1C" w:rsidR="00D511CC" w:rsidRDefault="002176CC" w:rsidP="002176CC">
      <w:pPr>
        <w:pStyle w:val="Heading2"/>
        <w:numPr>
          <w:ilvl w:val="0"/>
          <w:numId w:val="0"/>
        </w:numPr>
      </w:pPr>
      <w:bookmarkStart w:id="61" w:name="_Toc145678765"/>
      <w:bookmarkStart w:id="62" w:name="_Toc150172410"/>
      <w:bookmarkStart w:id="63" w:name="_Toc153462785"/>
      <w:bookmarkEnd w:id="60"/>
      <w:r>
        <w:lastRenderedPageBreak/>
        <w:t>16.</w:t>
      </w:r>
      <w:r>
        <w:tab/>
        <w:t>Key issues from ESC to MSAC</w:t>
      </w:r>
      <w:bookmarkEnd w:id="61"/>
      <w:bookmarkEnd w:id="62"/>
      <w:bookmarkEnd w:id="63"/>
    </w:p>
    <w:p w14:paraId="04A0C560" w14:textId="77777777" w:rsidR="002176CC" w:rsidRDefault="002176CC" w:rsidP="002176CC">
      <w:pPr>
        <w:pStyle w:val="BoxName0"/>
      </w:pPr>
      <w:r w:rsidRPr="00BC66C8">
        <w:t>Main issues for MSAC consideration</w:t>
      </w:r>
    </w:p>
    <w:p w14:paraId="26C09778" w14:textId="77777777" w:rsidR="002176CC" w:rsidRDefault="002176CC" w:rsidP="002176CC">
      <w:pPr>
        <w:pStyle w:val="BoxName0"/>
      </w:pPr>
      <w:r>
        <w:t>Clinical issues:</w:t>
      </w:r>
    </w:p>
    <w:p w14:paraId="457F94C9" w14:textId="77777777" w:rsidR="002176CC" w:rsidRDefault="002176CC" w:rsidP="002176CC">
      <w:pPr>
        <w:pStyle w:val="BoxBullet"/>
      </w:pPr>
      <w:r>
        <w:t xml:space="preserve">The comparative evidence was informed by an indirect comparison of axicabtagene ciloleucel (AXI) (informed by the ZUMA-5 study, a single-arm, open label study) and the nominated comparator, standard of care represented by a ‘basket’ of treatments that are funded via the Pharmaceutical Benefits Scheme (informed by the SCHOLAR-5 study, an international retrospective cohort study). </w:t>
      </w:r>
    </w:p>
    <w:p w14:paraId="4A7BB3B8" w14:textId="77777777" w:rsidR="002176CC" w:rsidRDefault="002176CC" w:rsidP="002176CC">
      <w:pPr>
        <w:pStyle w:val="BoxBullet"/>
      </w:pPr>
      <w:r>
        <w:t xml:space="preserve">The clinical evidence is of low quality due to the high risk of bias in both the ZUMA-5 and SCHOLAR-5 studies, along with the indirect nature of the comparison with transitivity, methodological and transparency issues, plus the use of a historical and retrospective comparator. </w:t>
      </w:r>
    </w:p>
    <w:p w14:paraId="06AA6560" w14:textId="77777777" w:rsidR="002176CC" w:rsidRPr="004333C4" w:rsidRDefault="002176CC" w:rsidP="002176CC">
      <w:pPr>
        <w:pStyle w:val="BoxBullet"/>
      </w:pPr>
      <w:r>
        <w:t xml:space="preserve"> Although the indirect comparison suggested that AXI is likely to have superior effectiveness and inferior safety compared to the comparator, the magnitude of benefit is highly uncertain,</w:t>
      </w:r>
    </w:p>
    <w:p w14:paraId="51FFCAF2" w14:textId="77777777" w:rsidR="002176CC" w:rsidRDefault="002176CC" w:rsidP="002176CC">
      <w:pPr>
        <w:pStyle w:val="BoxHeading"/>
      </w:pPr>
      <w:r>
        <w:t>Economic issues:</w:t>
      </w:r>
    </w:p>
    <w:p w14:paraId="5D199328" w14:textId="77777777" w:rsidR="002176CC" w:rsidRPr="008C6A6C" w:rsidRDefault="002176CC" w:rsidP="002176CC">
      <w:pPr>
        <w:pStyle w:val="BoxBullet"/>
      </w:pPr>
      <w:r w:rsidRPr="132E0B0E">
        <w:rPr>
          <w:lang w:val="en-GB"/>
        </w:rPr>
        <w:t xml:space="preserve">The low overall quality of evidence and the approaches to estimating the comparative benefit created uncertainty in the economic analysis. While the claim of superior effectiveness may be reasonable </w:t>
      </w:r>
      <w:proofErr w:type="gramStart"/>
      <w:r w:rsidRPr="132E0B0E">
        <w:rPr>
          <w:lang w:val="en-GB"/>
        </w:rPr>
        <w:t>in light of</w:t>
      </w:r>
      <w:proofErr w:type="gramEnd"/>
      <w:r w:rsidRPr="132E0B0E">
        <w:rPr>
          <w:lang w:val="en-GB"/>
        </w:rPr>
        <w:t xml:space="preserve"> the available data, the magnitude of the incremental benefit is uncertain which translates into the uncertainty of the incremental cost-effectiveness ratio (ICER).</w:t>
      </w:r>
    </w:p>
    <w:p w14:paraId="392F5F4A" w14:textId="77777777" w:rsidR="002176CC" w:rsidRPr="008C6A6C" w:rsidRDefault="002176CC" w:rsidP="002176CC">
      <w:pPr>
        <w:pStyle w:val="BoxBullet"/>
      </w:pPr>
      <w:r w:rsidRPr="008C6A6C">
        <w:rPr>
          <w:lang w:val="en-GB"/>
        </w:rPr>
        <w:t>A wide range of incremental benefit</w:t>
      </w:r>
      <w:r>
        <w:rPr>
          <w:lang w:val="en-GB"/>
        </w:rPr>
        <w:t>s</w:t>
      </w:r>
      <w:r w:rsidRPr="008C6A6C">
        <w:rPr>
          <w:lang w:val="en-GB"/>
        </w:rPr>
        <w:t xml:space="preserve"> can be generated from pairing AXI and </w:t>
      </w:r>
      <w:r>
        <w:rPr>
          <w:lang w:val="en-GB"/>
        </w:rPr>
        <w:t>SOC</w:t>
      </w:r>
      <w:r w:rsidRPr="008C6A6C">
        <w:rPr>
          <w:lang w:val="en-GB"/>
        </w:rPr>
        <w:t xml:space="preserve"> arm extrapolations that are inherently uncertain</w:t>
      </w:r>
      <w:r>
        <w:rPr>
          <w:lang w:val="en-GB"/>
        </w:rPr>
        <w:t>.</w:t>
      </w:r>
    </w:p>
    <w:p w14:paraId="69677A17" w14:textId="77777777" w:rsidR="002176CC" w:rsidRDefault="002176CC" w:rsidP="002176CC">
      <w:pPr>
        <w:pStyle w:val="BoxBullet"/>
      </w:pPr>
      <w:r>
        <w:t xml:space="preserve">The cure assumption remains speculative as no compelling case was made based on data or evidence. The specific parameters for the model implementation of cure benefit (cure point and proportion affected) and the subsequent survival benefit (standardised mortality ratio, SMR) are uncertain. Clinical data are not mature enough to determine whether a proportion of the patients are cured. ESC considered that, </w:t>
      </w:r>
      <w:proofErr w:type="gramStart"/>
      <w:r>
        <w:t>in order to</w:t>
      </w:r>
      <w:proofErr w:type="gramEnd"/>
      <w:r>
        <w:t xml:space="preserve"> better align with the available evidence, the model could remove the cure assumption from the base case and focus on the gains in progression free survival (PFS). This would also effectively remove the uncertainty from the SMR adjustment, which ESC considered to be optimistic in the base case.</w:t>
      </w:r>
    </w:p>
    <w:p w14:paraId="41C3A6E3" w14:textId="77777777" w:rsidR="002176CC" w:rsidRPr="00687026" w:rsidRDefault="002176CC" w:rsidP="002176CC">
      <w:pPr>
        <w:pStyle w:val="BoxBullet"/>
      </w:pPr>
      <w:r w:rsidRPr="23728776">
        <w:rPr>
          <w:lang w:val="en-GB"/>
        </w:rPr>
        <w:t>Other assumptions that form the basis for modelling (no stem cell transplant [SCT] or further treatment in the intervention arm, no retreatment) are uncertain and may favour AXI.</w:t>
      </w:r>
    </w:p>
    <w:p w14:paraId="09E626D6" w14:textId="77777777" w:rsidR="002176CC" w:rsidRDefault="002176CC" w:rsidP="002176CC">
      <w:pPr>
        <w:pStyle w:val="BoxHeading"/>
      </w:pPr>
      <w:r>
        <w:t>Financial issues:</w:t>
      </w:r>
    </w:p>
    <w:p w14:paraId="5D6CA772" w14:textId="77777777" w:rsidR="002176CC" w:rsidRDefault="002176CC" w:rsidP="002176CC">
      <w:pPr>
        <w:pStyle w:val="BoxBullet"/>
      </w:pPr>
      <w:r w:rsidRPr="132E0B0E">
        <w:rPr>
          <w:lang w:val="en-GB"/>
        </w:rPr>
        <w:t>The financial impact is uncertain, although there is limited variation across the input parameters tested in one-way sensitivity analyses.</w:t>
      </w:r>
    </w:p>
    <w:p w14:paraId="2C60BA19" w14:textId="77777777" w:rsidR="002176CC" w:rsidRDefault="002176CC" w:rsidP="00A5497A">
      <w:pPr>
        <w:keepNext/>
        <w:spacing w:before="240"/>
        <w:rPr>
          <w:rStyle w:val="Strong"/>
        </w:rPr>
      </w:pPr>
      <w:r w:rsidRPr="00194327">
        <w:rPr>
          <w:rStyle w:val="Strong"/>
        </w:rPr>
        <w:t>ESC discussion</w:t>
      </w:r>
    </w:p>
    <w:p w14:paraId="15D02A53" w14:textId="77777777" w:rsidR="002176CC" w:rsidRPr="00F708EA" w:rsidRDefault="002176CC" w:rsidP="002176CC">
      <w:r>
        <w:t>ESC noted that this application from Gilead Sciences sought public funding under the National Health Reform Agreement (NHRA) for axicabtagene ciloleucel (AXI, also known as YESCARTA</w:t>
      </w:r>
      <w:r w:rsidRPr="23728776">
        <w:rPr>
          <w:vertAlign w:val="superscript"/>
        </w:rPr>
        <w:t>®</w:t>
      </w:r>
      <w:r>
        <w:t xml:space="preserve">, a chimeric antigen receptor T-cell [CAR-T] therapy) in the </w:t>
      </w:r>
      <w:proofErr w:type="gramStart"/>
      <w:r>
        <w:t>third-line</w:t>
      </w:r>
      <w:proofErr w:type="gramEnd"/>
      <w:r>
        <w:t xml:space="preserve"> (3L) setting for patients with relapsed or refractory (r/r) follicular lymphoma (FL).</w:t>
      </w:r>
    </w:p>
    <w:p w14:paraId="6DF47270" w14:textId="77777777" w:rsidR="002176CC" w:rsidRDefault="002176CC" w:rsidP="002176CC">
      <w:r w:rsidRPr="23728776">
        <w:rPr>
          <w:rStyle w:val="Strong"/>
          <w:b w:val="0"/>
          <w:bCs w:val="0"/>
        </w:rPr>
        <w:t xml:space="preserve">ESC noted that AXI </w:t>
      </w:r>
      <w:r>
        <w:t xml:space="preserve">was first included on the Australian Register of Therapeutic Goods (ARTG) on 11 February 2020 for r/r large B-cell lymphoma (LBCL; ARTG ID 329770). The indication was extended to include patients with r/r FL after two or more lines of systemic therapy on 12 December 2022 (ARTG ID 400895).  </w:t>
      </w:r>
    </w:p>
    <w:p w14:paraId="55D72D0B" w14:textId="77777777" w:rsidR="002176CC" w:rsidRDefault="002176CC" w:rsidP="002176CC">
      <w:pPr>
        <w:rPr>
          <w:rStyle w:val="Strong"/>
          <w:b w:val="0"/>
          <w:bCs w:val="0"/>
        </w:rPr>
      </w:pPr>
      <w:r w:rsidRPr="23728776">
        <w:rPr>
          <w:rStyle w:val="Strong"/>
          <w:b w:val="0"/>
          <w:bCs w:val="0"/>
        </w:rPr>
        <w:lastRenderedPageBreak/>
        <w:t xml:space="preserve">ESC noted that </w:t>
      </w:r>
      <w:r w:rsidRPr="23728776">
        <w:rPr>
          <w:lang w:val="en-US"/>
        </w:rPr>
        <w:t xml:space="preserve">AXI is currently funded for the treatment of patients with r/r CD19-positive diffuse large B cell lymphoma (DLBCL), primary mediastinal B cell lymphoma (PMBCL) and transformed follicular lymphoma (TFL) in the 3L setting under NHRA Commonwealth and state shared funding arrangements (MSAC application </w:t>
      </w:r>
      <w:hyperlink r:id="rId18">
        <w:r w:rsidRPr="23728776">
          <w:rPr>
            <w:rStyle w:val="Hyperlink"/>
            <w:lang w:val="en-US"/>
          </w:rPr>
          <w:t>1587</w:t>
        </w:r>
      </w:hyperlink>
      <w:r w:rsidRPr="23728776">
        <w:rPr>
          <w:lang w:val="en-US"/>
        </w:rPr>
        <w:t xml:space="preserve">). A re-application requesting public funding </w:t>
      </w:r>
      <w:r>
        <w:rPr>
          <w:lang w:val="en-US"/>
        </w:rPr>
        <w:t xml:space="preserve">under the NHRA </w:t>
      </w:r>
      <w:r w:rsidRPr="23728776">
        <w:rPr>
          <w:lang w:val="en-US"/>
        </w:rPr>
        <w:t xml:space="preserve">of AXI for the treatment of r/r large B-cell lymphoma (LBCL) in the second-line (2L) setting was considered </w:t>
      </w:r>
      <w:r>
        <w:rPr>
          <w:lang w:val="en-US"/>
        </w:rPr>
        <w:t xml:space="preserve">and </w:t>
      </w:r>
      <w:r w:rsidRPr="23728776">
        <w:rPr>
          <w:lang w:val="en-US"/>
        </w:rPr>
        <w:t xml:space="preserve">supported by MSAC at the April 2024 meeting (MSAC application </w:t>
      </w:r>
      <w:hyperlink r:id="rId19">
        <w:r w:rsidRPr="23728776">
          <w:rPr>
            <w:rStyle w:val="Hyperlink"/>
            <w:lang w:val="en-US"/>
          </w:rPr>
          <w:t>1722.1</w:t>
        </w:r>
      </w:hyperlink>
      <w:r w:rsidRPr="23728776">
        <w:rPr>
          <w:lang w:val="en-US"/>
        </w:rPr>
        <w:t xml:space="preserve">). </w:t>
      </w:r>
      <w:r w:rsidRPr="23728776">
        <w:rPr>
          <w:rStyle w:val="Strong"/>
          <w:b w:val="0"/>
          <w:bCs w:val="0"/>
        </w:rPr>
        <w:t>ESC noted that the applicant was willing to discuss details of a pay-for-performance (</w:t>
      </w:r>
      <w:proofErr w:type="spellStart"/>
      <w:r w:rsidRPr="23728776">
        <w:rPr>
          <w:rStyle w:val="Strong"/>
          <w:b w:val="0"/>
          <w:bCs w:val="0"/>
        </w:rPr>
        <w:t>PfP</w:t>
      </w:r>
      <w:proofErr w:type="spellEnd"/>
      <w:r w:rsidRPr="23728776">
        <w:rPr>
          <w:rStyle w:val="Strong"/>
          <w:b w:val="0"/>
          <w:bCs w:val="0"/>
        </w:rPr>
        <w:t>) and risk share arrangement (RSA) for AXI for the treatment of r/r FL in the 3L setting, consistent with the current funding for AXI in DLBCL.</w:t>
      </w:r>
    </w:p>
    <w:p w14:paraId="3AE7F0AA" w14:textId="77777777" w:rsidR="002176CC" w:rsidRDefault="002176CC" w:rsidP="002176CC">
      <w:pPr>
        <w:rPr>
          <w:rFonts w:cs="Calibri"/>
        </w:rPr>
      </w:pPr>
      <w:r w:rsidRPr="5FF72D23">
        <w:rPr>
          <w:rFonts w:cs="Calibri"/>
        </w:rPr>
        <w:t xml:space="preserve">ESC noted and welcomed consultation input from 2 consumer organisations and 3 individuals (all of whom were medical specialists). ESC noted that all feedback received was supportive of the application. </w:t>
      </w:r>
      <w:r w:rsidRPr="5FF72D23">
        <w:rPr>
          <w:rStyle w:val="Strong"/>
          <w:b w:val="0"/>
          <w:bCs w:val="0"/>
        </w:rPr>
        <w:t xml:space="preserve">ESC noted that Rare Cancers Australia supported publicly funding AXI for treating patients with FL, </w:t>
      </w:r>
      <w:r w:rsidRPr="5FF72D23">
        <w:rPr>
          <w:rFonts w:cs="Calibri"/>
        </w:rPr>
        <w:t xml:space="preserve">and that these patients </w:t>
      </w:r>
      <w:r w:rsidRPr="5FF72D23">
        <w:rPr>
          <w:rStyle w:val="Strong"/>
          <w:b w:val="0"/>
          <w:bCs w:val="0"/>
        </w:rPr>
        <w:t xml:space="preserve">considered it important to have access to this treatment. </w:t>
      </w:r>
      <w:r w:rsidRPr="5FF72D23">
        <w:rPr>
          <w:rFonts w:cs="Calibri"/>
        </w:rPr>
        <w:t>Patients believed that the</w:t>
      </w:r>
      <w:r w:rsidRPr="5FF72D23">
        <w:rPr>
          <w:rStyle w:val="Strong"/>
          <w:b w:val="0"/>
          <w:bCs w:val="0"/>
        </w:rPr>
        <w:t xml:space="preserve"> benefits of AXI outweigh the risks, and they expected the treatment to improve quality of life and the ability to function. The patients considered that AXI compares favourably with other treatments </w:t>
      </w:r>
      <w:r w:rsidRPr="5FF72D23">
        <w:rPr>
          <w:rFonts w:cs="Calibri"/>
        </w:rPr>
        <w:t xml:space="preserve">with associated </w:t>
      </w:r>
      <w:r w:rsidRPr="5FF72D23">
        <w:rPr>
          <w:rStyle w:val="Strong"/>
          <w:b w:val="0"/>
          <w:bCs w:val="0"/>
        </w:rPr>
        <w:t>toxicities and side effects. ESC noted that one patient was given months to live but a year later is currently working and enjoying family life, and the patient attributed this to AXI treatment. Rare Cancers Australia also noted that while hospitalisation is required to receive AXI, which is time consuming, patients are willing to undergo the treatment for the benefit of time and quality of life achieved afterwards. Rare Cancers Australia</w:t>
      </w:r>
      <w:r w:rsidRPr="5FF72D23">
        <w:rPr>
          <w:rFonts w:cs="Calibri"/>
        </w:rPr>
        <w:t xml:space="preserve"> therefore supported expediting the drug for earlier access, which would allow more patients to experience these benefits,</w:t>
      </w:r>
      <w:r w:rsidRPr="5FF72D23">
        <w:rPr>
          <w:rStyle w:val="Strong"/>
          <w:b w:val="0"/>
          <w:bCs w:val="0"/>
        </w:rPr>
        <w:t xml:space="preserve"> leading to improved overall survival rates and </w:t>
      </w:r>
      <w:r w:rsidRPr="5FF72D23">
        <w:rPr>
          <w:rFonts w:cs="Calibri"/>
        </w:rPr>
        <w:t>reducing</w:t>
      </w:r>
      <w:r w:rsidRPr="5FF72D23">
        <w:rPr>
          <w:rStyle w:val="Strong"/>
          <w:b w:val="0"/>
          <w:bCs w:val="0"/>
        </w:rPr>
        <w:t xml:space="preserve"> the burden and costs </w:t>
      </w:r>
      <w:r w:rsidRPr="5FF72D23">
        <w:rPr>
          <w:rFonts w:cs="Calibri"/>
        </w:rPr>
        <w:t xml:space="preserve">to </w:t>
      </w:r>
      <w:r w:rsidRPr="5FF72D23">
        <w:rPr>
          <w:rStyle w:val="Strong"/>
          <w:b w:val="0"/>
          <w:bCs w:val="0"/>
        </w:rPr>
        <w:t xml:space="preserve">the healthcare system. ESC noted that the not-for-profit Australasian Leukaemia and Lymphoma Group (ALLG) for clinicians </w:t>
      </w:r>
      <w:r w:rsidRPr="5FF72D23">
        <w:rPr>
          <w:rFonts w:cs="Calibri"/>
        </w:rPr>
        <w:t xml:space="preserve">stated </w:t>
      </w:r>
      <w:r w:rsidRPr="5FF72D23">
        <w:rPr>
          <w:rStyle w:val="Strong"/>
          <w:b w:val="0"/>
          <w:bCs w:val="0"/>
        </w:rPr>
        <w:t xml:space="preserve">that FL is currently </w:t>
      </w:r>
      <w:proofErr w:type="gramStart"/>
      <w:r w:rsidRPr="5FF72D23">
        <w:rPr>
          <w:rStyle w:val="Strong"/>
          <w:b w:val="0"/>
          <w:bCs w:val="0"/>
        </w:rPr>
        <w:t>incurable, but</w:t>
      </w:r>
      <w:proofErr w:type="gramEnd"/>
      <w:r w:rsidRPr="5FF72D23">
        <w:rPr>
          <w:rStyle w:val="Strong"/>
          <w:b w:val="0"/>
          <w:bCs w:val="0"/>
        </w:rPr>
        <w:t xml:space="preserve"> noted that AXI has a high response rate and a safety profile at least comparable to other similar treatments. The ALLG also noted the substantial demand on resources associated with AXI. ESC noted that ALLG </w:t>
      </w:r>
      <w:r w:rsidRPr="5FF72D23">
        <w:rPr>
          <w:rFonts w:cs="Calibri"/>
        </w:rPr>
        <w:t>stated that</w:t>
      </w:r>
      <w:r w:rsidRPr="5FF72D23">
        <w:rPr>
          <w:rStyle w:val="Strong"/>
          <w:b w:val="0"/>
          <w:bCs w:val="0"/>
        </w:rPr>
        <w:t xml:space="preserve"> allogenic </w:t>
      </w:r>
      <w:r w:rsidRPr="5FF72D23">
        <w:rPr>
          <w:lang w:val="en-GB"/>
        </w:rPr>
        <w:t>stem cell transplant (</w:t>
      </w:r>
      <w:r w:rsidRPr="5FF72D23">
        <w:rPr>
          <w:rStyle w:val="Strong"/>
          <w:b w:val="0"/>
          <w:bCs w:val="0"/>
        </w:rPr>
        <w:t xml:space="preserve">SCT) </w:t>
      </w:r>
      <w:r w:rsidRPr="5FF72D23">
        <w:rPr>
          <w:rFonts w:cs="Calibri"/>
        </w:rPr>
        <w:t xml:space="preserve">does not </w:t>
      </w:r>
      <w:r w:rsidRPr="5FF72D23">
        <w:rPr>
          <w:rStyle w:val="Strong"/>
          <w:b w:val="0"/>
          <w:bCs w:val="0"/>
        </w:rPr>
        <w:t xml:space="preserve">induce </w:t>
      </w:r>
      <w:proofErr w:type="gramStart"/>
      <w:r w:rsidRPr="5FF72D23">
        <w:rPr>
          <w:rStyle w:val="Strong"/>
          <w:b w:val="0"/>
          <w:bCs w:val="0"/>
        </w:rPr>
        <w:t>remissions, and</w:t>
      </w:r>
      <w:proofErr w:type="gramEnd"/>
      <w:r w:rsidRPr="5FF72D23">
        <w:rPr>
          <w:rStyle w:val="Strong"/>
          <w:b w:val="0"/>
          <w:bCs w:val="0"/>
        </w:rPr>
        <w:t xml:space="preserve"> is associated with significant risks. In contrast, it considered that CAR-T cell therapy can induce durable remissions in FL patients and improve quality of life, relieving the burden on families and carers. The ALLG considered that currently there is sufficient capacity in treatment centres across the states to deliver this therapy. ESC noted the feedback </w:t>
      </w:r>
      <w:r w:rsidRPr="5FF72D23">
        <w:rPr>
          <w:rFonts w:cs="Calibri"/>
        </w:rPr>
        <w:t xml:space="preserve">did not provide a clear consensus on the timeframe for when a patient would </w:t>
      </w:r>
      <w:proofErr w:type="gramStart"/>
      <w:r w:rsidRPr="5FF72D23">
        <w:rPr>
          <w:rFonts w:cs="Calibri"/>
        </w:rPr>
        <w:t>be considered to be</w:t>
      </w:r>
      <w:proofErr w:type="gramEnd"/>
      <w:r w:rsidRPr="5FF72D23">
        <w:rPr>
          <w:rFonts w:cs="Calibri"/>
        </w:rPr>
        <w:t xml:space="preserve"> ‘cured’, with suggestions ranging from 5 to 10 years without relapse, given the slow course of disease. </w:t>
      </w:r>
    </w:p>
    <w:p w14:paraId="6F087249" w14:textId="77777777" w:rsidR="002176CC" w:rsidRDefault="002176CC" w:rsidP="002176CC">
      <w:pPr>
        <w:rPr>
          <w:rStyle w:val="Strong"/>
          <w:b w:val="0"/>
          <w:bCs w:val="0"/>
        </w:rPr>
      </w:pPr>
      <w:r w:rsidRPr="5FF72D23">
        <w:rPr>
          <w:rStyle w:val="Strong"/>
          <w:b w:val="0"/>
          <w:bCs w:val="0"/>
        </w:rPr>
        <w:t xml:space="preserve">ESC also noted the input from the states and territories acknowledged the importance of therapies in this </w:t>
      </w:r>
      <w:proofErr w:type="gramStart"/>
      <w:r w:rsidRPr="5FF72D23">
        <w:rPr>
          <w:rStyle w:val="Strong"/>
          <w:b w:val="0"/>
          <w:bCs w:val="0"/>
        </w:rPr>
        <w:t>setting,</w:t>
      </w:r>
      <w:r>
        <w:rPr>
          <w:rStyle w:val="Strong"/>
          <w:b w:val="0"/>
          <w:bCs w:val="0"/>
        </w:rPr>
        <w:t xml:space="preserve"> </w:t>
      </w:r>
      <w:r w:rsidRPr="5FF72D23">
        <w:rPr>
          <w:rStyle w:val="Strong"/>
          <w:b w:val="0"/>
          <w:bCs w:val="0"/>
        </w:rPr>
        <w:t>but</w:t>
      </w:r>
      <w:proofErr w:type="gramEnd"/>
      <w:r w:rsidRPr="5FF72D23">
        <w:rPr>
          <w:rStyle w:val="Strong"/>
          <w:b w:val="0"/>
          <w:bCs w:val="0"/>
        </w:rPr>
        <w:t xml:space="preserve"> outlined concerns regarding the costs associated with providing AXI and the uncertainty of the clinical evidence. ESC also noted that state and territory feedback considered it important to complete a full review of the clinical benefits and cost effectiveness of AXI use in the 3L setting for r/r DLBCL prior to further public funding of AXI.</w:t>
      </w:r>
    </w:p>
    <w:p w14:paraId="32155421" w14:textId="77777777" w:rsidR="002176CC" w:rsidRDefault="002176CC" w:rsidP="002176CC">
      <w:pPr>
        <w:rPr>
          <w:rStyle w:val="Strong"/>
          <w:b w:val="0"/>
          <w:bCs w:val="0"/>
        </w:rPr>
      </w:pPr>
      <w:r w:rsidRPr="23728776">
        <w:rPr>
          <w:rStyle w:val="Strong"/>
          <w:b w:val="0"/>
          <w:bCs w:val="0"/>
        </w:rPr>
        <w:t xml:space="preserve">ESC noted the </w:t>
      </w:r>
      <w:r>
        <w:rPr>
          <w:rStyle w:val="Strong"/>
          <w:b w:val="0"/>
          <w:bCs w:val="0"/>
        </w:rPr>
        <w:t>nominated comparator,</w:t>
      </w:r>
      <w:r>
        <w:t xml:space="preserve"> standard of care (SOC), was represented by a basket of therapies that are funded under the Pharmaceutical Benefits Scheme (PBS)</w:t>
      </w:r>
      <w:r w:rsidRPr="00F649DF">
        <w:rPr>
          <w:rStyle w:val="Strong"/>
          <w:b w:val="0"/>
          <w:bCs w:val="0"/>
        </w:rPr>
        <w:t xml:space="preserve"> </w:t>
      </w:r>
      <w:r w:rsidRPr="23728776">
        <w:rPr>
          <w:rStyle w:val="Strong"/>
          <w:b w:val="0"/>
          <w:bCs w:val="0"/>
        </w:rPr>
        <w:t>including anti</w:t>
      </w:r>
      <w:r>
        <w:rPr>
          <w:rStyle w:val="Strong"/>
          <w:b w:val="0"/>
          <w:bCs w:val="0"/>
        </w:rPr>
        <w:t>-</w:t>
      </w:r>
      <w:r w:rsidRPr="23728776">
        <w:rPr>
          <w:rStyle w:val="Strong"/>
          <w:b w:val="0"/>
          <w:bCs w:val="0"/>
        </w:rPr>
        <w:t>CD20 monotherapy (usually rituximab), anti</w:t>
      </w:r>
      <w:r>
        <w:rPr>
          <w:rStyle w:val="Strong"/>
          <w:b w:val="0"/>
          <w:bCs w:val="0"/>
        </w:rPr>
        <w:t>-</w:t>
      </w:r>
      <w:r w:rsidRPr="23728776">
        <w:rPr>
          <w:rStyle w:val="Strong"/>
          <w:b w:val="0"/>
          <w:bCs w:val="0"/>
        </w:rPr>
        <w:t>CD20 therapy in combination with chemotherapy, chemotherapy alone and PI3Kδ inhibitor</w:t>
      </w:r>
      <w:r>
        <w:t xml:space="preserve">. </w:t>
      </w:r>
      <w:r w:rsidRPr="23728776">
        <w:rPr>
          <w:rStyle w:val="Strong"/>
          <w:b w:val="0"/>
          <w:bCs w:val="0"/>
        </w:rPr>
        <w:t>ESC noted there are no clear clinical guidelines or uniformly recommended 3L treatments for patients with r/r FL and considered that the proposed comparator was appropriate. ESC also noted that the applicant had commissioned an analysis of relevant data from the Lymphoma and Related Disease Registry (</w:t>
      </w:r>
      <w:proofErr w:type="spellStart"/>
      <w:r w:rsidRPr="23728776">
        <w:rPr>
          <w:rStyle w:val="Strong"/>
          <w:b w:val="0"/>
          <w:bCs w:val="0"/>
        </w:rPr>
        <w:t>LaRDR</w:t>
      </w:r>
      <w:proofErr w:type="spellEnd"/>
      <w:r w:rsidRPr="23728776">
        <w:rPr>
          <w:rStyle w:val="Strong"/>
          <w:b w:val="0"/>
          <w:bCs w:val="0"/>
        </w:rPr>
        <w:t xml:space="preserve">); however, only 13 patients had commenced 3L therapy and data were incomplete. </w:t>
      </w:r>
      <w:r>
        <w:rPr>
          <w:rStyle w:val="Strong"/>
          <w:b w:val="0"/>
          <w:bCs w:val="0"/>
        </w:rPr>
        <w:t xml:space="preserve">Due to these limitations, </w:t>
      </w:r>
      <w:r w:rsidRPr="23728776">
        <w:rPr>
          <w:rStyle w:val="Strong"/>
          <w:b w:val="0"/>
          <w:bCs w:val="0"/>
        </w:rPr>
        <w:t xml:space="preserve">ESC did not consider this analysis to be </w:t>
      </w:r>
      <w:r>
        <w:rPr>
          <w:rStyle w:val="Strong"/>
          <w:b w:val="0"/>
          <w:bCs w:val="0"/>
        </w:rPr>
        <w:t xml:space="preserve">a </w:t>
      </w:r>
      <w:r w:rsidRPr="23728776">
        <w:rPr>
          <w:rStyle w:val="Strong"/>
          <w:b w:val="0"/>
          <w:bCs w:val="0"/>
        </w:rPr>
        <w:t xml:space="preserve">reliable or informative </w:t>
      </w:r>
      <w:r>
        <w:rPr>
          <w:rStyle w:val="Strong"/>
          <w:b w:val="0"/>
          <w:bCs w:val="0"/>
        </w:rPr>
        <w:t xml:space="preserve">representation of FL disease in </w:t>
      </w:r>
      <w:r w:rsidRPr="23728776">
        <w:rPr>
          <w:rStyle w:val="Strong"/>
          <w:b w:val="0"/>
          <w:bCs w:val="0"/>
        </w:rPr>
        <w:t xml:space="preserve">Australia. </w:t>
      </w:r>
    </w:p>
    <w:p w14:paraId="77494855" w14:textId="77777777" w:rsidR="002176CC" w:rsidRDefault="002176CC" w:rsidP="002176CC">
      <w:r w:rsidRPr="5FF72D23">
        <w:rPr>
          <w:rStyle w:val="Strong"/>
          <w:b w:val="0"/>
          <w:bCs w:val="0"/>
        </w:rPr>
        <w:lastRenderedPageBreak/>
        <w:t>ESC noted that, c</w:t>
      </w:r>
      <w:r>
        <w:t xml:space="preserve">onsistent with current practice, the proposed technology would be delivered in select tertiary hospital treatment centres that specialise in the delivery of CAR T-cell therapy. ESC noted that the proposed clinical criteria </w:t>
      </w:r>
      <w:r w:rsidRPr="5FF72D23">
        <w:rPr>
          <w:rStyle w:val="Strong"/>
          <w:b w:val="0"/>
          <w:bCs w:val="0"/>
        </w:rPr>
        <w:t xml:space="preserve">are </w:t>
      </w:r>
      <w:r>
        <w:t xml:space="preserve">in line with other CAR-T cell therapies and international guidelines. However, ESC noted that the proposed </w:t>
      </w:r>
      <w:r w:rsidRPr="5FF72D23">
        <w:rPr>
          <w:rStyle w:val="Strong"/>
          <w:b w:val="0"/>
          <w:bCs w:val="0"/>
        </w:rPr>
        <w:t>clinical criteria</w:t>
      </w:r>
      <w:r>
        <w:t xml:space="preserve"> </w:t>
      </w:r>
      <w:r w:rsidRPr="5FF72D23">
        <w:rPr>
          <w:rStyle w:val="Strong"/>
          <w:b w:val="0"/>
          <w:bCs w:val="0"/>
        </w:rPr>
        <w:t xml:space="preserve">were </w:t>
      </w:r>
      <w:r>
        <w:t xml:space="preserve">not fully consistent with the </w:t>
      </w:r>
      <w:r w:rsidRPr="5FF72D23">
        <w:rPr>
          <w:rStyle w:val="Strong"/>
          <w:b w:val="0"/>
          <w:bCs w:val="0"/>
        </w:rPr>
        <w:t>eligibility criteria in the ZUMA-5 study</w:t>
      </w:r>
      <w:r>
        <w:t xml:space="preserve"> and advised that the following criteria should be added to the proposed restriction:</w:t>
      </w:r>
    </w:p>
    <w:p w14:paraId="5168D69F" w14:textId="77777777" w:rsidR="002176CC" w:rsidRDefault="002176CC" w:rsidP="002176CC">
      <w:pPr>
        <w:pStyle w:val="ListParagraph"/>
        <w:numPr>
          <w:ilvl w:val="0"/>
          <w:numId w:val="48"/>
        </w:numPr>
      </w:pPr>
      <w:r>
        <w:t xml:space="preserve">Prior therapy with an anti-CD20 monoclonal antibody combined with an alkylating </w:t>
      </w:r>
      <w:proofErr w:type="gramStart"/>
      <w:r>
        <w:t>agent</w:t>
      </w:r>
      <w:proofErr w:type="gramEnd"/>
    </w:p>
    <w:p w14:paraId="3DFE6169" w14:textId="77777777" w:rsidR="002176CC" w:rsidRPr="00C52B3F" w:rsidRDefault="002176CC" w:rsidP="002176CC">
      <w:pPr>
        <w:pStyle w:val="ListParagraph"/>
        <w:numPr>
          <w:ilvl w:val="0"/>
          <w:numId w:val="48"/>
        </w:numPr>
        <w:rPr>
          <w:rStyle w:val="Strong"/>
          <w:b w:val="0"/>
          <w:bCs w:val="0"/>
        </w:rPr>
      </w:pPr>
      <w:r>
        <w:t>No known history or suspicion of central nervous system (CNS) involvement by lymphoma</w:t>
      </w:r>
    </w:p>
    <w:p w14:paraId="62EBD634" w14:textId="79FE546C" w:rsidR="002176CC" w:rsidRDefault="002176CC" w:rsidP="002176CC">
      <w:pPr>
        <w:rPr>
          <w:rStyle w:val="Strong"/>
          <w:b w:val="0"/>
          <w:bCs w:val="0"/>
        </w:rPr>
      </w:pPr>
      <w:r w:rsidRPr="5FF72D23">
        <w:rPr>
          <w:rStyle w:val="Strong"/>
          <w:b w:val="0"/>
          <w:bCs w:val="0"/>
        </w:rPr>
        <w:t xml:space="preserve">ESC considered that the remaining clinical criteria used in the key study were relevant for trial purposes but did not need to be included in the proposed clinical criteria (that is, </w:t>
      </w:r>
      <w:r>
        <w:t>at least one measurable lesion according to the Lugano Response Criteria for Malignant Lymphoma;</w:t>
      </w:r>
      <w:r w:rsidR="00402152">
        <w:t xml:space="preserve"> </w:t>
      </w:r>
      <w:r>
        <w:t>elapsed time between any prior systemic therapy (except for systemic</w:t>
      </w:r>
      <w:r w:rsidR="00933518">
        <w:t xml:space="preserve"> </w:t>
      </w:r>
      <w:r>
        <w:t>inhibitory/stimulatory immune checkpoint therapy) and enrolment;</w:t>
      </w:r>
      <w:r w:rsidRPr="5FF72D23">
        <w:rPr>
          <w:rFonts w:eastAsia="Calibri" w:cs="Arial"/>
          <w:color w:val="000000" w:themeColor="text1"/>
          <w:sz w:val="32"/>
          <w:szCs w:val="32"/>
        </w:rPr>
        <w:t xml:space="preserve"> </w:t>
      </w:r>
      <w:r>
        <w:t>absolute neutrophil count ≥ 1000/</w:t>
      </w:r>
      <w:proofErr w:type="spellStart"/>
      <w:r>
        <w:t>μL</w:t>
      </w:r>
      <w:proofErr w:type="spellEnd"/>
      <w:r>
        <w:t>; platelet count ≥ 75,000/</w:t>
      </w:r>
      <w:proofErr w:type="spellStart"/>
      <w:r>
        <w:t>μL</w:t>
      </w:r>
      <w:proofErr w:type="spellEnd"/>
      <w:r>
        <w:t>; absolute lymphocyte count ≥ 100/</w:t>
      </w:r>
      <w:proofErr w:type="spellStart"/>
      <w:r>
        <w:t>μL</w:t>
      </w:r>
      <w:proofErr w:type="spellEnd"/>
      <w:r>
        <w:t>; and no clinically significant pleural effusion).</w:t>
      </w:r>
    </w:p>
    <w:p w14:paraId="0C8579A9" w14:textId="77777777" w:rsidR="002176CC" w:rsidRPr="00F708EA" w:rsidRDefault="002176CC" w:rsidP="002176CC">
      <w:pPr>
        <w:rPr>
          <w:rStyle w:val="Strong"/>
          <w:b w:val="0"/>
          <w:bCs w:val="0"/>
        </w:rPr>
      </w:pPr>
      <w:r w:rsidRPr="5FF72D23">
        <w:rPr>
          <w:rStyle w:val="Strong"/>
          <w:b w:val="0"/>
          <w:bCs w:val="0"/>
        </w:rPr>
        <w:t>ESC noted the proposed clinical management algorithm and considered it was consistent with Australian clinical practice. ESC noted FL is an indolent form of lymphoma and as such patients may not undergo immediate treatment if relapse occurs, rather patients are only treated if treatment criteria are met for symptomatic disease and/or high tumour burden. ESC considered the population proposed for AXI should be restricted to patients who meet the requirement for treatment (i.e. symptomatic disease and/or high tumour burden following relapse). ESC advised that the proposed population should exclude patients who have central nervous system involvement (consistent with the ZUMA-5 study), and that anti-CD20 monotherapy should not be counted as a prior line of therapy.</w:t>
      </w:r>
      <w:r w:rsidRPr="41F60F84">
        <w:rPr>
          <w:rStyle w:val="Strong"/>
          <w:b w:val="0"/>
          <w:bCs w:val="0"/>
        </w:rPr>
        <w:t xml:space="preserve"> ESC advised that if anti-CD20 monotherapy was counted as a prior therapy this would substantially increase the eligible population.</w:t>
      </w:r>
    </w:p>
    <w:p w14:paraId="77990A07" w14:textId="77777777" w:rsidR="002176CC" w:rsidRDefault="002176CC" w:rsidP="002176CC">
      <w:pPr>
        <w:rPr>
          <w:rStyle w:val="Strong"/>
          <w:b w:val="0"/>
          <w:bCs w:val="0"/>
        </w:rPr>
      </w:pPr>
      <w:r w:rsidRPr="5FF72D23">
        <w:rPr>
          <w:rStyle w:val="Strong"/>
          <w:b w:val="0"/>
          <w:bCs w:val="0"/>
        </w:rPr>
        <w:t xml:space="preserve">ESC noted the pivotal clinical study (ZUMA-5) was a single-arm, multicentre, phase 2 study involving 127 patients with indolent FL who had </w:t>
      </w:r>
      <w:r w:rsidRPr="5FF72D23">
        <w:rPr>
          <w:lang w:val="en-US"/>
        </w:rPr>
        <w:t>relapsed or refractory disease after two or more lines of therapy</w:t>
      </w:r>
      <w:r w:rsidRPr="5FF72D23">
        <w:rPr>
          <w:rStyle w:val="Strong"/>
          <w:b w:val="0"/>
          <w:bCs w:val="0"/>
        </w:rPr>
        <w:t xml:space="preserve">. Clinical endpoints were measured at 12 months and 48 months, and efficacy was compared to the SCHOLAR-5 study (a retrospective cohort study using SOC) at 18 months and 48 months. ESC noted that the primary end point of overall response rate, defined as complete response and partial response according to Lugano Response Criteria and measured using a positron emission tomography (PET) scan was standard. However, ESC noted that in SCHOLAR- 5, response was sometimes measured using computed tomography (CT) scans only and considered that CT scans were less sensitive in detecting relapsed or refractory disease. For the primary analysis (18-month follow-up), the overall response rate was 94% in patients who received AXI, compared with 50% in patients who received SOC. For the updated analysis (48-month follow-up), the overall response rate was 94% (AXI arm) compared with 54% (SOC arm). Kaplan–Meier curves also showed substantial differences in progression-free survival (PFS) and overall survival (OS). However, ESC noted that the natural course of r/r FL is slow, so survival is expected to be longer than in other conditions for which AXI is indicated. </w:t>
      </w:r>
    </w:p>
    <w:p w14:paraId="4522B33E" w14:textId="77777777" w:rsidR="002176CC" w:rsidRDefault="002176CC" w:rsidP="002176CC">
      <w:pPr>
        <w:rPr>
          <w:rStyle w:val="Strong"/>
          <w:b w:val="0"/>
          <w:bCs w:val="0"/>
        </w:rPr>
      </w:pPr>
      <w:r w:rsidRPr="5FF72D23">
        <w:rPr>
          <w:rStyle w:val="Strong"/>
          <w:b w:val="0"/>
          <w:bCs w:val="0"/>
        </w:rPr>
        <w:t>ESC also noted that results from a real-world cohort of patients treated with AXI at the Centre for International Blood and Marrow Transplant Research (and compared</w:t>
      </w:r>
      <w:r>
        <w:t xml:space="preserve"> with a subgroup of patients from the SCHOLAR-5 study)</w:t>
      </w:r>
      <w:r w:rsidRPr="5FF72D23">
        <w:rPr>
          <w:rStyle w:val="Strong"/>
          <w:b w:val="0"/>
          <w:bCs w:val="0"/>
        </w:rPr>
        <w:t xml:space="preserve"> was provided as supportive evidence. The results of this indirect analysis also suggested that AXI was superior to SOC. However, ESC noted that it was unclear which patients from SCHOLAR-5 were included or which SOC treatments they received. ESC also noted that other issues with the comparison included: use of a historical control cohort, data immaturity, unclear </w:t>
      </w:r>
      <w:proofErr w:type="gramStart"/>
      <w:r w:rsidRPr="5FF72D23">
        <w:rPr>
          <w:rStyle w:val="Strong"/>
          <w:b w:val="0"/>
          <w:bCs w:val="0"/>
        </w:rPr>
        <w:t>censoring</w:t>
      </w:r>
      <w:proofErr w:type="gramEnd"/>
      <w:r w:rsidRPr="5FF72D23">
        <w:rPr>
          <w:rStyle w:val="Strong"/>
          <w:b w:val="0"/>
          <w:bCs w:val="0"/>
        </w:rPr>
        <w:t xml:space="preserve"> and transitivity concerns. </w:t>
      </w:r>
    </w:p>
    <w:p w14:paraId="5F431F5F" w14:textId="77777777" w:rsidR="002176CC" w:rsidRPr="00F708EA" w:rsidRDefault="002176CC" w:rsidP="002176CC">
      <w:pPr>
        <w:rPr>
          <w:rStyle w:val="Strong"/>
          <w:b w:val="0"/>
          <w:bCs w:val="0"/>
        </w:rPr>
      </w:pPr>
      <w:r w:rsidRPr="23728776">
        <w:rPr>
          <w:rStyle w:val="Strong"/>
          <w:b w:val="0"/>
          <w:bCs w:val="0"/>
        </w:rPr>
        <w:t xml:space="preserve">Overall, ESC agreed with the Commentary that the clinical claim </w:t>
      </w:r>
      <w:r>
        <w:rPr>
          <w:rStyle w:val="Strong"/>
          <w:b w:val="0"/>
          <w:bCs w:val="0"/>
        </w:rPr>
        <w:t>that AXI had</w:t>
      </w:r>
      <w:r w:rsidRPr="23728776">
        <w:rPr>
          <w:rStyle w:val="Strong"/>
          <w:b w:val="0"/>
          <w:bCs w:val="0"/>
        </w:rPr>
        <w:t xml:space="preserve"> superior </w:t>
      </w:r>
      <w:r>
        <w:rPr>
          <w:rStyle w:val="Strong"/>
          <w:b w:val="0"/>
          <w:bCs w:val="0"/>
        </w:rPr>
        <w:t>effectiveness</w:t>
      </w:r>
      <w:r w:rsidRPr="23728776">
        <w:rPr>
          <w:rStyle w:val="Strong"/>
          <w:b w:val="0"/>
          <w:bCs w:val="0"/>
        </w:rPr>
        <w:t xml:space="preserve"> </w:t>
      </w:r>
      <w:r>
        <w:rPr>
          <w:rStyle w:val="Strong"/>
          <w:b w:val="0"/>
          <w:bCs w:val="0"/>
        </w:rPr>
        <w:t xml:space="preserve">compared to SOC for the treatment of r/r FL in the 3L setting </w:t>
      </w:r>
      <w:r w:rsidRPr="23728776">
        <w:rPr>
          <w:rStyle w:val="Strong"/>
          <w:b w:val="0"/>
          <w:bCs w:val="0"/>
        </w:rPr>
        <w:t xml:space="preserve">was reasonable but </w:t>
      </w:r>
      <w:r w:rsidRPr="23728776">
        <w:rPr>
          <w:rStyle w:val="Strong"/>
          <w:b w:val="0"/>
          <w:bCs w:val="0"/>
        </w:rPr>
        <w:lastRenderedPageBreak/>
        <w:t>highly uncertain due to low-quality evidence from the single-arm open label study, indirect comparisons, and the historical and retrospective comparator.</w:t>
      </w:r>
    </w:p>
    <w:p w14:paraId="2D177527" w14:textId="77777777" w:rsidR="002176CC" w:rsidRDefault="002176CC" w:rsidP="002176CC">
      <w:pPr>
        <w:rPr>
          <w:rStyle w:val="Strong"/>
          <w:b w:val="0"/>
          <w:bCs w:val="0"/>
        </w:rPr>
      </w:pPr>
      <w:r w:rsidRPr="132E0B0E">
        <w:rPr>
          <w:rStyle w:val="Strong"/>
          <w:b w:val="0"/>
          <w:bCs w:val="0"/>
        </w:rPr>
        <w:t>Regarding the safety of AXI, ESC noted the</w:t>
      </w:r>
      <w:r>
        <w:t xml:space="preserve"> ZUMA-5</w:t>
      </w:r>
      <w:r w:rsidRPr="132E0B0E">
        <w:rPr>
          <w:rStyle w:val="Strong"/>
          <w:b w:val="0"/>
          <w:bCs w:val="0"/>
        </w:rPr>
        <w:t xml:space="preserve"> study data (48-month follow-up) indicated adverse events were </w:t>
      </w:r>
      <w:proofErr w:type="gramStart"/>
      <w:r w:rsidRPr="132E0B0E">
        <w:rPr>
          <w:rStyle w:val="Strong"/>
          <w:b w:val="0"/>
          <w:bCs w:val="0"/>
        </w:rPr>
        <w:t>similar to</w:t>
      </w:r>
      <w:proofErr w:type="gramEnd"/>
      <w:r w:rsidRPr="132E0B0E">
        <w:rPr>
          <w:rStyle w:val="Strong"/>
          <w:b w:val="0"/>
          <w:bCs w:val="0"/>
        </w:rPr>
        <w:t xml:space="preserve"> those seen following AXI treatment for other indications, and similar to other CAR-T therapies. ESC noted that in the ZUMA-5 study, </w:t>
      </w:r>
      <w:r>
        <w:t xml:space="preserve">99% of patients had a treatment emergent adverse event (TEAE), where 86% of patients had a worst grade TEAE of Grade 3 or higher, and 52% had at least one serious TEAE. ESC noted that the most frequently reported adverse events in patients treated with AXI were pyrexia (80% of patients), hypotension (38%), headache (33%), tremor (27%), and neutropenia (27%). ESC noted that the following adverse events attributable to AXI use were also reported: cytokine release syndrome (78% of patients), any neurological event (56%), cytopenia (73%), infection (56%), and </w:t>
      </w:r>
      <w:proofErr w:type="spellStart"/>
      <w:r>
        <w:t>hypogammaglobulinaemia</w:t>
      </w:r>
      <w:proofErr w:type="spellEnd"/>
      <w:r>
        <w:t xml:space="preserve"> (20%). </w:t>
      </w:r>
      <w:r w:rsidRPr="132E0B0E">
        <w:rPr>
          <w:rStyle w:val="Strong"/>
          <w:b w:val="0"/>
          <w:bCs w:val="0"/>
        </w:rPr>
        <w:t>ESC noted that comparative safety of AXI versus SOC was based on naive comparisons of various clinical studies with a high risk of bias, and the limited and low-quality data resulted in uncertainty. Overall, ESC agreed with the Commentary that the claim of inferior safety of AXI compared with SOC was likely reasonable.</w:t>
      </w:r>
    </w:p>
    <w:p w14:paraId="77F61362" w14:textId="17887A6F" w:rsidR="002176CC" w:rsidRPr="00F708EA" w:rsidRDefault="002176CC" w:rsidP="002176CC">
      <w:pPr>
        <w:rPr>
          <w:rStyle w:val="Strong"/>
          <w:b w:val="0"/>
          <w:bCs w:val="0"/>
        </w:rPr>
      </w:pPr>
      <w:r w:rsidRPr="23728776">
        <w:rPr>
          <w:rStyle w:val="Strong"/>
          <w:b w:val="0"/>
          <w:bCs w:val="0"/>
        </w:rPr>
        <w:t>ESC noted the economic model used a cost-utility analysis with three health states (progression free survival, progressed disease with on and off treatment components</w:t>
      </w:r>
      <w:r>
        <w:rPr>
          <w:rStyle w:val="Strong"/>
          <w:b w:val="0"/>
          <w:bCs w:val="0"/>
        </w:rPr>
        <w:t>,</w:t>
      </w:r>
      <w:r w:rsidRPr="23728776">
        <w:rPr>
          <w:rStyle w:val="Strong"/>
          <w:b w:val="0"/>
          <w:bCs w:val="0"/>
        </w:rPr>
        <w:t xml:space="preserve"> and death) and a 30-year time horizon. ESC noted that the survival curves applied in the base case analysis used the 48-month data from ZUMA-5, extrapolated this to 5 years, and then applied a cure assumption of 40%</w:t>
      </w:r>
      <w:r>
        <w:rPr>
          <w:rStyle w:val="Strong"/>
          <w:b w:val="0"/>
          <w:bCs w:val="0"/>
        </w:rPr>
        <w:t xml:space="preserve"> to the intervention arm</w:t>
      </w:r>
      <w:r w:rsidRPr="23728776">
        <w:rPr>
          <w:rStyle w:val="Strong"/>
          <w:b w:val="0"/>
          <w:bCs w:val="0"/>
        </w:rPr>
        <w:t>, with no cure assumption in the comparator arm. ESC also noted the wide range of values considered for health-related quality of life, which may have been overestimated</w:t>
      </w:r>
      <w:r>
        <w:rPr>
          <w:rStyle w:val="Strong"/>
          <w:b w:val="0"/>
          <w:bCs w:val="0"/>
        </w:rPr>
        <w:t xml:space="preserve"> particularly regarding the progression-free state</w:t>
      </w:r>
      <w:r w:rsidRPr="23728776">
        <w:rPr>
          <w:rStyle w:val="Strong"/>
          <w:b w:val="0"/>
          <w:bCs w:val="0"/>
        </w:rPr>
        <w:t xml:space="preserve">; however, sensitivity analyses performed by the Commentary showed this had a moderate effect (+10%) on the incremental cost-effectiveness ratio (ICER). Regarding the costs, ESC noted the concerns raised in the Commentary (including that a second infusion was not included, that SCT was included for SOC but not for AXI, and other minor issues), but ESC considered that the costs in the model were generally appropriate, and these issues </w:t>
      </w:r>
      <w:r>
        <w:rPr>
          <w:rStyle w:val="Strong"/>
          <w:b w:val="0"/>
          <w:bCs w:val="0"/>
        </w:rPr>
        <w:t>did not appear to have a</w:t>
      </w:r>
      <w:r w:rsidRPr="23728776">
        <w:rPr>
          <w:rStyle w:val="Strong"/>
          <w:b w:val="0"/>
          <w:bCs w:val="0"/>
        </w:rPr>
        <w:t xml:space="preserve"> major impact on the ICER as the main driver was the cost of AXI treatment. </w:t>
      </w:r>
    </w:p>
    <w:p w14:paraId="36529BFA" w14:textId="77777777" w:rsidR="002176CC" w:rsidRDefault="002176CC" w:rsidP="002176CC">
      <w:pPr>
        <w:rPr>
          <w:lang w:val="en-GB"/>
        </w:rPr>
      </w:pPr>
      <w:r w:rsidRPr="23728776">
        <w:rPr>
          <w:rStyle w:val="Strong"/>
          <w:b w:val="0"/>
          <w:bCs w:val="0"/>
        </w:rPr>
        <w:t xml:space="preserve">ESC noted the substantial implications of the cure assumption on incremental benefits in the model. </w:t>
      </w:r>
      <w:r>
        <w:rPr>
          <w:rStyle w:val="Strong"/>
          <w:b w:val="0"/>
          <w:bCs w:val="0"/>
        </w:rPr>
        <w:t>ESC noted the ADAR stated the cure assumption</w:t>
      </w:r>
      <w:r w:rsidRPr="23728776">
        <w:rPr>
          <w:rStyle w:val="Strong"/>
          <w:b w:val="0"/>
          <w:bCs w:val="0"/>
        </w:rPr>
        <w:t xml:space="preserve"> was </w:t>
      </w:r>
      <w:r>
        <w:t xml:space="preserve">based on OS and PFS at 48 months, clinical plausibility based on data from other AXI indications, and previous MSAC considerations of CAR-T therapies. ESC considered that a 40% cure rate after 5 years of PFS was not well supported by the evidence in the ADAR, particularly given the slow natural course of the disease. ESC considered that there needs to be a long period of remission for FL, at least 10 years given some patients relapse at 10 years, before considering a patient with r/r FL may be cured. As such, ESC considered the 48-month follow-up data from the ZUMA-5 study was too immature to support a curative assumption of 40% at 5 years. ESC also noted the applicant’s assertion that MSAC had previously accepted a cure rate in other CAR-T applications that had data with fewer patients and shorter follow-up. However, ESC noted that MSAC had in fact consistently expressed concern </w:t>
      </w:r>
      <w:r w:rsidRPr="00F24565">
        <w:t xml:space="preserve">regarding </w:t>
      </w:r>
      <w:r>
        <w:t xml:space="preserve">the </w:t>
      </w:r>
      <w:r w:rsidRPr="00F24565">
        <w:t>uncertainty of modelling cure</w:t>
      </w:r>
      <w:r>
        <w:t xml:space="preserve"> and had</w:t>
      </w:r>
      <w:r w:rsidRPr="00F24565">
        <w:t xml:space="preserve"> not explicitly accept</w:t>
      </w:r>
      <w:r>
        <w:t>ed</w:t>
      </w:r>
      <w:r w:rsidRPr="00F24565">
        <w:t xml:space="preserve"> the ICER</w:t>
      </w:r>
      <w:r>
        <w:t>s</w:t>
      </w:r>
      <w:r w:rsidRPr="00F24565">
        <w:t xml:space="preserve"> as cost-effective</w:t>
      </w:r>
      <w:r>
        <w:t>. Further, regarding the mixture cure model presented for MSAC application 1722.1, MSAC expressly stated that MSAC had not concluded that</w:t>
      </w:r>
      <w:r w:rsidDel="00DF59C4">
        <w:t xml:space="preserve"> </w:t>
      </w:r>
      <w:r>
        <w:t xml:space="preserve">treatment with AXI for R/R LBCL in 2L setting provided </w:t>
      </w:r>
      <w:r w:rsidDel="00692592">
        <w:t>a ‘</w:t>
      </w:r>
      <w:r w:rsidRPr="00DC31A8" w:rsidDel="00692592">
        <w:t>functional cure</w:t>
      </w:r>
      <w:r w:rsidDel="00692592">
        <w:t>’</w:t>
      </w:r>
      <w:r>
        <w:t xml:space="preserve"> for any proportion of patients</w:t>
      </w:r>
      <w:r w:rsidRPr="00F24565">
        <w:t xml:space="preserve">. </w:t>
      </w:r>
      <w:r>
        <w:t xml:space="preserve">Further, ESC considered that the approach to ESC and MSAC deliberations in relation to these therapies should evolve as the data evolve. ESC considered the assumption that </w:t>
      </w:r>
      <w:r w:rsidRPr="000311A6">
        <w:t xml:space="preserve">cured patients would revert to the general population mortality with </w:t>
      </w:r>
      <w:r>
        <w:t xml:space="preserve">a standardised mortality ratio (SMR) of 1.09 applied was highly optimistic. ESC noted that the </w:t>
      </w:r>
      <w:r w:rsidRPr="23728776">
        <w:rPr>
          <w:lang w:val="en-GB"/>
        </w:rPr>
        <w:t xml:space="preserve">alternative SMR values (2.7 and 3.7 from a retrospective study in </w:t>
      </w:r>
      <w:r w:rsidRPr="23728776">
        <w:rPr>
          <w:rStyle w:val="Strong"/>
          <w:b w:val="0"/>
          <w:bCs w:val="0"/>
        </w:rPr>
        <w:t>FL</w:t>
      </w:r>
      <w:r w:rsidRPr="23728776">
        <w:rPr>
          <w:lang w:val="en-GB"/>
        </w:rPr>
        <w:t xml:space="preserve"> after auto-HSCT using patient data from national transplant registry in Japan) tested by the Commentary had a considerable impact on the ICER</w:t>
      </w:r>
      <w:r>
        <w:rPr>
          <w:lang w:val="en-GB"/>
        </w:rPr>
        <w:t xml:space="preserve">. ESC considered the sensitivity analyses with these alternative SMR </w:t>
      </w:r>
      <w:r w:rsidRPr="23728776">
        <w:rPr>
          <w:lang w:val="en-GB"/>
        </w:rPr>
        <w:t>were informative</w:t>
      </w:r>
      <w:r>
        <w:rPr>
          <w:lang w:val="en-GB"/>
        </w:rPr>
        <w:t xml:space="preserve"> </w:t>
      </w:r>
      <w:r w:rsidRPr="23728776">
        <w:rPr>
          <w:lang w:val="en-GB"/>
        </w:rPr>
        <w:t xml:space="preserve">but </w:t>
      </w:r>
      <w:r w:rsidRPr="23728776">
        <w:rPr>
          <w:rStyle w:val="Strong"/>
          <w:b w:val="0"/>
          <w:bCs w:val="0"/>
        </w:rPr>
        <w:t xml:space="preserve">also </w:t>
      </w:r>
      <w:r>
        <w:rPr>
          <w:rStyle w:val="Strong"/>
          <w:b w:val="0"/>
          <w:bCs w:val="0"/>
        </w:rPr>
        <w:t>may be</w:t>
      </w:r>
      <w:r w:rsidRPr="23728776">
        <w:rPr>
          <w:rStyle w:val="Strong"/>
          <w:b w:val="0"/>
          <w:bCs w:val="0"/>
        </w:rPr>
        <w:t xml:space="preserve"> </w:t>
      </w:r>
      <w:r>
        <w:rPr>
          <w:rStyle w:val="Strong"/>
          <w:b w:val="0"/>
          <w:bCs w:val="0"/>
        </w:rPr>
        <w:t>overly conservative</w:t>
      </w:r>
      <w:r w:rsidRPr="23728776">
        <w:rPr>
          <w:lang w:val="en-GB"/>
        </w:rPr>
        <w:t xml:space="preserve">. </w:t>
      </w:r>
      <w:r>
        <w:t xml:space="preserve">ESC considered </w:t>
      </w:r>
      <w:r>
        <w:lastRenderedPageBreak/>
        <w:t>the appropriate SMR value was somewhere between the ADAR’s base case and the Commentary sensitivity analyses.</w:t>
      </w:r>
    </w:p>
    <w:p w14:paraId="1A368596" w14:textId="550BEE31" w:rsidR="002176CC" w:rsidRPr="00F708EA" w:rsidRDefault="002176CC" w:rsidP="002176CC">
      <w:r>
        <w:t>Given that the uncertainty regarding the cure assumption and SMR, which created significant uncertainty in the model, ESC considered that cure assumption should be removed from the base case model and instead focus on the PFS gains. This would also remove the uncertainty regarding the SMR applied in the base case.</w:t>
      </w:r>
    </w:p>
    <w:p w14:paraId="38AF9513" w14:textId="41CE350A" w:rsidR="002176CC" w:rsidRDefault="002176CC" w:rsidP="002176CC">
      <w:pPr>
        <w:rPr>
          <w:color w:val="FF0000"/>
        </w:rPr>
      </w:pPr>
      <w:r>
        <w:t xml:space="preserve">ESC noted the base case ICER of </w:t>
      </w:r>
      <w:r w:rsidR="007D095B" w:rsidRPr="132E0B0E">
        <w:rPr>
          <w:rFonts w:eastAsia="Calibri"/>
          <w:b/>
          <w:bCs/>
          <w:color w:val="000000" w:themeColor="text1"/>
        </w:rPr>
        <w:t>$Redacted</w:t>
      </w:r>
      <w:r w:rsidR="007D095B">
        <w:t xml:space="preserve"> </w:t>
      </w:r>
      <w:r>
        <w:t xml:space="preserve">per quality-adjusted life year (QALY) gained, using the proposed price of AXI of </w:t>
      </w:r>
      <w:r w:rsidR="007D095B" w:rsidRPr="132E0B0E">
        <w:rPr>
          <w:rFonts w:eastAsia="Calibri"/>
          <w:b/>
          <w:bCs/>
          <w:color w:val="000000" w:themeColor="text1"/>
        </w:rPr>
        <w:t>$Redacted</w:t>
      </w:r>
      <w:r>
        <w:t xml:space="preserve">. However, ESC noted that if a single payment of </w:t>
      </w:r>
      <w:r w:rsidR="007D095B" w:rsidRPr="132E0B0E">
        <w:rPr>
          <w:rFonts w:eastAsia="Calibri"/>
          <w:b/>
          <w:bCs/>
          <w:color w:val="000000" w:themeColor="text1"/>
        </w:rPr>
        <w:t>$Redacted</w:t>
      </w:r>
      <w:r w:rsidR="007D095B">
        <w:t xml:space="preserve"> </w:t>
      </w:r>
      <w:r>
        <w:t xml:space="preserve">(which corresponded to an ICER of </w:t>
      </w:r>
      <w:r w:rsidR="007D095B" w:rsidRPr="132E0B0E">
        <w:rPr>
          <w:rFonts w:eastAsia="Calibri"/>
          <w:b/>
          <w:bCs/>
          <w:color w:val="000000" w:themeColor="text1"/>
        </w:rPr>
        <w:t>$Redacted</w:t>
      </w:r>
      <w:r w:rsidR="007D095B">
        <w:t xml:space="preserve"> </w:t>
      </w:r>
      <w:r>
        <w:t xml:space="preserve">in application 1722.1) for AXI was used as supported by MSAC for r/r LBCL, the ICER would be </w:t>
      </w:r>
      <w:r w:rsidR="007D095B" w:rsidRPr="132E0B0E">
        <w:rPr>
          <w:rFonts w:eastAsia="Calibri"/>
          <w:b/>
          <w:bCs/>
          <w:color w:val="000000" w:themeColor="text1"/>
        </w:rPr>
        <w:t>$Redacted</w:t>
      </w:r>
      <w:r>
        <w:t xml:space="preserve">/QALY. If a price for AXI of </w:t>
      </w:r>
      <w:r w:rsidR="007D095B" w:rsidRPr="132E0B0E">
        <w:rPr>
          <w:rFonts w:eastAsia="Calibri"/>
          <w:b/>
          <w:bCs/>
          <w:color w:val="000000" w:themeColor="text1"/>
        </w:rPr>
        <w:t>$Redacted</w:t>
      </w:r>
      <w:r w:rsidR="007D095B">
        <w:t xml:space="preserve"> </w:t>
      </w:r>
      <w:r>
        <w:t xml:space="preserve">(which corresponded to the </w:t>
      </w:r>
      <w:proofErr w:type="spellStart"/>
      <w:r>
        <w:t>PfP</w:t>
      </w:r>
      <w:proofErr w:type="spellEnd"/>
      <w:r>
        <w:t xml:space="preserve"> and RSA for application 1722.1), the ICER would be </w:t>
      </w:r>
      <w:r w:rsidR="007D095B" w:rsidRPr="132E0B0E">
        <w:rPr>
          <w:rFonts w:eastAsia="Calibri"/>
          <w:b/>
          <w:bCs/>
          <w:color w:val="000000" w:themeColor="text1"/>
        </w:rPr>
        <w:t>$Redacted</w:t>
      </w:r>
      <w:r>
        <w:t>/QALY.</w:t>
      </w:r>
    </w:p>
    <w:p w14:paraId="42F6BB9D" w14:textId="3E25D909" w:rsidR="002176CC" w:rsidRPr="00F708EA" w:rsidRDefault="002176CC" w:rsidP="002176CC">
      <w:r>
        <w:t xml:space="preserve">ESC noted the sensitivity analyses, which showed that the ICER was sensitive to the time horizon, cure point, cure fraction, SMR and extrapolation method. </w:t>
      </w:r>
      <w:r w:rsidDel="00425695">
        <w:t xml:space="preserve">ESC queried whether a more conservative base case could be established by choosing values that lie between the ADAR’s base case and the Commentary sensitivity </w:t>
      </w:r>
      <w:proofErr w:type="gramStart"/>
      <w:r w:rsidDel="00425695">
        <w:t>analyses, but</w:t>
      </w:r>
      <w:proofErr w:type="gramEnd"/>
      <w:r w:rsidDel="00425695">
        <w:t xml:space="preserve"> concluded that this would still involve a high degree of uncertainty, so would likely not be helpful for MSAC decision-making. </w:t>
      </w:r>
      <w:r>
        <w:t>ESC agreed with the Commentary that a discounting rate of 5% was appropriate to use.</w:t>
      </w:r>
    </w:p>
    <w:p w14:paraId="0E885B57" w14:textId="45ACC550" w:rsidR="002176CC" w:rsidRPr="00F708EA" w:rsidRDefault="002176CC" w:rsidP="002176CC">
      <w:r>
        <w:t xml:space="preserve">ESC noted the ADAR used an epidemiological approach for the financial analysis. ESC noted the net financial impact to government was estimated at above </w:t>
      </w:r>
      <w:r w:rsidR="007D095B" w:rsidRPr="132E0B0E">
        <w:rPr>
          <w:rFonts w:eastAsia="Calibri"/>
          <w:b/>
          <w:bCs/>
          <w:color w:val="000000" w:themeColor="text1"/>
        </w:rPr>
        <w:t>$Redacted</w:t>
      </w:r>
      <w:r w:rsidR="007D095B">
        <w:t xml:space="preserve"> </w:t>
      </w:r>
      <w:r>
        <w:t xml:space="preserve">per year. ESC considered that the cost savings may have been overestimated. ESC noted </w:t>
      </w:r>
      <w:proofErr w:type="gramStart"/>
      <w:r>
        <w:t>a number of</w:t>
      </w:r>
      <w:proofErr w:type="gramEnd"/>
      <w:r>
        <w:t xml:space="preserve"> parameters that informed the utilisation estimates were assumptions based on a survey of four clinicians that displayed a high variation in responses. ESC noted that the assumptions informed by expert opinion were tested in sensitivity analyses, showing that these assumptions created uncertainty in the expected number of treated patients but did not have a large effect on the estimated financial impact. Overall ESC considered that the estimated financial impact to government was uncertain.</w:t>
      </w:r>
    </w:p>
    <w:p w14:paraId="2024E243" w14:textId="36E89220" w:rsidR="002176CC" w:rsidRPr="00F708EA" w:rsidRDefault="002176CC" w:rsidP="002176CC">
      <w:r>
        <w:t xml:space="preserve">ESC noted MSAC’s recent advice regarding a </w:t>
      </w:r>
      <w:proofErr w:type="spellStart"/>
      <w:r>
        <w:t>PfP</w:t>
      </w:r>
      <w:proofErr w:type="spellEnd"/>
      <w:r>
        <w:t xml:space="preserve"> and RSA for AXI for treatment of r/r LBCL in the 2L setting and considered that a </w:t>
      </w:r>
      <w:proofErr w:type="spellStart"/>
      <w:r>
        <w:t>PfP</w:t>
      </w:r>
      <w:proofErr w:type="spellEnd"/>
      <w:r>
        <w:t xml:space="preserve"> and RSA to mitigate uncertainties (in the clinical evidence, cost-effectiveness, </w:t>
      </w:r>
      <w:proofErr w:type="gramStart"/>
      <w:r>
        <w:t>utilisation</w:t>
      </w:r>
      <w:proofErr w:type="gramEnd"/>
      <w:r>
        <w:t xml:space="preserve"> and financial impact) would be also appropriate for this application. However, ESC considered that for each application, the unique evidence and acceptable revised base case ICER should be </w:t>
      </w:r>
      <w:proofErr w:type="gramStart"/>
      <w:r>
        <w:t>taken into account</w:t>
      </w:r>
      <w:proofErr w:type="gramEnd"/>
      <w:r>
        <w:t xml:space="preserve"> when establishing the </w:t>
      </w:r>
      <w:proofErr w:type="spellStart"/>
      <w:r>
        <w:t>PfP</w:t>
      </w:r>
      <w:proofErr w:type="spellEnd"/>
      <w:r>
        <w:t xml:space="preserve"> and RSA. For AXI as a treatment for r/r FL in the 3L setting, ESC considered that the proposed price was not justified based on the ICER and the uncertainty in the economic model, but that it might be difficult to address this uncertainty using a price reduction alone, given the long-term and curative claims. ESC considered that a 12-month complete response outcome might be sufficient to address the uncertainty relating to successful infusion, but that a longer-term mechanism may be required to address the uncertainty of OS and claimed curative benefits. ESC considered that an annual financial cap based on patient numbers would be reasonable to manage the uncertainty in the utilisation and potential financial impact.</w:t>
      </w:r>
    </w:p>
    <w:p w14:paraId="4208ED05" w14:textId="77777777" w:rsidR="002176CC" w:rsidRPr="005B28E3" w:rsidRDefault="002176CC" w:rsidP="002176CC">
      <w:pPr>
        <w:rPr>
          <w:rStyle w:val="Strong"/>
          <w:b w:val="0"/>
          <w:bCs w:val="0"/>
        </w:rPr>
      </w:pPr>
      <w:r w:rsidRPr="23728776">
        <w:rPr>
          <w:rStyle w:val="Strong"/>
          <w:b w:val="0"/>
          <w:bCs w:val="0"/>
        </w:rPr>
        <w:t xml:space="preserve">ESC noted that AXI for FL has been </w:t>
      </w:r>
      <w:r w:rsidRPr="41DE5E35">
        <w:rPr>
          <w:rStyle w:val="Strong"/>
          <w:b w:val="0"/>
          <w:bCs w:val="0"/>
        </w:rPr>
        <w:t>registered</w:t>
      </w:r>
      <w:r w:rsidRPr="23728776">
        <w:rPr>
          <w:rStyle w:val="Strong"/>
          <w:b w:val="0"/>
          <w:bCs w:val="0"/>
        </w:rPr>
        <w:t xml:space="preserve"> by the United States Food and Drug Administration (FDA) for treatment </w:t>
      </w:r>
      <w:r>
        <w:t>after two or more lines of syste</w:t>
      </w:r>
      <w:r w:rsidRPr="00576523">
        <w:rPr>
          <w:rFonts w:asciiTheme="minorHAnsi" w:eastAsiaTheme="minorEastAsia" w:hAnsiTheme="minorHAnsi"/>
        </w:rPr>
        <w:t xml:space="preserve">mic </w:t>
      </w:r>
      <w:r w:rsidRPr="00576523">
        <w:t>therapy</w:t>
      </w:r>
      <w:r w:rsidRPr="41DE5E35">
        <w:rPr>
          <w:rStyle w:val="FootnoteReference"/>
          <w:rFonts w:asciiTheme="minorHAnsi" w:eastAsiaTheme="minorEastAsia" w:hAnsiTheme="minorHAnsi"/>
        </w:rPr>
        <w:footnoteReference w:id="21"/>
      </w:r>
      <w:r w:rsidRPr="41DE5E35">
        <w:rPr>
          <w:rStyle w:val="Strong"/>
          <w:rFonts w:eastAsiaTheme="minorEastAsia"/>
          <w:b w:val="0"/>
          <w:bCs w:val="0"/>
        </w:rPr>
        <w:t xml:space="preserve">. AXI has also been authorised for use by the European Medicines Agency in patients with r/r FL after three or more lines of </w:t>
      </w:r>
      <w:r w:rsidRPr="41DE5E35">
        <w:rPr>
          <w:rStyle w:val="Strong"/>
          <w:rFonts w:eastAsiaTheme="minorEastAsia"/>
          <w:b w:val="0"/>
          <w:bCs w:val="0"/>
        </w:rPr>
        <w:lastRenderedPageBreak/>
        <w:t>systemic therapy</w:t>
      </w:r>
      <w:r>
        <w:rPr>
          <w:rStyle w:val="FootnoteReference"/>
          <w:rFonts w:eastAsiaTheme="minorEastAsia"/>
        </w:rPr>
        <w:footnoteReference w:id="22"/>
      </w:r>
      <w:r w:rsidRPr="41DE5E35">
        <w:rPr>
          <w:rStyle w:val="Strong"/>
          <w:rFonts w:eastAsiaTheme="minorEastAsia"/>
          <w:b w:val="0"/>
          <w:bCs w:val="0"/>
        </w:rPr>
        <w:t xml:space="preserve">. </w:t>
      </w:r>
      <w:r w:rsidRPr="00576523">
        <w:rPr>
          <w:rStyle w:val="Strong"/>
          <w:rFonts w:eastAsiaTheme="minorEastAsia"/>
          <w:b w:val="0"/>
          <w:bCs w:val="0"/>
        </w:rPr>
        <w:t>Canada's Drug Agency</w:t>
      </w:r>
      <w:r w:rsidRPr="41DE5E35" w:rsidDel="3EB86A25">
        <w:rPr>
          <w:rStyle w:val="Strong"/>
          <w:rFonts w:eastAsiaTheme="minorEastAsia"/>
          <w:b w:val="0"/>
          <w:bCs w:val="0"/>
        </w:rPr>
        <w:t xml:space="preserve"> </w:t>
      </w:r>
      <w:r w:rsidRPr="41DE5E35">
        <w:rPr>
          <w:rStyle w:val="Strong"/>
          <w:rFonts w:eastAsiaTheme="minorEastAsia"/>
          <w:b w:val="0"/>
          <w:bCs w:val="0"/>
        </w:rPr>
        <w:t xml:space="preserve">(formerly the </w:t>
      </w:r>
      <w:r w:rsidRPr="007963D4">
        <w:t>Canadian Agency for Drugs and Technologies in Health</w:t>
      </w:r>
      <w:r>
        <w:t xml:space="preserve"> </w:t>
      </w:r>
      <w:r w:rsidRPr="41DE5E35">
        <w:rPr>
          <w:rStyle w:val="Strong"/>
          <w:rFonts w:eastAsiaTheme="minorEastAsia"/>
          <w:b w:val="0"/>
          <w:bCs w:val="0"/>
        </w:rPr>
        <w:t xml:space="preserve">[CADTH]) recommended reimbursement for AXI for the treatment of r/r FL after two or more lines of systemic therapy but that a price reduction of 82% to 95% would be required AXI for to be cost-effective at a WTP threshold of $50,000 per </w:t>
      </w:r>
      <w:r>
        <w:rPr>
          <w:rStyle w:val="Strong"/>
          <w:rFonts w:eastAsiaTheme="minorEastAsia"/>
          <w:b w:val="0"/>
          <w:bCs w:val="0"/>
        </w:rPr>
        <w:t>QALY gained</w:t>
      </w:r>
      <w:r>
        <w:rPr>
          <w:rStyle w:val="FootnoteReference"/>
          <w:rFonts w:eastAsiaTheme="minorEastAsia"/>
        </w:rPr>
        <w:footnoteReference w:id="23"/>
      </w:r>
      <w:r w:rsidRPr="41DE5E35">
        <w:rPr>
          <w:rStyle w:val="Strong"/>
          <w:rFonts w:eastAsiaTheme="minorEastAsia"/>
          <w:b w:val="0"/>
          <w:bCs w:val="0"/>
        </w:rPr>
        <w:t xml:space="preserve">.  However, the National Institute for Health and Care Excellence (NICE) did not recommend funding AXI for treatment of r/r FL </w:t>
      </w:r>
      <w:r>
        <w:rPr>
          <w:rStyle w:val="Strong"/>
          <w:rFonts w:eastAsiaTheme="minorEastAsia"/>
          <w:b w:val="0"/>
          <w:bCs w:val="0"/>
        </w:rPr>
        <w:t>after 3 or more systemic treatments</w:t>
      </w:r>
      <w:r>
        <w:rPr>
          <w:rStyle w:val="FootnoteReference"/>
          <w:rFonts w:eastAsiaTheme="minorEastAsia"/>
        </w:rPr>
        <w:footnoteReference w:id="24"/>
      </w:r>
      <w:r w:rsidRPr="41DE5E35">
        <w:rPr>
          <w:rStyle w:val="Strong"/>
          <w:rFonts w:eastAsiaTheme="minorEastAsia"/>
          <w:b w:val="0"/>
          <w:bCs w:val="0"/>
        </w:rPr>
        <w:t>.</w:t>
      </w:r>
    </w:p>
    <w:p w14:paraId="6B79B9FF" w14:textId="77777777" w:rsidR="002176CC" w:rsidRPr="00F708EA" w:rsidRDefault="002176CC" w:rsidP="002176CC">
      <w:r>
        <w:t xml:space="preserve">ESC considered that, if AXI is supported, a review should be required as part of the RSA. A systematic approach to devising new, fit-for-purpose payment mechanisms may be necessary for therapies that have a high cost and curative claim. This should define the minimum viable data required to support performance payments, as well as for other purposes (such as clinical and health services research, and surveillance of the condition). ESC considered that registry data collected from patients should also specify prior therapies (such as prior </w:t>
      </w:r>
      <w:proofErr w:type="spellStart"/>
      <w:r>
        <w:t>bendamustine</w:t>
      </w:r>
      <w:proofErr w:type="spellEnd"/>
      <w:r>
        <w:t xml:space="preserve"> use) to allow future analysis.</w:t>
      </w:r>
    </w:p>
    <w:p w14:paraId="37E15C08" w14:textId="77777777" w:rsidR="002176CC" w:rsidRPr="00F708EA" w:rsidRDefault="002176CC" w:rsidP="002176CC">
      <w:pPr>
        <w:rPr>
          <w:rStyle w:val="Strong"/>
          <w:b w:val="0"/>
          <w:bCs w:val="0"/>
        </w:rPr>
      </w:pPr>
      <w:r w:rsidRPr="23728776">
        <w:rPr>
          <w:rStyle w:val="Strong"/>
          <w:b w:val="0"/>
          <w:bCs w:val="0"/>
        </w:rPr>
        <w:t xml:space="preserve">ESC noted that bispecific antibody therapy </w:t>
      </w:r>
      <w:r>
        <w:rPr>
          <w:rStyle w:val="Strong"/>
          <w:b w:val="0"/>
          <w:bCs w:val="0"/>
        </w:rPr>
        <w:t>wa</w:t>
      </w:r>
      <w:r w:rsidRPr="23728776">
        <w:rPr>
          <w:rStyle w:val="Strong"/>
          <w:b w:val="0"/>
          <w:bCs w:val="0"/>
        </w:rPr>
        <w:t xml:space="preserve">s on the horizon for the treatment of FL. Bispecific </w:t>
      </w:r>
      <w:r>
        <w:rPr>
          <w:rStyle w:val="Strong"/>
          <w:b w:val="0"/>
          <w:bCs w:val="0"/>
        </w:rPr>
        <w:t xml:space="preserve">antibody </w:t>
      </w:r>
      <w:r w:rsidRPr="23728776">
        <w:rPr>
          <w:rStyle w:val="Strong"/>
          <w:b w:val="0"/>
          <w:bCs w:val="0"/>
        </w:rPr>
        <w:t>therapy is available in other countries (but not yet in Australia) and real-world results appear</w:t>
      </w:r>
      <w:r>
        <w:rPr>
          <w:rStyle w:val="Strong"/>
          <w:b w:val="0"/>
          <w:bCs w:val="0"/>
        </w:rPr>
        <w:t>ed</w:t>
      </w:r>
      <w:r w:rsidRPr="23728776">
        <w:rPr>
          <w:rStyle w:val="Strong"/>
          <w:b w:val="0"/>
          <w:bCs w:val="0"/>
        </w:rPr>
        <w:t xml:space="preserve"> to be comparable to CAR-T therapy, with similar adverse events. </w:t>
      </w:r>
      <w:r>
        <w:rPr>
          <w:rStyle w:val="Strong"/>
          <w:b w:val="0"/>
          <w:bCs w:val="0"/>
        </w:rPr>
        <w:t xml:space="preserve">However, ESC noted that the choice and position of CAR-T versus bispecific antibodies in the clinical management of patients was unclear. </w:t>
      </w:r>
    </w:p>
    <w:p w14:paraId="50197445" w14:textId="77777777" w:rsidR="002176CC" w:rsidRDefault="002176CC" w:rsidP="002176CC">
      <w:pPr>
        <w:pStyle w:val="Heading2"/>
        <w:numPr>
          <w:ilvl w:val="0"/>
          <w:numId w:val="0"/>
        </w:numPr>
      </w:pPr>
      <w:r>
        <w:t>17.</w:t>
      </w:r>
      <w:r>
        <w:tab/>
        <w:t>Applicant comments on MSAC’s Public Summary Document</w:t>
      </w:r>
    </w:p>
    <w:p w14:paraId="3530A4E0" w14:textId="47037554" w:rsidR="00460156" w:rsidRPr="00F9259E" w:rsidRDefault="00133B2D" w:rsidP="002176CC">
      <w:pPr>
        <w:spacing w:after="240"/>
      </w:pPr>
      <w:r w:rsidRPr="00F9259E">
        <w:t xml:space="preserve">While </w:t>
      </w:r>
      <w:r w:rsidR="00387093" w:rsidRPr="00F9259E">
        <w:t>Gilead Sciences is</w:t>
      </w:r>
      <w:r w:rsidRPr="00F9259E">
        <w:t xml:space="preserve"> disappointed with the outcome, we are pleased that MSAC acknowledged that </w:t>
      </w:r>
      <w:proofErr w:type="spellStart"/>
      <w:r w:rsidRPr="00F9259E">
        <w:t>axi</w:t>
      </w:r>
      <w:r w:rsidRPr="00F9259E">
        <w:noBreakHyphen/>
        <w:t>cel</w:t>
      </w:r>
      <w:proofErr w:type="spellEnd"/>
      <w:r w:rsidRPr="00F9259E">
        <w:t xml:space="preserve"> is likely superior to SOC in terms of effectiveness, that there is a clinical need for new therapies for this patient population, and that all public consultation feedback received from both the clinical and patient community was supportive of the application</w:t>
      </w:r>
      <w:r w:rsidR="00460156" w:rsidRPr="00F9259E">
        <w:t xml:space="preserve">, </w:t>
      </w:r>
      <w:r w:rsidRPr="00F9259E">
        <w:t xml:space="preserve">noting the anticipated improvement in survival and quality of life for patients. </w:t>
      </w:r>
    </w:p>
    <w:p w14:paraId="692C6656" w14:textId="0095F950" w:rsidR="00133B2D" w:rsidRPr="00F9259E" w:rsidRDefault="00460156" w:rsidP="002176CC">
      <w:pPr>
        <w:spacing w:after="240"/>
      </w:pPr>
      <w:r w:rsidRPr="00F9259E">
        <w:t>Gilead Science</w:t>
      </w:r>
      <w:r w:rsidR="00387093" w:rsidRPr="00F9259E">
        <w:t>s</w:t>
      </w:r>
      <w:r w:rsidRPr="00F9259E">
        <w:t xml:space="preserve"> would like to </w:t>
      </w:r>
      <w:r w:rsidR="009C0A63" w:rsidRPr="00F9259E">
        <w:t xml:space="preserve">sincerely </w:t>
      </w:r>
      <w:r w:rsidRPr="00F9259E">
        <w:t xml:space="preserve">thank </w:t>
      </w:r>
      <w:r w:rsidR="009C0A63" w:rsidRPr="00F9259E">
        <w:t xml:space="preserve">the </w:t>
      </w:r>
      <w:r w:rsidR="00A32665" w:rsidRPr="00F9259E">
        <w:t xml:space="preserve">clinicians, </w:t>
      </w:r>
      <w:r w:rsidR="00A32665" w:rsidRPr="00F9259E">
        <w:rPr>
          <w:rStyle w:val="normaltextrun"/>
          <w:shd w:val="clear" w:color="auto" w:fill="FFFFFF"/>
        </w:rPr>
        <w:t>professional organisations and patient organisations</w:t>
      </w:r>
      <w:r w:rsidR="00A32665" w:rsidRPr="00F9259E">
        <w:t xml:space="preserve"> who took the time to provide input and comment on this application</w:t>
      </w:r>
      <w:r w:rsidR="00387093" w:rsidRPr="00F9259E">
        <w:t>; we</w:t>
      </w:r>
      <w:r w:rsidR="00133B2D" w:rsidRPr="00F9259E">
        <w:t xml:space="preserve"> will continue to work with MSAC to achieve public funding for </w:t>
      </w:r>
      <w:proofErr w:type="spellStart"/>
      <w:r w:rsidR="00133B2D" w:rsidRPr="00F9259E">
        <w:t>axi-cel</w:t>
      </w:r>
      <w:proofErr w:type="spellEnd"/>
      <w:r w:rsidR="00133B2D" w:rsidRPr="00F9259E">
        <w:t xml:space="preserve"> for </w:t>
      </w:r>
      <w:r w:rsidR="00C01878" w:rsidRPr="00F9259E">
        <w:t>r</w:t>
      </w:r>
      <w:r w:rsidR="00133B2D" w:rsidRPr="00F9259E">
        <w:t>/</w:t>
      </w:r>
      <w:r w:rsidR="00C01878" w:rsidRPr="00F9259E">
        <w:t>r</w:t>
      </w:r>
      <w:r w:rsidR="00133B2D" w:rsidRPr="00F9259E">
        <w:t xml:space="preserve"> FL and bring this important treatment to patients in a timely manner.</w:t>
      </w:r>
    </w:p>
    <w:p w14:paraId="1FCC0967" w14:textId="77777777" w:rsidR="002176CC" w:rsidRDefault="002176CC" w:rsidP="002176CC">
      <w:pPr>
        <w:pStyle w:val="Heading2"/>
        <w:numPr>
          <w:ilvl w:val="0"/>
          <w:numId w:val="0"/>
        </w:numPr>
      </w:pPr>
      <w:r>
        <w:t>18.</w:t>
      </w:r>
      <w:r>
        <w:tab/>
        <w:t>Further information on MSAC</w:t>
      </w:r>
    </w:p>
    <w:p w14:paraId="6B38FF23" w14:textId="3B1E948F" w:rsidR="002176CC" w:rsidRPr="002176CC" w:rsidRDefault="002176CC" w:rsidP="002176CC">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20" w:tooltip="Link to the MSAC website" w:history="1">
        <w:r w:rsidRPr="00F309FA">
          <w:rPr>
            <w:rStyle w:val="Hyperlink"/>
            <w:rFonts w:ascii="Franklin Gothic Book" w:hAnsi="Franklin Gothic Book"/>
            <w:iCs/>
            <w:sz w:val="22"/>
          </w:rPr>
          <w:t>visit the MSAC website</w:t>
        </w:r>
      </w:hyperlink>
    </w:p>
    <w:sectPr w:rsidR="002176CC" w:rsidRPr="002176CC" w:rsidSect="00034076">
      <w:headerReference w:type="even" r:id="rId21"/>
      <w:headerReference w:type="default" r:id="rId22"/>
      <w:footerReference w:type="even" r:id="rId23"/>
      <w:footerReference w:type="default" r:id="rId24"/>
      <w:headerReference w:type="first" r:id="rId25"/>
      <w:footerReference w:type="first" r:id="rId26"/>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048C" w14:textId="77777777" w:rsidR="00862C9A" w:rsidRDefault="00862C9A" w:rsidP="00B62DF2">
      <w:pPr>
        <w:spacing w:after="0" w:line="240" w:lineRule="auto"/>
      </w:pPr>
      <w:r>
        <w:separator/>
      </w:r>
    </w:p>
  </w:endnote>
  <w:endnote w:type="continuationSeparator" w:id="0">
    <w:p w14:paraId="3B4B0AE6" w14:textId="77777777" w:rsidR="00862C9A" w:rsidRDefault="00862C9A" w:rsidP="00B62DF2">
      <w:pPr>
        <w:spacing w:after="0" w:line="240" w:lineRule="auto"/>
      </w:pPr>
      <w:r>
        <w:continuationSeparator/>
      </w:r>
    </w:p>
  </w:endnote>
  <w:endnote w:type="continuationNotice" w:id="1">
    <w:p w14:paraId="689FBDE4" w14:textId="77777777" w:rsidR="00862C9A" w:rsidRDefault="00862C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13642"/>
      <w:docPartObj>
        <w:docPartGallery w:val="Page Numbers (Bottom of Page)"/>
        <w:docPartUnique/>
      </w:docPartObj>
    </w:sdtPr>
    <w:sdtEndPr>
      <w:rPr>
        <w:noProof/>
      </w:rPr>
    </w:sdtEndPr>
    <w:sdtContent>
      <w:p w14:paraId="774E751C" w14:textId="244F4AC6" w:rsidR="00CB3E8C" w:rsidRDefault="00CB3E8C" w:rsidP="002176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75C9" w14:textId="105B9427" w:rsidR="00CB3E8C" w:rsidRDefault="001D2518" w:rsidP="002176CC">
    <w:pPr>
      <w:pStyle w:val="Footer"/>
      <w:jc w:val="right"/>
    </w:pPr>
    <w:sdt>
      <w:sdtPr>
        <w:id w:val="1275439467"/>
        <w:docPartObj>
          <w:docPartGallery w:val="Page Numbers (Bottom of Page)"/>
          <w:docPartUnique/>
        </w:docPartObj>
      </w:sdtPr>
      <w:sdtEndPr>
        <w:rPr>
          <w:noProof/>
        </w:rPr>
      </w:sdtEndPr>
      <w:sdtContent>
        <w:r w:rsidR="00CB3E8C">
          <w:fldChar w:fldCharType="begin"/>
        </w:r>
        <w:r w:rsidR="00CB3E8C">
          <w:instrText xml:space="preserve"> PAGE   \* MERGEFORMAT </w:instrText>
        </w:r>
        <w:r w:rsidR="00CB3E8C">
          <w:fldChar w:fldCharType="separate"/>
        </w:r>
        <w:r w:rsidR="00CB3E8C">
          <w:rPr>
            <w:noProof/>
          </w:rPr>
          <w:t>2</w:t>
        </w:r>
        <w:r w:rsidR="00CB3E8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75CA" w14:textId="77777777" w:rsidR="002275F5" w:rsidRDefault="00227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FA75" w14:textId="77777777" w:rsidR="00862C9A" w:rsidRDefault="00862C9A" w:rsidP="00B62DF2">
      <w:pPr>
        <w:spacing w:after="0" w:line="240" w:lineRule="auto"/>
      </w:pPr>
      <w:r>
        <w:separator/>
      </w:r>
    </w:p>
  </w:footnote>
  <w:footnote w:type="continuationSeparator" w:id="0">
    <w:p w14:paraId="3482A036" w14:textId="77777777" w:rsidR="00862C9A" w:rsidRDefault="00862C9A" w:rsidP="00B62DF2">
      <w:pPr>
        <w:spacing w:after="0" w:line="240" w:lineRule="auto"/>
      </w:pPr>
      <w:r>
        <w:continuationSeparator/>
      </w:r>
    </w:p>
  </w:footnote>
  <w:footnote w:type="continuationNotice" w:id="1">
    <w:p w14:paraId="152D29D7" w14:textId="77777777" w:rsidR="00862C9A" w:rsidRDefault="00862C9A">
      <w:pPr>
        <w:spacing w:before="0" w:after="0" w:line="240" w:lineRule="auto"/>
      </w:pPr>
    </w:p>
  </w:footnote>
  <w:footnote w:id="2">
    <w:p w14:paraId="26688F9D" w14:textId="5703216C" w:rsidR="00A03C73" w:rsidRDefault="0057038B">
      <w:pPr>
        <w:pStyle w:val="FootnoteText"/>
      </w:pPr>
      <w:r>
        <w:rPr>
          <w:rStyle w:val="FootnoteReference"/>
        </w:rPr>
        <w:footnoteRef/>
      </w:r>
      <w:r w:rsidR="4DF97D85">
        <w:t xml:space="preserve"> TGA summary </w:t>
      </w:r>
      <w:hyperlink r:id="rId1" w:history="1">
        <w:r w:rsidR="4DF97D85" w:rsidRPr="00EC0296">
          <w:rPr>
            <w:rStyle w:val="Hyperlink"/>
          </w:rPr>
          <w:t>https://www.ebs.tga.gov.au/servlet/xmlmillr6?dbid=ebs/PublicHTML/pdfStore.nsf&amp;docid=400895&amp;agid=%28PrintDetailsPublic%29&amp;actionid=1</w:t>
        </w:r>
      </w:hyperlink>
    </w:p>
  </w:footnote>
  <w:footnote w:id="3">
    <w:p w14:paraId="202020A3" w14:textId="346DE486" w:rsidR="00443988" w:rsidRDefault="00716859">
      <w:pPr>
        <w:pStyle w:val="FootnoteText"/>
      </w:pPr>
      <w:r>
        <w:rPr>
          <w:rStyle w:val="FootnoteReference"/>
        </w:rPr>
        <w:footnoteRef/>
      </w:r>
      <w:r>
        <w:t xml:space="preserve"> D</w:t>
      </w:r>
      <w:r w:rsidRPr="00716859">
        <w:t>reyling, M, et al. (2021). "Newly diagnosed and relapsed follicular lymphoma: ESMO Clinical Practice Guidelines for diagnosis, treatment and follow-up†</w:t>
      </w:r>
      <w:r w:rsidRPr="00716859">
        <w:rPr>
          <w:rFonts w:ascii="Segoe UI Symbol" w:hAnsi="Segoe UI Symbol" w:cs="Segoe UI Symbol"/>
        </w:rPr>
        <w:t>☆</w:t>
      </w:r>
      <w:r w:rsidRPr="00716859">
        <w:t xml:space="preserve">." </w:t>
      </w:r>
      <w:r w:rsidRPr="00855F63">
        <w:rPr>
          <w:i/>
        </w:rPr>
        <w:t>Ann Oncol</w:t>
      </w:r>
      <w:r w:rsidRPr="00716859">
        <w:t xml:space="preserve"> 32(3): 298-308.</w:t>
      </w:r>
    </w:p>
  </w:footnote>
  <w:footnote w:id="4">
    <w:p w14:paraId="4E8AFE1B" w14:textId="0687D894" w:rsidR="00443988" w:rsidRDefault="00443988">
      <w:pPr>
        <w:pStyle w:val="FootnoteText"/>
      </w:pPr>
      <w:r>
        <w:rPr>
          <w:rStyle w:val="FootnoteReference"/>
        </w:rPr>
        <w:footnoteRef/>
      </w:r>
      <w:r>
        <w:t xml:space="preserve"> </w:t>
      </w:r>
      <w:r w:rsidR="000B07E4" w:rsidRPr="000B07E4">
        <w:t xml:space="preserve">Zelenetz AD </w:t>
      </w:r>
      <w:r w:rsidR="000B07E4">
        <w:t>et al</w:t>
      </w:r>
      <w:r w:rsidR="00680061">
        <w:t>.</w:t>
      </w:r>
      <w:r w:rsidR="000B07E4">
        <w:t xml:space="preserve"> (</w:t>
      </w:r>
      <w:r w:rsidR="000B07E4" w:rsidRPr="001E25F2">
        <w:t>2021</w:t>
      </w:r>
      <w:r w:rsidR="000B07E4">
        <w:t>)</w:t>
      </w:r>
      <w:r w:rsidR="000B07E4" w:rsidRPr="001E25F2">
        <w:t xml:space="preserve"> </w:t>
      </w:r>
      <w:r w:rsidR="001E25F2" w:rsidRPr="001E25F2">
        <w:t xml:space="preserve">NCCN Guidelines® Insights: B-Cell Lymphomas, Version 5.2021. </w:t>
      </w:r>
      <w:r w:rsidR="001E25F2" w:rsidRPr="00855F63">
        <w:rPr>
          <w:i/>
        </w:rPr>
        <w:t>J Natl Compr Canc Netw.</w:t>
      </w:r>
      <w:r w:rsidR="001E25F2" w:rsidRPr="001E25F2">
        <w:t xml:space="preserve"> Nov;19(11):1218-1230. doi: 10.6004/jnccn.2021.0054. PMID: 34781267.</w:t>
      </w:r>
    </w:p>
  </w:footnote>
  <w:footnote w:id="5">
    <w:p w14:paraId="427B7340" w14:textId="7CE8E2F6" w:rsidR="008C3A41" w:rsidRDefault="008C3A41">
      <w:pPr>
        <w:pStyle w:val="FootnoteText"/>
      </w:pPr>
      <w:r>
        <w:rPr>
          <w:rStyle w:val="FootnoteReference"/>
        </w:rPr>
        <w:footnoteRef/>
      </w:r>
      <w:r>
        <w:t xml:space="preserve"> </w:t>
      </w:r>
      <w:hyperlink r:id="rId2" w:history="1">
        <w:r w:rsidRPr="008C3A41">
          <w:rPr>
            <w:rStyle w:val="Hyperlink"/>
          </w:rPr>
          <w:t>https://clinicaltrials.gov/study/NCT05371093</w:t>
        </w:r>
      </w:hyperlink>
      <w:r>
        <w:t xml:space="preserve"> </w:t>
      </w:r>
    </w:p>
  </w:footnote>
  <w:footnote w:id="6">
    <w:p w14:paraId="258811D7" w14:textId="3AD383C0" w:rsidR="005213E0" w:rsidRDefault="005213E0">
      <w:pPr>
        <w:pStyle w:val="FootnoteText"/>
      </w:pPr>
      <w:r>
        <w:rPr>
          <w:rStyle w:val="FootnoteReference"/>
        </w:rPr>
        <w:footnoteRef/>
      </w:r>
      <w:r>
        <w:t xml:space="preserve"> </w:t>
      </w:r>
      <w:r w:rsidRPr="005213E0">
        <w:t>http://www.msac.gov.au/internet/msac/publishing.nsf/Content/1587-public</w:t>
      </w:r>
    </w:p>
  </w:footnote>
  <w:footnote w:id="7">
    <w:p w14:paraId="027211F7" w14:textId="0DA1BF5E" w:rsidR="006B7290" w:rsidRDefault="006B7290">
      <w:pPr>
        <w:pStyle w:val="FootnoteText"/>
      </w:pPr>
      <w:r>
        <w:rPr>
          <w:rStyle w:val="FootnoteReference"/>
        </w:rPr>
        <w:footnoteRef/>
      </w:r>
      <w:r>
        <w:t xml:space="preserve"> </w:t>
      </w:r>
      <w:r w:rsidRPr="006B7290">
        <w:t>http://www.msac.gov.au/internet/msac/publishing.nsf/Content/1722.1-public</w:t>
      </w:r>
    </w:p>
  </w:footnote>
  <w:footnote w:id="8">
    <w:p w14:paraId="28129687" w14:textId="2B420940" w:rsidR="00CE0BF5" w:rsidRDefault="00CE0BF5">
      <w:pPr>
        <w:pStyle w:val="FootnoteText"/>
      </w:pPr>
      <w:r>
        <w:rPr>
          <w:rStyle w:val="FootnoteReference"/>
        </w:rPr>
        <w:footnoteRef/>
      </w:r>
      <w:r>
        <w:t xml:space="preserve"> </w:t>
      </w:r>
      <w:r w:rsidR="00D1508C" w:rsidRPr="00D1508C">
        <w:t>http://www.msac.gov.au/internet/msac/publishing.nsf/Content/1587-public</w:t>
      </w:r>
    </w:p>
  </w:footnote>
  <w:footnote w:id="9">
    <w:p w14:paraId="0BFB356E" w14:textId="4ED54D5D" w:rsidR="0011658A" w:rsidRDefault="0011658A">
      <w:pPr>
        <w:pStyle w:val="FootnoteText"/>
      </w:pPr>
      <w:r>
        <w:rPr>
          <w:rStyle w:val="FootnoteReference"/>
        </w:rPr>
        <w:footnoteRef/>
      </w:r>
      <w:r>
        <w:t xml:space="preserve"> </w:t>
      </w:r>
      <w:r w:rsidR="002A0D26">
        <w:t xml:space="preserve">Neelapu SS, et al. (2024) </w:t>
      </w:r>
      <w:r w:rsidR="002E22AF" w:rsidRPr="002E22AF">
        <w:t>Three-year follow-up analysis of axicabtagene ciloleucel in relapsed/refractory indolent non-Hodgkin lymphoma (ZUMA-5)</w:t>
      </w:r>
      <w:r w:rsidR="002E22AF">
        <w:t xml:space="preserve">. </w:t>
      </w:r>
      <w:r w:rsidR="002E3AE8" w:rsidRPr="00EE6E87">
        <w:rPr>
          <w:i/>
          <w:iCs/>
        </w:rPr>
        <w:t>Blood</w:t>
      </w:r>
      <w:r w:rsidR="00B26F68">
        <w:t xml:space="preserve">. </w:t>
      </w:r>
      <w:r w:rsidR="00320AEE">
        <w:t>143(6):496-506</w:t>
      </w:r>
    </w:p>
  </w:footnote>
  <w:footnote w:id="10">
    <w:p w14:paraId="30CDB1A4" w14:textId="6355D862" w:rsidR="002E0EB5" w:rsidRDefault="002E0EB5">
      <w:pPr>
        <w:pStyle w:val="FootnoteText"/>
      </w:pPr>
      <w:r>
        <w:rPr>
          <w:rStyle w:val="FootnoteReference"/>
        </w:rPr>
        <w:footnoteRef/>
      </w:r>
      <w:r>
        <w:t xml:space="preserve"> </w:t>
      </w:r>
      <w:r w:rsidR="00875AF8">
        <w:t>Iacoboni G, et al.</w:t>
      </w:r>
      <w:r w:rsidR="009175DC">
        <w:t xml:space="preserve"> (</w:t>
      </w:r>
      <w:r w:rsidR="009D7F14">
        <w:t xml:space="preserve">2024) </w:t>
      </w:r>
      <w:r w:rsidR="00684B95" w:rsidRPr="00684B95">
        <w:t>Recent Bendamustine Treatment Before Apheresis Has a Negative Impact on Outcomes in Patients With Large B-Cell Lymphoma Receiving Chimeric Antigen Receptor T-Cell Therapy</w:t>
      </w:r>
      <w:r w:rsidR="00684B95">
        <w:t xml:space="preserve">. </w:t>
      </w:r>
      <w:r w:rsidR="00684B95" w:rsidRPr="00EE6E87">
        <w:rPr>
          <w:i/>
          <w:iCs/>
        </w:rPr>
        <w:t>J Clin Oncol</w:t>
      </w:r>
      <w:r w:rsidR="00684B95">
        <w:t xml:space="preserve">. </w:t>
      </w:r>
      <w:r w:rsidR="00024BD6">
        <w:t>42(2):202-217</w:t>
      </w:r>
    </w:p>
  </w:footnote>
  <w:footnote w:id="11">
    <w:p w14:paraId="4EACA071" w14:textId="5B68E4C9" w:rsidR="007B47B2" w:rsidRDefault="007B47B2">
      <w:pPr>
        <w:pStyle w:val="FootnoteText"/>
      </w:pPr>
      <w:r>
        <w:rPr>
          <w:rStyle w:val="FootnoteReference"/>
        </w:rPr>
        <w:footnoteRef/>
      </w:r>
      <w:r>
        <w:t xml:space="preserve"> </w:t>
      </w:r>
      <w:r w:rsidR="001D0C8E">
        <w:t>Tonino SH &amp; Kersten</w:t>
      </w:r>
      <w:r w:rsidR="00BF4174">
        <w:t xml:space="preserve"> MJ. (2024) The quest for a cure in follicular lymphoma. </w:t>
      </w:r>
      <w:r w:rsidR="00BF4174" w:rsidRPr="00EE6E87">
        <w:rPr>
          <w:i/>
          <w:iCs/>
        </w:rPr>
        <w:t>Blood</w:t>
      </w:r>
      <w:r w:rsidR="00B35D1C">
        <w:t>.</w:t>
      </w:r>
      <w:r w:rsidR="003A5F9B">
        <w:t xml:space="preserve"> 142</w:t>
      </w:r>
      <w:r w:rsidR="00EA23CD">
        <w:t>(6):475-476</w:t>
      </w:r>
    </w:p>
  </w:footnote>
  <w:footnote w:id="12">
    <w:p w14:paraId="5B03DB25" w14:textId="58F111EA" w:rsidR="00BA4385" w:rsidRDefault="00BA4385">
      <w:pPr>
        <w:pStyle w:val="FootnoteText"/>
      </w:pPr>
      <w:r>
        <w:rPr>
          <w:rStyle w:val="FootnoteReference"/>
        </w:rPr>
        <w:footnoteRef/>
      </w:r>
      <w:r>
        <w:t xml:space="preserve"> </w:t>
      </w:r>
      <w:r w:rsidR="003378B1">
        <w:t>Overall response rate and objective response</w:t>
      </w:r>
      <w:r w:rsidR="00F3670E">
        <w:t xml:space="preserve"> rate</w:t>
      </w:r>
      <w:r w:rsidR="003378B1">
        <w:t xml:space="preserve"> were used in</w:t>
      </w:r>
      <w:r w:rsidR="00F3670E">
        <w:t>terchangeably</w:t>
      </w:r>
      <w:r w:rsidR="00941D34">
        <w:t xml:space="preserve"> in the </w:t>
      </w:r>
      <w:r w:rsidR="00391AAA">
        <w:t>applicant developed assessment report.</w:t>
      </w:r>
      <w:r w:rsidR="00F3670E">
        <w:t xml:space="preserve"> </w:t>
      </w:r>
    </w:p>
  </w:footnote>
  <w:footnote w:id="13">
    <w:p w14:paraId="4D7EA5C0" w14:textId="04030DA6" w:rsidR="00180D0A" w:rsidRDefault="00180D0A">
      <w:pPr>
        <w:pStyle w:val="FootnoteText"/>
      </w:pPr>
      <w:r>
        <w:rPr>
          <w:rStyle w:val="FootnoteReference"/>
        </w:rPr>
        <w:footnoteRef/>
      </w:r>
      <w:r>
        <w:t xml:space="preserve"> </w:t>
      </w:r>
      <w:r w:rsidRPr="00180D0A">
        <w:t xml:space="preserve">The assessment of the primary efficacy endpoint of ORR in ZUMA-5 in the </w:t>
      </w:r>
      <w:r w:rsidR="00ED3F1B">
        <w:t>i</w:t>
      </w:r>
      <w:r w:rsidRPr="00180D0A">
        <w:t xml:space="preserve">nferential </w:t>
      </w:r>
      <w:r w:rsidR="00ED3F1B">
        <w:t>a</w:t>
      </w:r>
      <w:r w:rsidRPr="00180D0A">
        <w:t xml:space="preserve">nalysis </w:t>
      </w:r>
      <w:r w:rsidR="00ED3F1B">
        <w:t>s</w:t>
      </w:r>
      <w:r w:rsidRPr="00180D0A">
        <w:t>et had 93% power to test the null hypothesis that the ORR was 40% versus the alternative hypothesis that the ORR was 60%, with a 1-sided alpha level of 0.0237.</w:t>
      </w:r>
    </w:p>
  </w:footnote>
  <w:footnote w:id="14">
    <w:p w14:paraId="5DC002A5" w14:textId="03AB7AAA" w:rsidR="00850A36" w:rsidRPr="00BC00B9" w:rsidRDefault="00850A36" w:rsidP="00850A36">
      <w:pPr>
        <w:pStyle w:val="FootnoteText"/>
        <w:rPr>
          <w:lang w:val="en-US"/>
        </w:rPr>
      </w:pPr>
      <w:r>
        <w:rPr>
          <w:rStyle w:val="FootnoteReference"/>
        </w:rPr>
        <w:footnoteRef/>
      </w:r>
      <w:r>
        <w:t xml:space="preserve"> </w:t>
      </w:r>
      <w:r w:rsidRPr="00BC00B9">
        <w:t>Tonino</w:t>
      </w:r>
      <w:r w:rsidR="00EF7B44">
        <w:t xml:space="preserve"> SH</w:t>
      </w:r>
      <w:r w:rsidR="003672C5">
        <w:t xml:space="preserve"> &amp;</w:t>
      </w:r>
      <w:r w:rsidRPr="00BC00B9">
        <w:t xml:space="preserve"> Kersten</w:t>
      </w:r>
      <w:r w:rsidR="00EF7B44">
        <w:t xml:space="preserve"> M</w:t>
      </w:r>
      <w:r w:rsidR="0069512C">
        <w:t>J (2024)</w:t>
      </w:r>
      <w:r w:rsidRPr="00BC00B9">
        <w:t xml:space="preserve"> The quest for a cure in follicular lymphoma. </w:t>
      </w:r>
      <w:r w:rsidRPr="00EE6E87">
        <w:rPr>
          <w:i/>
          <w:iCs/>
        </w:rPr>
        <w:t>Blood</w:t>
      </w:r>
      <w:r w:rsidR="00EF750C">
        <w:t>.</w:t>
      </w:r>
      <w:r w:rsidRPr="00BC00B9">
        <w:t xml:space="preserve">  143(6):475–476. doi: https://doi.org/10.1182/blood.2023022796</w:t>
      </w:r>
    </w:p>
  </w:footnote>
  <w:footnote w:id="15">
    <w:p w14:paraId="5EE1E869" w14:textId="627B7806" w:rsidR="00576523" w:rsidRPr="00576523" w:rsidDel="001726E9" w:rsidRDefault="001726E9" w:rsidP="00850A36">
      <w:pPr>
        <w:pStyle w:val="FootnoteText"/>
      </w:pPr>
      <w:r>
        <w:rPr>
          <w:rStyle w:val="FootnoteReference"/>
        </w:rPr>
        <w:footnoteRef/>
      </w:r>
      <w:r>
        <w:t xml:space="preserve"> Assouline S, </w:t>
      </w:r>
      <w:r w:rsidR="00C12E5F">
        <w:t>et al</w:t>
      </w:r>
      <w:r>
        <w:t>.</w:t>
      </w:r>
      <w:r w:rsidR="00040D81">
        <w:t xml:space="preserve"> (2022)</w:t>
      </w:r>
      <w:r>
        <w:t xml:space="preserve"> Validity of event-free survival as a surrogate endpoint in haematological malignancy: Review of the literature and health technology assessments. </w:t>
      </w:r>
      <w:r w:rsidRPr="00EE6E87">
        <w:rPr>
          <w:i/>
          <w:iCs/>
        </w:rPr>
        <w:t>Crit Rev Oncol Hematol</w:t>
      </w:r>
      <w:r>
        <w:t>. 175:103711. doi: 10.1016/j.critrevonc.2022.103711.</w:t>
      </w:r>
    </w:p>
  </w:footnote>
  <w:footnote w:id="16">
    <w:p w14:paraId="119446E3" w14:textId="1694E32F" w:rsidR="007F3448" w:rsidRPr="007F3448" w:rsidRDefault="007F3448" w:rsidP="007F3448">
      <w:pPr>
        <w:pStyle w:val="FootnoteText"/>
      </w:pPr>
      <w:r>
        <w:rPr>
          <w:rStyle w:val="FootnoteReference"/>
        </w:rPr>
        <w:footnoteRef/>
      </w:r>
      <w:r>
        <w:t xml:space="preserve"> Lewis G. Utility elicitation in patients with follicular lymphoma. Unpublished report by Oxford Outcomes prepared for Roche UK 2005.</w:t>
      </w:r>
    </w:p>
  </w:footnote>
  <w:footnote w:id="17">
    <w:p w14:paraId="77AA14F6" w14:textId="2A30BC5B" w:rsidR="007F3448" w:rsidRPr="007F3448" w:rsidRDefault="007F3448" w:rsidP="007F3448">
      <w:pPr>
        <w:pStyle w:val="FootnoteText"/>
      </w:pPr>
      <w:r>
        <w:rPr>
          <w:rStyle w:val="FootnoteReference"/>
        </w:rPr>
        <w:footnoteRef/>
      </w:r>
      <w:r>
        <w:t xml:space="preserve"> Wild D, </w:t>
      </w:r>
      <w:r w:rsidR="00C400A4">
        <w:t>et al</w:t>
      </w:r>
      <w:r>
        <w:t>. Utility elicitation in patients with follicular lymphoma. 2006. International Society for Pharmaeconomics and Outcomes Research (ISPOR), 9th Annual European Congress, Copenhagen, Denmark, 28–31 October 2006.</w:t>
      </w:r>
    </w:p>
  </w:footnote>
  <w:footnote w:id="18">
    <w:p w14:paraId="69D2C150" w14:textId="169BF14B" w:rsidR="00850A36" w:rsidRPr="00B55B70" w:rsidRDefault="00850A36" w:rsidP="00850A36">
      <w:pPr>
        <w:pStyle w:val="FootnoteText"/>
        <w:rPr>
          <w:lang w:val="en-US"/>
        </w:rPr>
      </w:pPr>
      <w:r>
        <w:rPr>
          <w:rStyle w:val="FootnoteReference"/>
        </w:rPr>
        <w:footnoteRef/>
      </w:r>
      <w:r>
        <w:t xml:space="preserve"> </w:t>
      </w:r>
      <w:r w:rsidRPr="00B55B70">
        <w:t>Cher</w:t>
      </w:r>
      <w:r w:rsidR="00C400A4">
        <w:t xml:space="preserve"> BP</w:t>
      </w:r>
      <w:r w:rsidRPr="00B55B70">
        <w:t xml:space="preserve">, </w:t>
      </w:r>
      <w:r w:rsidR="00C400A4">
        <w:t>et al.</w:t>
      </w:r>
      <w:r w:rsidRPr="00B55B70">
        <w:t xml:space="preserve"> (2020) Cost utility analysis of tisagenlecleucel vs salvage chemotherapy in the treatment of relapsed/refractory diffuse large B-cell lymphoma from Singapore’s healthcare system perspective</w:t>
      </w:r>
      <w:r w:rsidR="00C400A4">
        <w:t>.</w:t>
      </w:r>
      <w:r w:rsidRPr="00B55B70">
        <w:t xml:space="preserve"> </w:t>
      </w:r>
      <w:r w:rsidR="00B323C8">
        <w:t>J</w:t>
      </w:r>
      <w:r w:rsidRPr="00B55B70">
        <w:t xml:space="preserve"> Med Econ</w:t>
      </w:r>
      <w:r w:rsidR="00CA16D9">
        <w:t>.</w:t>
      </w:r>
      <w:r w:rsidRPr="00B55B70">
        <w:t xml:space="preserve"> 23</w:t>
      </w:r>
      <w:r w:rsidR="00C400A4">
        <w:t>(</w:t>
      </w:r>
      <w:r w:rsidRPr="00B55B70">
        <w:t>11</w:t>
      </w:r>
      <w:r w:rsidR="00C400A4">
        <w:t>):</w:t>
      </w:r>
      <w:r w:rsidRPr="00B55B70">
        <w:t>1321-1329, DOI: 10.1080/13696998.2020.1808981</w:t>
      </w:r>
    </w:p>
  </w:footnote>
  <w:footnote w:id="19">
    <w:p w14:paraId="0DE90F54" w14:textId="76840952" w:rsidR="00A9155A" w:rsidRPr="002176CC" w:rsidRDefault="000C6DC2" w:rsidP="00F37017">
      <w:pPr>
        <w:pStyle w:val="FootnoteText"/>
        <w:spacing w:before="0"/>
      </w:pPr>
      <w:r w:rsidRPr="00F37017">
        <w:rPr>
          <w:rStyle w:val="FootnoteReference"/>
          <w:color w:val="4472C4" w:themeColor="accent5"/>
        </w:rPr>
        <w:footnoteRef/>
      </w:r>
      <w:r>
        <w:t xml:space="preserve"> </w:t>
      </w:r>
      <w:hyperlink r:id="rId3" w:history="1">
        <w:r w:rsidR="00A9155A" w:rsidRPr="008D272B">
          <w:rPr>
            <w:rStyle w:val="Hyperlink"/>
          </w:rPr>
          <w:t>https://www.nice.org.uk/guidance/ta894/chapter/1-Recommendations</w:t>
        </w:r>
      </w:hyperlink>
    </w:p>
  </w:footnote>
  <w:footnote w:id="20">
    <w:p w14:paraId="018E0C8E" w14:textId="25DECDAD" w:rsidR="00491A0E" w:rsidRDefault="001D2518" w:rsidP="007963D4">
      <w:pPr>
        <w:pStyle w:val="FootnoteText"/>
        <w:spacing w:before="0"/>
      </w:pPr>
      <w:hyperlink r:id="rId4" w:history="1">
        <w:r w:rsidR="00A9155A" w:rsidRPr="00A9155A">
          <w:rPr>
            <w:rStyle w:val="Hyperlink"/>
            <w:vertAlign w:val="superscript"/>
          </w:rPr>
          <w:footnoteRef/>
        </w:r>
        <w:r w:rsidR="00A9155A" w:rsidRPr="00A9155A">
          <w:rPr>
            <w:rStyle w:val="Hyperlink"/>
          </w:rPr>
          <w:t xml:space="preserve"> https://www.cadth.ca/sites/default/files/DRR/2023/</w:t>
        </w:r>
      </w:hyperlink>
    </w:p>
  </w:footnote>
  <w:footnote w:id="21">
    <w:p w14:paraId="5B946410" w14:textId="77777777" w:rsidR="002176CC" w:rsidRDefault="002176CC" w:rsidP="002176CC">
      <w:pPr>
        <w:pStyle w:val="FootnoteText"/>
      </w:pPr>
      <w:r>
        <w:rPr>
          <w:rStyle w:val="FootnoteReference"/>
        </w:rPr>
        <w:footnoteRef/>
      </w:r>
      <w:r>
        <w:t xml:space="preserve"> FDA Resources for Information: Approved Drugs (2021) FDA grants accelerated approval to axicabtagene ciloleucel for relapsed or refractory follicular lymphoma - </w:t>
      </w:r>
      <w:r w:rsidRPr="003F7E29">
        <w:t>https://www.fda.gov/drugs/resources-information-approved-drugs/fda-grants-accelerated-approval-axicabtagene-ciloleucel-relapsed-or-refractory-follicular-lymphoma</w:t>
      </w:r>
    </w:p>
  </w:footnote>
  <w:footnote w:id="22">
    <w:p w14:paraId="66CFACC0" w14:textId="77777777" w:rsidR="002176CC" w:rsidRDefault="002176CC" w:rsidP="002176CC">
      <w:pPr>
        <w:pStyle w:val="FootnoteText"/>
      </w:pPr>
      <w:r>
        <w:rPr>
          <w:rStyle w:val="FootnoteReference"/>
        </w:rPr>
        <w:footnoteRef/>
      </w:r>
      <w:r>
        <w:t xml:space="preserve"> EMA Medicines (2024) Yescarta - </w:t>
      </w:r>
      <w:r w:rsidRPr="0015064C">
        <w:t>https://www.ema.europa.eu/en/medicines/human/EPAR/yescarta</w:t>
      </w:r>
    </w:p>
  </w:footnote>
  <w:footnote w:id="23">
    <w:p w14:paraId="48233404" w14:textId="77777777" w:rsidR="002176CC" w:rsidRDefault="002176CC" w:rsidP="002176CC">
      <w:pPr>
        <w:pStyle w:val="FootnoteText"/>
      </w:pPr>
      <w:r>
        <w:rPr>
          <w:rStyle w:val="FootnoteReference"/>
        </w:rPr>
        <w:footnoteRef/>
      </w:r>
      <w:r>
        <w:t xml:space="preserve"> CADTH Reimbursement Recommendation: Axicabtagene ciloleucel (Yerscarta). Canadian Journal of Health Technologies. November 2023, 3(11) - </w:t>
      </w:r>
      <w:r w:rsidRPr="00452B20">
        <w:t>https://www.cadth.ca/axicabtagene-ciloleucel-0</w:t>
      </w:r>
    </w:p>
  </w:footnote>
  <w:footnote w:id="24">
    <w:p w14:paraId="098F575F" w14:textId="77777777" w:rsidR="002176CC" w:rsidRDefault="002176CC" w:rsidP="002176CC">
      <w:pPr>
        <w:pStyle w:val="FootnoteText"/>
      </w:pPr>
      <w:r>
        <w:rPr>
          <w:rStyle w:val="FootnoteReference"/>
        </w:rPr>
        <w:footnoteRef/>
      </w:r>
      <w:r>
        <w:t xml:space="preserve"> NICE Technical appraisal guidance TA894 (2023) </w:t>
      </w:r>
      <w:r w:rsidRPr="009716D7">
        <w:t>Axicabtagene ciloleucel for treating relapsed or refractory follicular lymphoma</w:t>
      </w:r>
      <w:r>
        <w:t xml:space="preserve"> - </w:t>
      </w:r>
      <w:r w:rsidRPr="009716D7">
        <w:t>https://www.nice.org.uk/guidance/ta894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7B49" w14:textId="77777777" w:rsidR="002275F5" w:rsidRDefault="00227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AB2E" w14:textId="77777777" w:rsidR="002275F5" w:rsidRDefault="00227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7E47" w14:textId="77777777" w:rsidR="002275F5" w:rsidRDefault="00227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B7"/>
    <w:multiLevelType w:val="hybridMultilevel"/>
    <w:tmpl w:val="D4682C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C21DFC"/>
    <w:multiLevelType w:val="hybridMultilevel"/>
    <w:tmpl w:val="F6E68A7C"/>
    <w:lvl w:ilvl="0" w:tplc="A6C2E3B4">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B4E2B"/>
    <w:multiLevelType w:val="hybridMultilevel"/>
    <w:tmpl w:val="2A4AD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50ECE"/>
    <w:multiLevelType w:val="hybridMultilevel"/>
    <w:tmpl w:val="25BC1190"/>
    <w:lvl w:ilvl="0" w:tplc="E4006708">
      <w:start w:val="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C78D7"/>
    <w:multiLevelType w:val="hybridMultilevel"/>
    <w:tmpl w:val="20326F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D187B"/>
    <w:multiLevelType w:val="hybridMultilevel"/>
    <w:tmpl w:val="AF7E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82176"/>
    <w:multiLevelType w:val="hybridMultilevel"/>
    <w:tmpl w:val="D09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9238F"/>
    <w:multiLevelType w:val="hybridMultilevel"/>
    <w:tmpl w:val="A3660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33967"/>
    <w:multiLevelType w:val="hybridMultilevel"/>
    <w:tmpl w:val="D452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41346"/>
    <w:multiLevelType w:val="hybridMultilevel"/>
    <w:tmpl w:val="0E30AD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A76387"/>
    <w:multiLevelType w:val="hybridMultilevel"/>
    <w:tmpl w:val="FE2CA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F3096"/>
    <w:multiLevelType w:val="hybridMultilevel"/>
    <w:tmpl w:val="54E084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1823B26"/>
    <w:multiLevelType w:val="hybridMultilevel"/>
    <w:tmpl w:val="BD6EAC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33854BD"/>
    <w:multiLevelType w:val="hybridMultilevel"/>
    <w:tmpl w:val="298E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DB24D6"/>
    <w:multiLevelType w:val="hybridMultilevel"/>
    <w:tmpl w:val="B962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C881F31"/>
    <w:multiLevelType w:val="hybridMultilevel"/>
    <w:tmpl w:val="CA86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C31DE9"/>
    <w:multiLevelType w:val="hybridMultilevel"/>
    <w:tmpl w:val="6C5A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15797C"/>
    <w:multiLevelType w:val="hybridMultilevel"/>
    <w:tmpl w:val="D12A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026E71"/>
    <w:multiLevelType w:val="hybridMultilevel"/>
    <w:tmpl w:val="2C3C4BC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F4049D2"/>
    <w:multiLevelType w:val="hybridMultilevel"/>
    <w:tmpl w:val="77D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89C45A5"/>
    <w:multiLevelType w:val="hybridMultilevel"/>
    <w:tmpl w:val="0B38E4EE"/>
    <w:lvl w:ilvl="0" w:tplc="08090001">
      <w:start w:val="1"/>
      <w:numFmt w:val="bullet"/>
      <w:lvlText w:val=""/>
      <w:lvlJc w:val="left"/>
      <w:pPr>
        <w:ind w:left="720" w:hanging="360"/>
      </w:pPr>
      <w:rPr>
        <w:rFonts w:ascii="Symbol" w:hAnsi="Symbol" w:hint="default"/>
      </w:rPr>
    </w:lvl>
    <w:lvl w:ilvl="1" w:tplc="32F2ED1E">
      <w:numFmt w:val="bullet"/>
      <w:lvlText w:val="-"/>
      <w:lvlJc w:val="left"/>
      <w:pPr>
        <w:ind w:left="1440" w:hanging="3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9006B"/>
    <w:multiLevelType w:val="hybridMultilevel"/>
    <w:tmpl w:val="4AC4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F50A32"/>
    <w:multiLevelType w:val="hybridMultilevel"/>
    <w:tmpl w:val="AB4E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45A3F"/>
    <w:multiLevelType w:val="hybridMultilevel"/>
    <w:tmpl w:val="B56C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8F1B40"/>
    <w:multiLevelType w:val="hybridMultilevel"/>
    <w:tmpl w:val="275C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BB09DD"/>
    <w:multiLevelType w:val="hybridMultilevel"/>
    <w:tmpl w:val="2A96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1E1E02"/>
    <w:multiLevelType w:val="hybridMultilevel"/>
    <w:tmpl w:val="C4E4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3A503A"/>
    <w:multiLevelType w:val="hybridMultilevel"/>
    <w:tmpl w:val="1A326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64336D"/>
    <w:multiLevelType w:val="hybridMultilevel"/>
    <w:tmpl w:val="1E52907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1" w15:restartNumberingAfterBreak="0">
    <w:nsid w:val="671B4A46"/>
    <w:multiLevelType w:val="hybridMultilevel"/>
    <w:tmpl w:val="33E4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360B7"/>
    <w:multiLevelType w:val="hybridMultilevel"/>
    <w:tmpl w:val="2388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70540B"/>
    <w:multiLevelType w:val="hybridMultilevel"/>
    <w:tmpl w:val="F9B0947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41A5B64"/>
    <w:multiLevelType w:val="hybridMultilevel"/>
    <w:tmpl w:val="3982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FE37CC"/>
    <w:multiLevelType w:val="hybridMultilevel"/>
    <w:tmpl w:val="B8845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6B7ACD"/>
    <w:multiLevelType w:val="hybridMultilevel"/>
    <w:tmpl w:val="A8CA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6249F"/>
    <w:multiLevelType w:val="hybridMultilevel"/>
    <w:tmpl w:val="5CA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26"/>
  </w:num>
  <w:num w:numId="2" w16cid:durableId="1270162788">
    <w:abstractNumId w:val="49"/>
  </w:num>
  <w:num w:numId="3" w16cid:durableId="1754930659">
    <w:abstractNumId w:val="6"/>
  </w:num>
  <w:num w:numId="4" w16cid:durableId="410388863">
    <w:abstractNumId w:val="17"/>
  </w:num>
  <w:num w:numId="5" w16cid:durableId="1821774551">
    <w:abstractNumId w:val="46"/>
  </w:num>
  <w:num w:numId="6" w16cid:durableId="758334604">
    <w:abstractNumId w:val="18"/>
  </w:num>
  <w:num w:numId="7" w16cid:durableId="1414619933">
    <w:abstractNumId w:val="20"/>
  </w:num>
  <w:num w:numId="8" w16cid:durableId="747844684">
    <w:abstractNumId w:val="24"/>
  </w:num>
  <w:num w:numId="9" w16cid:durableId="379863140">
    <w:abstractNumId w:val="37"/>
  </w:num>
  <w:num w:numId="10" w16cid:durableId="695809152">
    <w:abstractNumId w:val="28"/>
  </w:num>
  <w:num w:numId="11" w16cid:durableId="2109806881">
    <w:abstractNumId w:val="1"/>
  </w:num>
  <w:num w:numId="12" w16cid:durableId="382565020">
    <w:abstractNumId w:val="25"/>
  </w:num>
  <w:num w:numId="13" w16cid:durableId="1180662619">
    <w:abstractNumId w:val="30"/>
  </w:num>
  <w:num w:numId="14" w16cid:durableId="512111593">
    <w:abstractNumId w:val="3"/>
  </w:num>
  <w:num w:numId="15" w16cid:durableId="532426035">
    <w:abstractNumId w:val="21"/>
  </w:num>
  <w:num w:numId="16" w16cid:durableId="1649476126">
    <w:abstractNumId w:val="44"/>
  </w:num>
  <w:num w:numId="17" w16cid:durableId="196243285">
    <w:abstractNumId w:val="36"/>
  </w:num>
  <w:num w:numId="18" w16cid:durableId="73281885">
    <w:abstractNumId w:val="45"/>
  </w:num>
  <w:num w:numId="19" w16cid:durableId="341977721">
    <w:abstractNumId w:val="5"/>
  </w:num>
  <w:num w:numId="20" w16cid:durableId="229317086">
    <w:abstractNumId w:val="11"/>
  </w:num>
  <w:num w:numId="21" w16cid:durableId="1601528423">
    <w:abstractNumId w:val="32"/>
  </w:num>
  <w:num w:numId="22" w16cid:durableId="926815094">
    <w:abstractNumId w:val="35"/>
  </w:num>
  <w:num w:numId="23" w16cid:durableId="129830509">
    <w:abstractNumId w:val="23"/>
  </w:num>
  <w:num w:numId="24" w16cid:durableId="408961938">
    <w:abstractNumId w:val="12"/>
  </w:num>
  <w:num w:numId="25" w16cid:durableId="22220037">
    <w:abstractNumId w:val="22"/>
  </w:num>
  <w:num w:numId="26" w16cid:durableId="1830368271">
    <w:abstractNumId w:val="34"/>
  </w:num>
  <w:num w:numId="27" w16cid:durableId="1358769599">
    <w:abstractNumId w:val="15"/>
  </w:num>
  <w:num w:numId="28" w16cid:durableId="45181178">
    <w:abstractNumId w:val="0"/>
  </w:num>
  <w:num w:numId="29" w16cid:durableId="1871601085">
    <w:abstractNumId w:val="2"/>
  </w:num>
  <w:num w:numId="30" w16cid:durableId="770472034">
    <w:abstractNumId w:val="13"/>
  </w:num>
  <w:num w:numId="31" w16cid:durableId="726952707">
    <w:abstractNumId w:val="10"/>
  </w:num>
  <w:num w:numId="32" w16cid:durableId="603802355">
    <w:abstractNumId w:val="27"/>
  </w:num>
  <w:num w:numId="33" w16cid:durableId="273904609">
    <w:abstractNumId w:val="33"/>
  </w:num>
  <w:num w:numId="34" w16cid:durableId="843521273">
    <w:abstractNumId w:val="19"/>
  </w:num>
  <w:num w:numId="35" w16cid:durableId="815799206">
    <w:abstractNumId w:val="47"/>
  </w:num>
  <w:num w:numId="36" w16cid:durableId="735250550">
    <w:abstractNumId w:val="29"/>
  </w:num>
  <w:num w:numId="37" w16cid:durableId="569996596">
    <w:abstractNumId w:val="16"/>
  </w:num>
  <w:num w:numId="38" w16cid:durableId="580146034">
    <w:abstractNumId w:val="7"/>
  </w:num>
  <w:num w:numId="39" w16cid:durableId="734278684">
    <w:abstractNumId w:val="41"/>
  </w:num>
  <w:num w:numId="40" w16cid:durableId="465047813">
    <w:abstractNumId w:val="9"/>
  </w:num>
  <w:num w:numId="41" w16cid:durableId="1880245040">
    <w:abstractNumId w:val="31"/>
  </w:num>
  <w:num w:numId="42" w16cid:durableId="415202705">
    <w:abstractNumId w:val="48"/>
  </w:num>
  <w:num w:numId="43" w16cid:durableId="750664446">
    <w:abstractNumId w:val="38"/>
  </w:num>
  <w:num w:numId="44" w16cid:durableId="2001302468">
    <w:abstractNumId w:val="43"/>
  </w:num>
  <w:num w:numId="45" w16cid:durableId="1500077548">
    <w:abstractNumId w:val="40"/>
  </w:num>
  <w:num w:numId="46" w16cid:durableId="1362321023">
    <w:abstractNumId w:val="8"/>
  </w:num>
  <w:num w:numId="47" w16cid:durableId="636181448">
    <w:abstractNumId w:val="39"/>
  </w:num>
  <w:num w:numId="48" w16cid:durableId="2028098548">
    <w:abstractNumId w:val="42"/>
  </w:num>
  <w:num w:numId="49" w16cid:durableId="868953241">
    <w:abstractNumId w:val="14"/>
  </w:num>
  <w:num w:numId="50" w16cid:durableId="70209198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30F"/>
    <w:rsid w:val="000005A0"/>
    <w:rsid w:val="000005A5"/>
    <w:rsid w:val="00000CE9"/>
    <w:rsid w:val="0000109A"/>
    <w:rsid w:val="00001A50"/>
    <w:rsid w:val="00001AE6"/>
    <w:rsid w:val="00001D55"/>
    <w:rsid w:val="00001FE2"/>
    <w:rsid w:val="0000203A"/>
    <w:rsid w:val="0000322A"/>
    <w:rsid w:val="00003A8D"/>
    <w:rsid w:val="00003F4E"/>
    <w:rsid w:val="0000418B"/>
    <w:rsid w:val="0000453B"/>
    <w:rsid w:val="0000479D"/>
    <w:rsid w:val="0000494A"/>
    <w:rsid w:val="00004A77"/>
    <w:rsid w:val="00004D69"/>
    <w:rsid w:val="00004F7F"/>
    <w:rsid w:val="000054C9"/>
    <w:rsid w:val="0000609F"/>
    <w:rsid w:val="00006BCD"/>
    <w:rsid w:val="00006CCE"/>
    <w:rsid w:val="000070B8"/>
    <w:rsid w:val="00007969"/>
    <w:rsid w:val="00007DC9"/>
    <w:rsid w:val="00007EE0"/>
    <w:rsid w:val="00010671"/>
    <w:rsid w:val="0001122C"/>
    <w:rsid w:val="00011383"/>
    <w:rsid w:val="00011476"/>
    <w:rsid w:val="00011568"/>
    <w:rsid w:val="00011BFC"/>
    <w:rsid w:val="00011D97"/>
    <w:rsid w:val="00011EDC"/>
    <w:rsid w:val="00011EEC"/>
    <w:rsid w:val="00011EFA"/>
    <w:rsid w:val="000125BC"/>
    <w:rsid w:val="00012749"/>
    <w:rsid w:val="000128DA"/>
    <w:rsid w:val="000129BE"/>
    <w:rsid w:val="00013EC7"/>
    <w:rsid w:val="000142B3"/>
    <w:rsid w:val="00014421"/>
    <w:rsid w:val="000145DC"/>
    <w:rsid w:val="00014974"/>
    <w:rsid w:val="0001546C"/>
    <w:rsid w:val="00015C30"/>
    <w:rsid w:val="00015E7D"/>
    <w:rsid w:val="00015F62"/>
    <w:rsid w:val="00016073"/>
    <w:rsid w:val="0001657D"/>
    <w:rsid w:val="000165C4"/>
    <w:rsid w:val="00016F0F"/>
    <w:rsid w:val="00017A96"/>
    <w:rsid w:val="000200FF"/>
    <w:rsid w:val="00020AAA"/>
    <w:rsid w:val="00020C6B"/>
    <w:rsid w:val="00021094"/>
    <w:rsid w:val="000214C7"/>
    <w:rsid w:val="00021725"/>
    <w:rsid w:val="00021828"/>
    <w:rsid w:val="000218A1"/>
    <w:rsid w:val="000225BE"/>
    <w:rsid w:val="0002273C"/>
    <w:rsid w:val="000228B8"/>
    <w:rsid w:val="00023758"/>
    <w:rsid w:val="0002381B"/>
    <w:rsid w:val="00023EAF"/>
    <w:rsid w:val="000245C7"/>
    <w:rsid w:val="000245DB"/>
    <w:rsid w:val="0002478C"/>
    <w:rsid w:val="00024B0C"/>
    <w:rsid w:val="00024BD6"/>
    <w:rsid w:val="00024EA5"/>
    <w:rsid w:val="00024F47"/>
    <w:rsid w:val="00025F49"/>
    <w:rsid w:val="00025FCB"/>
    <w:rsid w:val="000262C0"/>
    <w:rsid w:val="00026B4F"/>
    <w:rsid w:val="00026D6F"/>
    <w:rsid w:val="0002755F"/>
    <w:rsid w:val="00027D50"/>
    <w:rsid w:val="00027E44"/>
    <w:rsid w:val="0003015A"/>
    <w:rsid w:val="00030230"/>
    <w:rsid w:val="000304B0"/>
    <w:rsid w:val="00030EE8"/>
    <w:rsid w:val="000311A6"/>
    <w:rsid w:val="0003141A"/>
    <w:rsid w:val="0003170F"/>
    <w:rsid w:val="000317AF"/>
    <w:rsid w:val="00031949"/>
    <w:rsid w:val="00031AFF"/>
    <w:rsid w:val="00032F08"/>
    <w:rsid w:val="00033464"/>
    <w:rsid w:val="00033467"/>
    <w:rsid w:val="0003363B"/>
    <w:rsid w:val="000339BE"/>
    <w:rsid w:val="00034076"/>
    <w:rsid w:val="0003423A"/>
    <w:rsid w:val="000342FD"/>
    <w:rsid w:val="0003477F"/>
    <w:rsid w:val="00034AD0"/>
    <w:rsid w:val="00035258"/>
    <w:rsid w:val="000359F3"/>
    <w:rsid w:val="00035ABB"/>
    <w:rsid w:val="00036AD8"/>
    <w:rsid w:val="00036C85"/>
    <w:rsid w:val="00037037"/>
    <w:rsid w:val="00037142"/>
    <w:rsid w:val="000371FD"/>
    <w:rsid w:val="00037302"/>
    <w:rsid w:val="000373DE"/>
    <w:rsid w:val="00037A27"/>
    <w:rsid w:val="00037C1D"/>
    <w:rsid w:val="0004005D"/>
    <w:rsid w:val="00040731"/>
    <w:rsid w:val="00040ADF"/>
    <w:rsid w:val="00040D81"/>
    <w:rsid w:val="00040DD3"/>
    <w:rsid w:val="00040FB4"/>
    <w:rsid w:val="00041315"/>
    <w:rsid w:val="0004134D"/>
    <w:rsid w:val="0004178C"/>
    <w:rsid w:val="00041F5D"/>
    <w:rsid w:val="00042174"/>
    <w:rsid w:val="000421A9"/>
    <w:rsid w:val="000427FB"/>
    <w:rsid w:val="00042BFF"/>
    <w:rsid w:val="00044160"/>
    <w:rsid w:val="000443A6"/>
    <w:rsid w:val="000449D1"/>
    <w:rsid w:val="00044B2B"/>
    <w:rsid w:val="00044F63"/>
    <w:rsid w:val="0004505F"/>
    <w:rsid w:val="00045541"/>
    <w:rsid w:val="00045B8D"/>
    <w:rsid w:val="00045CC5"/>
    <w:rsid w:val="000462C8"/>
    <w:rsid w:val="0004661C"/>
    <w:rsid w:val="00046B6A"/>
    <w:rsid w:val="00046D37"/>
    <w:rsid w:val="000472D4"/>
    <w:rsid w:val="000479AD"/>
    <w:rsid w:val="00047D44"/>
    <w:rsid w:val="00047DB7"/>
    <w:rsid w:val="00047F42"/>
    <w:rsid w:val="000509EE"/>
    <w:rsid w:val="00050EBB"/>
    <w:rsid w:val="00051D26"/>
    <w:rsid w:val="00051FD1"/>
    <w:rsid w:val="000522A8"/>
    <w:rsid w:val="00052AA1"/>
    <w:rsid w:val="00052CE1"/>
    <w:rsid w:val="00052DB7"/>
    <w:rsid w:val="00052DD3"/>
    <w:rsid w:val="00052E2A"/>
    <w:rsid w:val="00052FAF"/>
    <w:rsid w:val="0005326D"/>
    <w:rsid w:val="0005329E"/>
    <w:rsid w:val="00053F6C"/>
    <w:rsid w:val="00054018"/>
    <w:rsid w:val="00054ECD"/>
    <w:rsid w:val="0005521F"/>
    <w:rsid w:val="000553E2"/>
    <w:rsid w:val="000557F7"/>
    <w:rsid w:val="000558FF"/>
    <w:rsid w:val="000565CC"/>
    <w:rsid w:val="00056999"/>
    <w:rsid w:val="000570F0"/>
    <w:rsid w:val="00060112"/>
    <w:rsid w:val="000602D7"/>
    <w:rsid w:val="000602EB"/>
    <w:rsid w:val="00060420"/>
    <w:rsid w:val="00060753"/>
    <w:rsid w:val="000610A4"/>
    <w:rsid w:val="000616F7"/>
    <w:rsid w:val="00061C77"/>
    <w:rsid w:val="000630D5"/>
    <w:rsid w:val="0006339C"/>
    <w:rsid w:val="0006363D"/>
    <w:rsid w:val="00063697"/>
    <w:rsid w:val="00063976"/>
    <w:rsid w:val="00064164"/>
    <w:rsid w:val="00064300"/>
    <w:rsid w:val="00064783"/>
    <w:rsid w:val="000647C2"/>
    <w:rsid w:val="00065154"/>
    <w:rsid w:val="00066BD1"/>
    <w:rsid w:val="00066E62"/>
    <w:rsid w:val="00067DEB"/>
    <w:rsid w:val="000701F1"/>
    <w:rsid w:val="0007021F"/>
    <w:rsid w:val="000709A0"/>
    <w:rsid w:val="000709E6"/>
    <w:rsid w:val="00070B48"/>
    <w:rsid w:val="0007121E"/>
    <w:rsid w:val="00071634"/>
    <w:rsid w:val="00071660"/>
    <w:rsid w:val="000726EA"/>
    <w:rsid w:val="000729BF"/>
    <w:rsid w:val="00072B04"/>
    <w:rsid w:val="0007352C"/>
    <w:rsid w:val="00073A55"/>
    <w:rsid w:val="00073E1E"/>
    <w:rsid w:val="00074199"/>
    <w:rsid w:val="00074260"/>
    <w:rsid w:val="000747AA"/>
    <w:rsid w:val="00074AE3"/>
    <w:rsid w:val="0007509F"/>
    <w:rsid w:val="00075309"/>
    <w:rsid w:val="000758C2"/>
    <w:rsid w:val="00075F93"/>
    <w:rsid w:val="000767EC"/>
    <w:rsid w:val="00076A00"/>
    <w:rsid w:val="00076F1F"/>
    <w:rsid w:val="00076FB8"/>
    <w:rsid w:val="000777F8"/>
    <w:rsid w:val="00077D46"/>
    <w:rsid w:val="00077FED"/>
    <w:rsid w:val="00080197"/>
    <w:rsid w:val="00080241"/>
    <w:rsid w:val="00080329"/>
    <w:rsid w:val="00080E94"/>
    <w:rsid w:val="00081778"/>
    <w:rsid w:val="00081A42"/>
    <w:rsid w:val="00081E99"/>
    <w:rsid w:val="00082696"/>
    <w:rsid w:val="00082C96"/>
    <w:rsid w:val="000847F3"/>
    <w:rsid w:val="00084A4A"/>
    <w:rsid w:val="00084F8E"/>
    <w:rsid w:val="000858E9"/>
    <w:rsid w:val="00085D69"/>
    <w:rsid w:val="00085E9C"/>
    <w:rsid w:val="00085ED2"/>
    <w:rsid w:val="00085F12"/>
    <w:rsid w:val="0008654B"/>
    <w:rsid w:val="0008680A"/>
    <w:rsid w:val="00086933"/>
    <w:rsid w:val="00086DA0"/>
    <w:rsid w:val="000870B6"/>
    <w:rsid w:val="00087A9B"/>
    <w:rsid w:val="00087C1E"/>
    <w:rsid w:val="0008A516"/>
    <w:rsid w:val="000901FF"/>
    <w:rsid w:val="000905C7"/>
    <w:rsid w:val="00090613"/>
    <w:rsid w:val="00090965"/>
    <w:rsid w:val="00090AF2"/>
    <w:rsid w:val="00090BD1"/>
    <w:rsid w:val="00090D8F"/>
    <w:rsid w:val="00090FC1"/>
    <w:rsid w:val="000910F2"/>
    <w:rsid w:val="00091857"/>
    <w:rsid w:val="00091921"/>
    <w:rsid w:val="00091A5E"/>
    <w:rsid w:val="00091C59"/>
    <w:rsid w:val="00091DC4"/>
    <w:rsid w:val="00092053"/>
    <w:rsid w:val="0009259B"/>
    <w:rsid w:val="00092836"/>
    <w:rsid w:val="00092A21"/>
    <w:rsid w:val="0009338B"/>
    <w:rsid w:val="00093D9A"/>
    <w:rsid w:val="00093EBA"/>
    <w:rsid w:val="00093F8A"/>
    <w:rsid w:val="0009427D"/>
    <w:rsid w:val="00094656"/>
    <w:rsid w:val="00094F86"/>
    <w:rsid w:val="000954CF"/>
    <w:rsid w:val="00095848"/>
    <w:rsid w:val="00096084"/>
    <w:rsid w:val="000969FD"/>
    <w:rsid w:val="00096AFD"/>
    <w:rsid w:val="00096B52"/>
    <w:rsid w:val="00096C53"/>
    <w:rsid w:val="00096E2D"/>
    <w:rsid w:val="00096FFF"/>
    <w:rsid w:val="000971AB"/>
    <w:rsid w:val="000977DC"/>
    <w:rsid w:val="000A0094"/>
    <w:rsid w:val="000A10BF"/>
    <w:rsid w:val="000A2710"/>
    <w:rsid w:val="000A2756"/>
    <w:rsid w:val="000A2ACD"/>
    <w:rsid w:val="000A2B47"/>
    <w:rsid w:val="000A2B65"/>
    <w:rsid w:val="000A2BC4"/>
    <w:rsid w:val="000A2DA8"/>
    <w:rsid w:val="000A385A"/>
    <w:rsid w:val="000A3BDB"/>
    <w:rsid w:val="000A3E1C"/>
    <w:rsid w:val="000A400A"/>
    <w:rsid w:val="000A474F"/>
    <w:rsid w:val="000A47A5"/>
    <w:rsid w:val="000A4914"/>
    <w:rsid w:val="000A52CE"/>
    <w:rsid w:val="000A5446"/>
    <w:rsid w:val="000A5B20"/>
    <w:rsid w:val="000A5C47"/>
    <w:rsid w:val="000A5D10"/>
    <w:rsid w:val="000A6238"/>
    <w:rsid w:val="000A629E"/>
    <w:rsid w:val="000A6367"/>
    <w:rsid w:val="000A6774"/>
    <w:rsid w:val="000A6B30"/>
    <w:rsid w:val="000A781F"/>
    <w:rsid w:val="000A7C61"/>
    <w:rsid w:val="000A7CD0"/>
    <w:rsid w:val="000A7E94"/>
    <w:rsid w:val="000B028A"/>
    <w:rsid w:val="000B07E4"/>
    <w:rsid w:val="000B0E6F"/>
    <w:rsid w:val="000B0E9A"/>
    <w:rsid w:val="000B104C"/>
    <w:rsid w:val="000B10AA"/>
    <w:rsid w:val="000B19A7"/>
    <w:rsid w:val="000B21F4"/>
    <w:rsid w:val="000B22B0"/>
    <w:rsid w:val="000B2323"/>
    <w:rsid w:val="000B23CA"/>
    <w:rsid w:val="000B23E2"/>
    <w:rsid w:val="000B28F6"/>
    <w:rsid w:val="000B2D91"/>
    <w:rsid w:val="000B3251"/>
    <w:rsid w:val="000B3277"/>
    <w:rsid w:val="000B3330"/>
    <w:rsid w:val="000B38BF"/>
    <w:rsid w:val="000B3BB7"/>
    <w:rsid w:val="000B3E3C"/>
    <w:rsid w:val="000B425B"/>
    <w:rsid w:val="000B4E1F"/>
    <w:rsid w:val="000B5178"/>
    <w:rsid w:val="000B5C2C"/>
    <w:rsid w:val="000B5CCD"/>
    <w:rsid w:val="000B60C2"/>
    <w:rsid w:val="000B617C"/>
    <w:rsid w:val="000B6315"/>
    <w:rsid w:val="000B6378"/>
    <w:rsid w:val="000B6CF0"/>
    <w:rsid w:val="000B6DA5"/>
    <w:rsid w:val="000B720C"/>
    <w:rsid w:val="000B7665"/>
    <w:rsid w:val="000B7F07"/>
    <w:rsid w:val="000C0591"/>
    <w:rsid w:val="000C0B9A"/>
    <w:rsid w:val="000C1481"/>
    <w:rsid w:val="000C1AE3"/>
    <w:rsid w:val="000C213F"/>
    <w:rsid w:val="000C22C4"/>
    <w:rsid w:val="000C240A"/>
    <w:rsid w:val="000C2E16"/>
    <w:rsid w:val="000C3073"/>
    <w:rsid w:val="000C4636"/>
    <w:rsid w:val="000C46EA"/>
    <w:rsid w:val="000C4E73"/>
    <w:rsid w:val="000C50EB"/>
    <w:rsid w:val="000C5961"/>
    <w:rsid w:val="000C5DA1"/>
    <w:rsid w:val="000C6270"/>
    <w:rsid w:val="000C62A4"/>
    <w:rsid w:val="000C6617"/>
    <w:rsid w:val="000C68C8"/>
    <w:rsid w:val="000C6DC2"/>
    <w:rsid w:val="000C6E02"/>
    <w:rsid w:val="000C70C7"/>
    <w:rsid w:val="000C72E6"/>
    <w:rsid w:val="000C7666"/>
    <w:rsid w:val="000C7A6C"/>
    <w:rsid w:val="000C7C46"/>
    <w:rsid w:val="000D02AA"/>
    <w:rsid w:val="000D13C8"/>
    <w:rsid w:val="000D155C"/>
    <w:rsid w:val="000D1922"/>
    <w:rsid w:val="000D1B52"/>
    <w:rsid w:val="000D225F"/>
    <w:rsid w:val="000D2913"/>
    <w:rsid w:val="000D2C54"/>
    <w:rsid w:val="000D314E"/>
    <w:rsid w:val="000D38B0"/>
    <w:rsid w:val="000D3ACA"/>
    <w:rsid w:val="000D3EB9"/>
    <w:rsid w:val="000D4C1B"/>
    <w:rsid w:val="000D4D5E"/>
    <w:rsid w:val="000D5523"/>
    <w:rsid w:val="000D5F1D"/>
    <w:rsid w:val="000D6E67"/>
    <w:rsid w:val="000D713E"/>
    <w:rsid w:val="000E0359"/>
    <w:rsid w:val="000E03DC"/>
    <w:rsid w:val="000E0779"/>
    <w:rsid w:val="000E1124"/>
    <w:rsid w:val="000E13F0"/>
    <w:rsid w:val="000E1D13"/>
    <w:rsid w:val="000E2264"/>
    <w:rsid w:val="000E3626"/>
    <w:rsid w:val="000E4B2F"/>
    <w:rsid w:val="000E5531"/>
    <w:rsid w:val="000E5804"/>
    <w:rsid w:val="000E5D1A"/>
    <w:rsid w:val="000E6410"/>
    <w:rsid w:val="000E678B"/>
    <w:rsid w:val="000E76D0"/>
    <w:rsid w:val="000E7F14"/>
    <w:rsid w:val="000E7F23"/>
    <w:rsid w:val="000E7FCE"/>
    <w:rsid w:val="000E7FDD"/>
    <w:rsid w:val="000F04C3"/>
    <w:rsid w:val="000F0A16"/>
    <w:rsid w:val="000F13EC"/>
    <w:rsid w:val="000F17B6"/>
    <w:rsid w:val="000F1B0C"/>
    <w:rsid w:val="000F226A"/>
    <w:rsid w:val="000F2274"/>
    <w:rsid w:val="000F2694"/>
    <w:rsid w:val="000F2799"/>
    <w:rsid w:val="000F2E01"/>
    <w:rsid w:val="000F2F87"/>
    <w:rsid w:val="000F39D5"/>
    <w:rsid w:val="000F4289"/>
    <w:rsid w:val="000F4D44"/>
    <w:rsid w:val="000F4F52"/>
    <w:rsid w:val="000F54BA"/>
    <w:rsid w:val="000F5A54"/>
    <w:rsid w:val="000F5A98"/>
    <w:rsid w:val="000F6847"/>
    <w:rsid w:val="000F7692"/>
    <w:rsid w:val="000F78B0"/>
    <w:rsid w:val="000F7987"/>
    <w:rsid w:val="001000B4"/>
    <w:rsid w:val="0010051C"/>
    <w:rsid w:val="00100851"/>
    <w:rsid w:val="0010115C"/>
    <w:rsid w:val="00101345"/>
    <w:rsid w:val="00101A7B"/>
    <w:rsid w:val="00101A9F"/>
    <w:rsid w:val="001021DF"/>
    <w:rsid w:val="00103637"/>
    <w:rsid w:val="00103853"/>
    <w:rsid w:val="001038D9"/>
    <w:rsid w:val="00103BC7"/>
    <w:rsid w:val="00104037"/>
    <w:rsid w:val="00104062"/>
    <w:rsid w:val="001042DC"/>
    <w:rsid w:val="0010448B"/>
    <w:rsid w:val="0010456F"/>
    <w:rsid w:val="00104802"/>
    <w:rsid w:val="0010521F"/>
    <w:rsid w:val="001055FB"/>
    <w:rsid w:val="0010625A"/>
    <w:rsid w:val="0010646C"/>
    <w:rsid w:val="00106A48"/>
    <w:rsid w:val="00106AA6"/>
    <w:rsid w:val="00106BE9"/>
    <w:rsid w:val="00106E0E"/>
    <w:rsid w:val="00107524"/>
    <w:rsid w:val="00107762"/>
    <w:rsid w:val="00107DCD"/>
    <w:rsid w:val="00107EF0"/>
    <w:rsid w:val="00110AE5"/>
    <w:rsid w:val="00110B11"/>
    <w:rsid w:val="00110E20"/>
    <w:rsid w:val="00111270"/>
    <w:rsid w:val="00111417"/>
    <w:rsid w:val="001117F7"/>
    <w:rsid w:val="00111C1D"/>
    <w:rsid w:val="00111E9C"/>
    <w:rsid w:val="00112945"/>
    <w:rsid w:val="00112CB1"/>
    <w:rsid w:val="0011327A"/>
    <w:rsid w:val="001136B1"/>
    <w:rsid w:val="0011376D"/>
    <w:rsid w:val="00113908"/>
    <w:rsid w:val="00113972"/>
    <w:rsid w:val="001139E6"/>
    <w:rsid w:val="00113C60"/>
    <w:rsid w:val="00113C66"/>
    <w:rsid w:val="001142B6"/>
    <w:rsid w:val="001142D3"/>
    <w:rsid w:val="0011433D"/>
    <w:rsid w:val="0011438C"/>
    <w:rsid w:val="00114447"/>
    <w:rsid w:val="00114C3B"/>
    <w:rsid w:val="00115069"/>
    <w:rsid w:val="00115691"/>
    <w:rsid w:val="00115A47"/>
    <w:rsid w:val="00116343"/>
    <w:rsid w:val="001163A7"/>
    <w:rsid w:val="0011658A"/>
    <w:rsid w:val="00116A3B"/>
    <w:rsid w:val="00116D89"/>
    <w:rsid w:val="00117039"/>
    <w:rsid w:val="0011723E"/>
    <w:rsid w:val="0011754A"/>
    <w:rsid w:val="001176CF"/>
    <w:rsid w:val="00117F04"/>
    <w:rsid w:val="0012002E"/>
    <w:rsid w:val="00120B37"/>
    <w:rsid w:val="00120BD3"/>
    <w:rsid w:val="00120F03"/>
    <w:rsid w:val="00121102"/>
    <w:rsid w:val="0012140B"/>
    <w:rsid w:val="00121465"/>
    <w:rsid w:val="00121549"/>
    <w:rsid w:val="00121C2E"/>
    <w:rsid w:val="001221C8"/>
    <w:rsid w:val="00122AE3"/>
    <w:rsid w:val="00122C41"/>
    <w:rsid w:val="00122EE1"/>
    <w:rsid w:val="0012342C"/>
    <w:rsid w:val="00123658"/>
    <w:rsid w:val="001237AF"/>
    <w:rsid w:val="00123A82"/>
    <w:rsid w:val="001247EB"/>
    <w:rsid w:val="00124D57"/>
    <w:rsid w:val="00124F3C"/>
    <w:rsid w:val="001250D0"/>
    <w:rsid w:val="00125B61"/>
    <w:rsid w:val="001260A2"/>
    <w:rsid w:val="00126122"/>
    <w:rsid w:val="0012667D"/>
    <w:rsid w:val="00126ADE"/>
    <w:rsid w:val="00126F6A"/>
    <w:rsid w:val="00126FAE"/>
    <w:rsid w:val="001274D8"/>
    <w:rsid w:val="0012791E"/>
    <w:rsid w:val="0012794B"/>
    <w:rsid w:val="00127C5C"/>
    <w:rsid w:val="00127FEA"/>
    <w:rsid w:val="00130182"/>
    <w:rsid w:val="0013032E"/>
    <w:rsid w:val="00130AEE"/>
    <w:rsid w:val="00131132"/>
    <w:rsid w:val="001311ED"/>
    <w:rsid w:val="001317FD"/>
    <w:rsid w:val="00131D45"/>
    <w:rsid w:val="00131F85"/>
    <w:rsid w:val="001320F0"/>
    <w:rsid w:val="00133142"/>
    <w:rsid w:val="00133563"/>
    <w:rsid w:val="001336E0"/>
    <w:rsid w:val="00133727"/>
    <w:rsid w:val="00133B2D"/>
    <w:rsid w:val="00133F34"/>
    <w:rsid w:val="0013420E"/>
    <w:rsid w:val="0013426F"/>
    <w:rsid w:val="0013446D"/>
    <w:rsid w:val="00134778"/>
    <w:rsid w:val="00134D63"/>
    <w:rsid w:val="00134EB9"/>
    <w:rsid w:val="00135034"/>
    <w:rsid w:val="0013523F"/>
    <w:rsid w:val="00135273"/>
    <w:rsid w:val="00135295"/>
    <w:rsid w:val="00135631"/>
    <w:rsid w:val="001356B8"/>
    <w:rsid w:val="00135706"/>
    <w:rsid w:val="00135725"/>
    <w:rsid w:val="0013591E"/>
    <w:rsid w:val="00135FC9"/>
    <w:rsid w:val="00136184"/>
    <w:rsid w:val="00136190"/>
    <w:rsid w:val="0013691E"/>
    <w:rsid w:val="00136BBD"/>
    <w:rsid w:val="00137872"/>
    <w:rsid w:val="0014010E"/>
    <w:rsid w:val="00140143"/>
    <w:rsid w:val="0014089D"/>
    <w:rsid w:val="00140F2F"/>
    <w:rsid w:val="00142900"/>
    <w:rsid w:val="00142F96"/>
    <w:rsid w:val="00143271"/>
    <w:rsid w:val="00143478"/>
    <w:rsid w:val="0014380F"/>
    <w:rsid w:val="00143F2F"/>
    <w:rsid w:val="00144B59"/>
    <w:rsid w:val="00144E0A"/>
    <w:rsid w:val="00144F73"/>
    <w:rsid w:val="001453EF"/>
    <w:rsid w:val="0014592F"/>
    <w:rsid w:val="00145A18"/>
    <w:rsid w:val="001462C6"/>
    <w:rsid w:val="00146624"/>
    <w:rsid w:val="00146FA4"/>
    <w:rsid w:val="0014741B"/>
    <w:rsid w:val="001474ED"/>
    <w:rsid w:val="00147E0C"/>
    <w:rsid w:val="00150376"/>
    <w:rsid w:val="00151457"/>
    <w:rsid w:val="0015157A"/>
    <w:rsid w:val="00151A84"/>
    <w:rsid w:val="00151D14"/>
    <w:rsid w:val="00151DBD"/>
    <w:rsid w:val="001527F9"/>
    <w:rsid w:val="001531D6"/>
    <w:rsid w:val="00153729"/>
    <w:rsid w:val="0015437A"/>
    <w:rsid w:val="00154964"/>
    <w:rsid w:val="00155089"/>
    <w:rsid w:val="00155434"/>
    <w:rsid w:val="00155BDA"/>
    <w:rsid w:val="00155FEF"/>
    <w:rsid w:val="00156E1A"/>
    <w:rsid w:val="00156FA7"/>
    <w:rsid w:val="00157075"/>
    <w:rsid w:val="00159727"/>
    <w:rsid w:val="0016023A"/>
    <w:rsid w:val="00160444"/>
    <w:rsid w:val="001607C4"/>
    <w:rsid w:val="001607E6"/>
    <w:rsid w:val="00161344"/>
    <w:rsid w:val="00161890"/>
    <w:rsid w:val="00161E2F"/>
    <w:rsid w:val="00161F0B"/>
    <w:rsid w:val="0016234C"/>
    <w:rsid w:val="00162A8A"/>
    <w:rsid w:val="00162DBF"/>
    <w:rsid w:val="00163386"/>
    <w:rsid w:val="0016350A"/>
    <w:rsid w:val="00163E84"/>
    <w:rsid w:val="001647FF"/>
    <w:rsid w:val="001649FB"/>
    <w:rsid w:val="00164CF8"/>
    <w:rsid w:val="001653AE"/>
    <w:rsid w:val="001655B6"/>
    <w:rsid w:val="00165B0B"/>
    <w:rsid w:val="00165C4D"/>
    <w:rsid w:val="00165FC5"/>
    <w:rsid w:val="00166459"/>
    <w:rsid w:val="00166778"/>
    <w:rsid w:val="00166AD5"/>
    <w:rsid w:val="0016703A"/>
    <w:rsid w:val="001670EC"/>
    <w:rsid w:val="00167199"/>
    <w:rsid w:val="00167F08"/>
    <w:rsid w:val="001705A2"/>
    <w:rsid w:val="00170CF0"/>
    <w:rsid w:val="00170D5B"/>
    <w:rsid w:val="00170EF6"/>
    <w:rsid w:val="0017117F"/>
    <w:rsid w:val="001719F3"/>
    <w:rsid w:val="00171C55"/>
    <w:rsid w:val="001724C2"/>
    <w:rsid w:val="00172551"/>
    <w:rsid w:val="00172636"/>
    <w:rsid w:val="001726E9"/>
    <w:rsid w:val="001727B4"/>
    <w:rsid w:val="00172B09"/>
    <w:rsid w:val="00172B8F"/>
    <w:rsid w:val="00172CFB"/>
    <w:rsid w:val="0017337D"/>
    <w:rsid w:val="001736F8"/>
    <w:rsid w:val="00173C25"/>
    <w:rsid w:val="00173D85"/>
    <w:rsid w:val="00174FD4"/>
    <w:rsid w:val="0017601D"/>
    <w:rsid w:val="00176BE6"/>
    <w:rsid w:val="00177385"/>
    <w:rsid w:val="00180718"/>
    <w:rsid w:val="00180D0A"/>
    <w:rsid w:val="00180F77"/>
    <w:rsid w:val="001814E1"/>
    <w:rsid w:val="001823D2"/>
    <w:rsid w:val="00182569"/>
    <w:rsid w:val="001826D2"/>
    <w:rsid w:val="00182828"/>
    <w:rsid w:val="001831B3"/>
    <w:rsid w:val="0018372F"/>
    <w:rsid w:val="00184B38"/>
    <w:rsid w:val="00184BAE"/>
    <w:rsid w:val="00185118"/>
    <w:rsid w:val="001853F8"/>
    <w:rsid w:val="00185474"/>
    <w:rsid w:val="0018547A"/>
    <w:rsid w:val="001856CD"/>
    <w:rsid w:val="00185A9E"/>
    <w:rsid w:val="00185CD1"/>
    <w:rsid w:val="001862AA"/>
    <w:rsid w:val="001869E6"/>
    <w:rsid w:val="001874E6"/>
    <w:rsid w:val="001876FC"/>
    <w:rsid w:val="00187911"/>
    <w:rsid w:val="00187D79"/>
    <w:rsid w:val="00187EF7"/>
    <w:rsid w:val="00190305"/>
    <w:rsid w:val="0019057A"/>
    <w:rsid w:val="00190DA4"/>
    <w:rsid w:val="00191573"/>
    <w:rsid w:val="001918E5"/>
    <w:rsid w:val="0019225E"/>
    <w:rsid w:val="001932C1"/>
    <w:rsid w:val="0019362A"/>
    <w:rsid w:val="0019416B"/>
    <w:rsid w:val="001945EF"/>
    <w:rsid w:val="0019474E"/>
    <w:rsid w:val="00194B10"/>
    <w:rsid w:val="00194D76"/>
    <w:rsid w:val="00194EF4"/>
    <w:rsid w:val="00195446"/>
    <w:rsid w:val="00195728"/>
    <w:rsid w:val="00196699"/>
    <w:rsid w:val="00196758"/>
    <w:rsid w:val="001970C0"/>
    <w:rsid w:val="001970C6"/>
    <w:rsid w:val="0019712B"/>
    <w:rsid w:val="001973D2"/>
    <w:rsid w:val="00197473"/>
    <w:rsid w:val="001A0190"/>
    <w:rsid w:val="001A0D54"/>
    <w:rsid w:val="001A0E3D"/>
    <w:rsid w:val="001A10D0"/>
    <w:rsid w:val="001A1CB7"/>
    <w:rsid w:val="001A292F"/>
    <w:rsid w:val="001A2AF5"/>
    <w:rsid w:val="001A2BF8"/>
    <w:rsid w:val="001A2E02"/>
    <w:rsid w:val="001A3993"/>
    <w:rsid w:val="001A3C2E"/>
    <w:rsid w:val="001A420B"/>
    <w:rsid w:val="001A4364"/>
    <w:rsid w:val="001A4B97"/>
    <w:rsid w:val="001A4F7D"/>
    <w:rsid w:val="001A52A6"/>
    <w:rsid w:val="001A5E51"/>
    <w:rsid w:val="001A5F9F"/>
    <w:rsid w:val="001A7220"/>
    <w:rsid w:val="001A72BB"/>
    <w:rsid w:val="001A7B42"/>
    <w:rsid w:val="001A7D8F"/>
    <w:rsid w:val="001B0A7C"/>
    <w:rsid w:val="001B11EF"/>
    <w:rsid w:val="001B1286"/>
    <w:rsid w:val="001B1365"/>
    <w:rsid w:val="001B1479"/>
    <w:rsid w:val="001B160B"/>
    <w:rsid w:val="001B163B"/>
    <w:rsid w:val="001B19AD"/>
    <w:rsid w:val="001B1C13"/>
    <w:rsid w:val="001B1DBD"/>
    <w:rsid w:val="001B2998"/>
    <w:rsid w:val="001B2A97"/>
    <w:rsid w:val="001B2CD4"/>
    <w:rsid w:val="001B33EA"/>
    <w:rsid w:val="001B3A27"/>
    <w:rsid w:val="001B495A"/>
    <w:rsid w:val="001B57A9"/>
    <w:rsid w:val="001B5C37"/>
    <w:rsid w:val="001B5C8F"/>
    <w:rsid w:val="001B66FA"/>
    <w:rsid w:val="001B689B"/>
    <w:rsid w:val="001B6AD2"/>
    <w:rsid w:val="001B6DB3"/>
    <w:rsid w:val="001B7329"/>
    <w:rsid w:val="001B75C1"/>
    <w:rsid w:val="001B7949"/>
    <w:rsid w:val="001B7E6E"/>
    <w:rsid w:val="001C02AB"/>
    <w:rsid w:val="001C0419"/>
    <w:rsid w:val="001C0731"/>
    <w:rsid w:val="001C09FB"/>
    <w:rsid w:val="001C0C92"/>
    <w:rsid w:val="001C0DB0"/>
    <w:rsid w:val="001C0E24"/>
    <w:rsid w:val="001C174A"/>
    <w:rsid w:val="001C1839"/>
    <w:rsid w:val="001C1C7E"/>
    <w:rsid w:val="001C1D05"/>
    <w:rsid w:val="001C24E1"/>
    <w:rsid w:val="001C2701"/>
    <w:rsid w:val="001C2858"/>
    <w:rsid w:val="001C28BC"/>
    <w:rsid w:val="001C29BB"/>
    <w:rsid w:val="001C2A48"/>
    <w:rsid w:val="001C2EEB"/>
    <w:rsid w:val="001C3142"/>
    <w:rsid w:val="001C33C4"/>
    <w:rsid w:val="001C3681"/>
    <w:rsid w:val="001C3785"/>
    <w:rsid w:val="001C3C67"/>
    <w:rsid w:val="001C3F9B"/>
    <w:rsid w:val="001C469C"/>
    <w:rsid w:val="001C46DD"/>
    <w:rsid w:val="001C4828"/>
    <w:rsid w:val="001C4A25"/>
    <w:rsid w:val="001C55F1"/>
    <w:rsid w:val="001C5709"/>
    <w:rsid w:val="001C5ABF"/>
    <w:rsid w:val="001C5FFE"/>
    <w:rsid w:val="001C600C"/>
    <w:rsid w:val="001C65F2"/>
    <w:rsid w:val="001C6702"/>
    <w:rsid w:val="001C69E3"/>
    <w:rsid w:val="001C6A80"/>
    <w:rsid w:val="001C6B7F"/>
    <w:rsid w:val="001C6DDF"/>
    <w:rsid w:val="001C6DFD"/>
    <w:rsid w:val="001C6E21"/>
    <w:rsid w:val="001C7185"/>
    <w:rsid w:val="001C75D5"/>
    <w:rsid w:val="001C7821"/>
    <w:rsid w:val="001D02A0"/>
    <w:rsid w:val="001D0C8E"/>
    <w:rsid w:val="001D16C9"/>
    <w:rsid w:val="001D1CDF"/>
    <w:rsid w:val="001D20A3"/>
    <w:rsid w:val="001D231F"/>
    <w:rsid w:val="001D233D"/>
    <w:rsid w:val="001D29D2"/>
    <w:rsid w:val="001D32C0"/>
    <w:rsid w:val="001D3A64"/>
    <w:rsid w:val="001D3E56"/>
    <w:rsid w:val="001D4038"/>
    <w:rsid w:val="001D411B"/>
    <w:rsid w:val="001D5793"/>
    <w:rsid w:val="001D5889"/>
    <w:rsid w:val="001D59E3"/>
    <w:rsid w:val="001D5B3F"/>
    <w:rsid w:val="001D620F"/>
    <w:rsid w:val="001D6E2E"/>
    <w:rsid w:val="001D6F8C"/>
    <w:rsid w:val="001D70BA"/>
    <w:rsid w:val="001D73BF"/>
    <w:rsid w:val="001D7422"/>
    <w:rsid w:val="001D74A7"/>
    <w:rsid w:val="001D7715"/>
    <w:rsid w:val="001D78DC"/>
    <w:rsid w:val="001E02D2"/>
    <w:rsid w:val="001E06B8"/>
    <w:rsid w:val="001E0E36"/>
    <w:rsid w:val="001E106F"/>
    <w:rsid w:val="001E15F2"/>
    <w:rsid w:val="001E1628"/>
    <w:rsid w:val="001E22F7"/>
    <w:rsid w:val="001E24EE"/>
    <w:rsid w:val="001E25F2"/>
    <w:rsid w:val="001E2793"/>
    <w:rsid w:val="001E2D36"/>
    <w:rsid w:val="001E322A"/>
    <w:rsid w:val="001E32DC"/>
    <w:rsid w:val="001E3680"/>
    <w:rsid w:val="001E3D10"/>
    <w:rsid w:val="001E4573"/>
    <w:rsid w:val="001E465F"/>
    <w:rsid w:val="001E479E"/>
    <w:rsid w:val="001E47DB"/>
    <w:rsid w:val="001E4F51"/>
    <w:rsid w:val="001E5687"/>
    <w:rsid w:val="001E59DE"/>
    <w:rsid w:val="001E5AA8"/>
    <w:rsid w:val="001E620D"/>
    <w:rsid w:val="001E7081"/>
    <w:rsid w:val="001F00AF"/>
    <w:rsid w:val="001F0408"/>
    <w:rsid w:val="001F06D5"/>
    <w:rsid w:val="001F1BC3"/>
    <w:rsid w:val="001F2068"/>
    <w:rsid w:val="001F274F"/>
    <w:rsid w:val="001F27B7"/>
    <w:rsid w:val="001F2902"/>
    <w:rsid w:val="001F2CE0"/>
    <w:rsid w:val="001F3487"/>
    <w:rsid w:val="001F36C3"/>
    <w:rsid w:val="001F36DF"/>
    <w:rsid w:val="001F38E6"/>
    <w:rsid w:val="001F3F36"/>
    <w:rsid w:val="001F4427"/>
    <w:rsid w:val="001F46DE"/>
    <w:rsid w:val="001F48CF"/>
    <w:rsid w:val="001F4D17"/>
    <w:rsid w:val="001F5C6C"/>
    <w:rsid w:val="001F658C"/>
    <w:rsid w:val="001F675C"/>
    <w:rsid w:val="001F6EEA"/>
    <w:rsid w:val="001F6F44"/>
    <w:rsid w:val="001F71DD"/>
    <w:rsid w:val="001F73A7"/>
    <w:rsid w:val="001F7563"/>
    <w:rsid w:val="001F77D9"/>
    <w:rsid w:val="001F7ECD"/>
    <w:rsid w:val="001F7F41"/>
    <w:rsid w:val="00200327"/>
    <w:rsid w:val="00200884"/>
    <w:rsid w:val="00200CB8"/>
    <w:rsid w:val="0020136D"/>
    <w:rsid w:val="0020153D"/>
    <w:rsid w:val="00201772"/>
    <w:rsid w:val="0020190E"/>
    <w:rsid w:val="00201C8E"/>
    <w:rsid w:val="00202007"/>
    <w:rsid w:val="00202207"/>
    <w:rsid w:val="0020366A"/>
    <w:rsid w:val="002036F4"/>
    <w:rsid w:val="00203D48"/>
    <w:rsid w:val="00203D49"/>
    <w:rsid w:val="002049C7"/>
    <w:rsid w:val="00204CBC"/>
    <w:rsid w:val="00204F8D"/>
    <w:rsid w:val="0020555A"/>
    <w:rsid w:val="00205660"/>
    <w:rsid w:val="002064CE"/>
    <w:rsid w:val="0020650A"/>
    <w:rsid w:val="00206B8D"/>
    <w:rsid w:val="002073A6"/>
    <w:rsid w:val="00207F59"/>
    <w:rsid w:val="002101F2"/>
    <w:rsid w:val="0021031B"/>
    <w:rsid w:val="002110AD"/>
    <w:rsid w:val="0021114E"/>
    <w:rsid w:val="00211B63"/>
    <w:rsid w:val="00211D77"/>
    <w:rsid w:val="00211DC3"/>
    <w:rsid w:val="00212708"/>
    <w:rsid w:val="002130D6"/>
    <w:rsid w:val="00213651"/>
    <w:rsid w:val="00214354"/>
    <w:rsid w:val="002146CD"/>
    <w:rsid w:val="00214937"/>
    <w:rsid w:val="00214941"/>
    <w:rsid w:val="002155B6"/>
    <w:rsid w:val="002157E4"/>
    <w:rsid w:val="002159E0"/>
    <w:rsid w:val="00215AFB"/>
    <w:rsid w:val="00215DEA"/>
    <w:rsid w:val="002162E8"/>
    <w:rsid w:val="0021705F"/>
    <w:rsid w:val="0021715E"/>
    <w:rsid w:val="00217692"/>
    <w:rsid w:val="002176CC"/>
    <w:rsid w:val="0022004C"/>
    <w:rsid w:val="002200D8"/>
    <w:rsid w:val="002209BF"/>
    <w:rsid w:val="00221621"/>
    <w:rsid w:val="00221A2D"/>
    <w:rsid w:val="00221D75"/>
    <w:rsid w:val="00221DC3"/>
    <w:rsid w:val="00221F9A"/>
    <w:rsid w:val="00222446"/>
    <w:rsid w:val="00222B4C"/>
    <w:rsid w:val="00223008"/>
    <w:rsid w:val="00223107"/>
    <w:rsid w:val="00223664"/>
    <w:rsid w:val="00223A56"/>
    <w:rsid w:val="00223AFA"/>
    <w:rsid w:val="002244CE"/>
    <w:rsid w:val="00225833"/>
    <w:rsid w:val="00225B8E"/>
    <w:rsid w:val="00225BF4"/>
    <w:rsid w:val="00226095"/>
    <w:rsid w:val="00226108"/>
    <w:rsid w:val="00226632"/>
    <w:rsid w:val="0022692B"/>
    <w:rsid w:val="00226BC1"/>
    <w:rsid w:val="00226CA4"/>
    <w:rsid w:val="00226D35"/>
    <w:rsid w:val="0022701D"/>
    <w:rsid w:val="002274F8"/>
    <w:rsid w:val="002275F5"/>
    <w:rsid w:val="00227B89"/>
    <w:rsid w:val="00227F43"/>
    <w:rsid w:val="00230082"/>
    <w:rsid w:val="002302D2"/>
    <w:rsid w:val="002310B8"/>
    <w:rsid w:val="002312A3"/>
    <w:rsid w:val="002312DB"/>
    <w:rsid w:val="002314EB"/>
    <w:rsid w:val="00231931"/>
    <w:rsid w:val="00231E3B"/>
    <w:rsid w:val="002334B0"/>
    <w:rsid w:val="002337E7"/>
    <w:rsid w:val="00233B63"/>
    <w:rsid w:val="00233E8D"/>
    <w:rsid w:val="00234640"/>
    <w:rsid w:val="0023638A"/>
    <w:rsid w:val="0023735B"/>
    <w:rsid w:val="0023753D"/>
    <w:rsid w:val="00237594"/>
    <w:rsid w:val="00237C1C"/>
    <w:rsid w:val="00237F6A"/>
    <w:rsid w:val="00240106"/>
    <w:rsid w:val="00240AE0"/>
    <w:rsid w:val="002411C7"/>
    <w:rsid w:val="00241266"/>
    <w:rsid w:val="002414DB"/>
    <w:rsid w:val="00241C44"/>
    <w:rsid w:val="00241F73"/>
    <w:rsid w:val="002425E8"/>
    <w:rsid w:val="002427A6"/>
    <w:rsid w:val="00242B7C"/>
    <w:rsid w:val="00242D52"/>
    <w:rsid w:val="00242F4E"/>
    <w:rsid w:val="00243AD6"/>
    <w:rsid w:val="00243F3E"/>
    <w:rsid w:val="00244053"/>
    <w:rsid w:val="00244349"/>
    <w:rsid w:val="00244F7A"/>
    <w:rsid w:val="002452A0"/>
    <w:rsid w:val="00245682"/>
    <w:rsid w:val="00245E86"/>
    <w:rsid w:val="00246229"/>
    <w:rsid w:val="002463A6"/>
    <w:rsid w:val="002463FD"/>
    <w:rsid w:val="002464D8"/>
    <w:rsid w:val="00246ADB"/>
    <w:rsid w:val="00246BCA"/>
    <w:rsid w:val="00247086"/>
    <w:rsid w:val="002478AC"/>
    <w:rsid w:val="00247B1D"/>
    <w:rsid w:val="0025008A"/>
    <w:rsid w:val="0025030B"/>
    <w:rsid w:val="00250BD9"/>
    <w:rsid w:val="002517A5"/>
    <w:rsid w:val="002518AD"/>
    <w:rsid w:val="00251999"/>
    <w:rsid w:val="00251F6C"/>
    <w:rsid w:val="0025249C"/>
    <w:rsid w:val="0025265B"/>
    <w:rsid w:val="002528F6"/>
    <w:rsid w:val="0025358E"/>
    <w:rsid w:val="00253646"/>
    <w:rsid w:val="002539ED"/>
    <w:rsid w:val="00253F6B"/>
    <w:rsid w:val="0025440D"/>
    <w:rsid w:val="0025450E"/>
    <w:rsid w:val="002549B3"/>
    <w:rsid w:val="00254AAF"/>
    <w:rsid w:val="00255152"/>
    <w:rsid w:val="0025554E"/>
    <w:rsid w:val="00255B9B"/>
    <w:rsid w:val="00255D41"/>
    <w:rsid w:val="0025646D"/>
    <w:rsid w:val="00256C41"/>
    <w:rsid w:val="002572E1"/>
    <w:rsid w:val="00257446"/>
    <w:rsid w:val="002575B7"/>
    <w:rsid w:val="002576CD"/>
    <w:rsid w:val="002576EA"/>
    <w:rsid w:val="00257C73"/>
    <w:rsid w:val="00260162"/>
    <w:rsid w:val="002608D3"/>
    <w:rsid w:val="002608FD"/>
    <w:rsid w:val="0026124B"/>
    <w:rsid w:val="00262004"/>
    <w:rsid w:val="002621D2"/>
    <w:rsid w:val="002635FE"/>
    <w:rsid w:val="002636EC"/>
    <w:rsid w:val="002638F4"/>
    <w:rsid w:val="0026456C"/>
    <w:rsid w:val="00264C9C"/>
    <w:rsid w:val="00264D54"/>
    <w:rsid w:val="00265782"/>
    <w:rsid w:val="00265B0E"/>
    <w:rsid w:val="00266033"/>
    <w:rsid w:val="002666DA"/>
    <w:rsid w:val="00266999"/>
    <w:rsid w:val="00266A41"/>
    <w:rsid w:val="00266C4A"/>
    <w:rsid w:val="00266F0C"/>
    <w:rsid w:val="00267067"/>
    <w:rsid w:val="00267287"/>
    <w:rsid w:val="00267384"/>
    <w:rsid w:val="0027013D"/>
    <w:rsid w:val="00270C40"/>
    <w:rsid w:val="0027160C"/>
    <w:rsid w:val="00271924"/>
    <w:rsid w:val="00271AA5"/>
    <w:rsid w:val="00272C83"/>
    <w:rsid w:val="00272EF0"/>
    <w:rsid w:val="00273BF5"/>
    <w:rsid w:val="00274C52"/>
    <w:rsid w:val="002751D1"/>
    <w:rsid w:val="00275209"/>
    <w:rsid w:val="00275234"/>
    <w:rsid w:val="00275855"/>
    <w:rsid w:val="0027598E"/>
    <w:rsid w:val="00275AE1"/>
    <w:rsid w:val="00275CDC"/>
    <w:rsid w:val="0027627D"/>
    <w:rsid w:val="002767A0"/>
    <w:rsid w:val="00276A96"/>
    <w:rsid w:val="0027756B"/>
    <w:rsid w:val="00277DA8"/>
    <w:rsid w:val="00277ECC"/>
    <w:rsid w:val="00280DDB"/>
    <w:rsid w:val="00280F2C"/>
    <w:rsid w:val="002815E4"/>
    <w:rsid w:val="00281A47"/>
    <w:rsid w:val="00282223"/>
    <w:rsid w:val="002824FE"/>
    <w:rsid w:val="00282BE7"/>
    <w:rsid w:val="0028339C"/>
    <w:rsid w:val="00283962"/>
    <w:rsid w:val="00284340"/>
    <w:rsid w:val="00284E09"/>
    <w:rsid w:val="00284F89"/>
    <w:rsid w:val="002854C0"/>
    <w:rsid w:val="00285AC2"/>
    <w:rsid w:val="002866DB"/>
    <w:rsid w:val="00286FBF"/>
    <w:rsid w:val="00287241"/>
    <w:rsid w:val="002872C5"/>
    <w:rsid w:val="00287E78"/>
    <w:rsid w:val="00290233"/>
    <w:rsid w:val="00290342"/>
    <w:rsid w:val="00290676"/>
    <w:rsid w:val="002909FB"/>
    <w:rsid w:val="00290E1C"/>
    <w:rsid w:val="00291282"/>
    <w:rsid w:val="00291462"/>
    <w:rsid w:val="00291572"/>
    <w:rsid w:val="00291DA7"/>
    <w:rsid w:val="0029223B"/>
    <w:rsid w:val="00292F11"/>
    <w:rsid w:val="00292FCE"/>
    <w:rsid w:val="002937EF"/>
    <w:rsid w:val="00294256"/>
    <w:rsid w:val="00294FF5"/>
    <w:rsid w:val="00295128"/>
    <w:rsid w:val="00295573"/>
    <w:rsid w:val="002959EC"/>
    <w:rsid w:val="002967F0"/>
    <w:rsid w:val="00296AFE"/>
    <w:rsid w:val="00297191"/>
    <w:rsid w:val="002971BF"/>
    <w:rsid w:val="0029750E"/>
    <w:rsid w:val="002975DF"/>
    <w:rsid w:val="002979F5"/>
    <w:rsid w:val="00297AFB"/>
    <w:rsid w:val="00297D45"/>
    <w:rsid w:val="002A04B4"/>
    <w:rsid w:val="002A089F"/>
    <w:rsid w:val="002A0D26"/>
    <w:rsid w:val="002A145B"/>
    <w:rsid w:val="002A18BE"/>
    <w:rsid w:val="002A1B52"/>
    <w:rsid w:val="002A204E"/>
    <w:rsid w:val="002A216C"/>
    <w:rsid w:val="002A35F5"/>
    <w:rsid w:val="002A367C"/>
    <w:rsid w:val="002A36F6"/>
    <w:rsid w:val="002A370B"/>
    <w:rsid w:val="002A4084"/>
    <w:rsid w:val="002A43A5"/>
    <w:rsid w:val="002A4765"/>
    <w:rsid w:val="002A4AA1"/>
    <w:rsid w:val="002A4AD6"/>
    <w:rsid w:val="002A4C82"/>
    <w:rsid w:val="002A539F"/>
    <w:rsid w:val="002A5A59"/>
    <w:rsid w:val="002A5AB2"/>
    <w:rsid w:val="002A64FC"/>
    <w:rsid w:val="002A6870"/>
    <w:rsid w:val="002A6DA1"/>
    <w:rsid w:val="002A7196"/>
    <w:rsid w:val="002A76AE"/>
    <w:rsid w:val="002B002E"/>
    <w:rsid w:val="002B02FF"/>
    <w:rsid w:val="002B0478"/>
    <w:rsid w:val="002B0A88"/>
    <w:rsid w:val="002B1384"/>
    <w:rsid w:val="002B1470"/>
    <w:rsid w:val="002B2100"/>
    <w:rsid w:val="002B212E"/>
    <w:rsid w:val="002B29F0"/>
    <w:rsid w:val="002B2B9D"/>
    <w:rsid w:val="002B3681"/>
    <w:rsid w:val="002B40A9"/>
    <w:rsid w:val="002B414F"/>
    <w:rsid w:val="002B575C"/>
    <w:rsid w:val="002B59C2"/>
    <w:rsid w:val="002B5E9F"/>
    <w:rsid w:val="002B667C"/>
    <w:rsid w:val="002B6A0D"/>
    <w:rsid w:val="002B6BF4"/>
    <w:rsid w:val="002B701F"/>
    <w:rsid w:val="002B704F"/>
    <w:rsid w:val="002B73EA"/>
    <w:rsid w:val="002B755C"/>
    <w:rsid w:val="002B7863"/>
    <w:rsid w:val="002C0792"/>
    <w:rsid w:val="002C0A03"/>
    <w:rsid w:val="002C0B7C"/>
    <w:rsid w:val="002C11CA"/>
    <w:rsid w:val="002C13EA"/>
    <w:rsid w:val="002C16A7"/>
    <w:rsid w:val="002C1B0E"/>
    <w:rsid w:val="002C1E03"/>
    <w:rsid w:val="002C2AFF"/>
    <w:rsid w:val="002C45E8"/>
    <w:rsid w:val="002C46AB"/>
    <w:rsid w:val="002C4A74"/>
    <w:rsid w:val="002C5032"/>
    <w:rsid w:val="002C5723"/>
    <w:rsid w:val="002C5798"/>
    <w:rsid w:val="002C5848"/>
    <w:rsid w:val="002C6058"/>
    <w:rsid w:val="002C70CE"/>
    <w:rsid w:val="002C7C83"/>
    <w:rsid w:val="002D0681"/>
    <w:rsid w:val="002D101B"/>
    <w:rsid w:val="002D1671"/>
    <w:rsid w:val="002D16C5"/>
    <w:rsid w:val="002D2DF9"/>
    <w:rsid w:val="002D351C"/>
    <w:rsid w:val="002D392F"/>
    <w:rsid w:val="002D3FEF"/>
    <w:rsid w:val="002D43A4"/>
    <w:rsid w:val="002D4596"/>
    <w:rsid w:val="002D4936"/>
    <w:rsid w:val="002D5097"/>
    <w:rsid w:val="002D55E4"/>
    <w:rsid w:val="002D5760"/>
    <w:rsid w:val="002D6086"/>
    <w:rsid w:val="002D61A7"/>
    <w:rsid w:val="002D61FC"/>
    <w:rsid w:val="002D690D"/>
    <w:rsid w:val="002D6F67"/>
    <w:rsid w:val="002D744D"/>
    <w:rsid w:val="002D761F"/>
    <w:rsid w:val="002D7857"/>
    <w:rsid w:val="002D7A9F"/>
    <w:rsid w:val="002D7C68"/>
    <w:rsid w:val="002D7EA0"/>
    <w:rsid w:val="002E086B"/>
    <w:rsid w:val="002E0EB5"/>
    <w:rsid w:val="002E1007"/>
    <w:rsid w:val="002E1776"/>
    <w:rsid w:val="002E1C37"/>
    <w:rsid w:val="002E22AF"/>
    <w:rsid w:val="002E2C99"/>
    <w:rsid w:val="002E2D2D"/>
    <w:rsid w:val="002E3AE8"/>
    <w:rsid w:val="002E3FAD"/>
    <w:rsid w:val="002E457F"/>
    <w:rsid w:val="002E4766"/>
    <w:rsid w:val="002E4FFD"/>
    <w:rsid w:val="002E522B"/>
    <w:rsid w:val="002E5358"/>
    <w:rsid w:val="002E5F00"/>
    <w:rsid w:val="002E63BE"/>
    <w:rsid w:val="002E658A"/>
    <w:rsid w:val="002E69AE"/>
    <w:rsid w:val="002E6C25"/>
    <w:rsid w:val="002E6D17"/>
    <w:rsid w:val="002E6D70"/>
    <w:rsid w:val="002E6F49"/>
    <w:rsid w:val="002E6F61"/>
    <w:rsid w:val="002E711B"/>
    <w:rsid w:val="002E7775"/>
    <w:rsid w:val="002E7AD2"/>
    <w:rsid w:val="002E7B8C"/>
    <w:rsid w:val="002E7E7E"/>
    <w:rsid w:val="002F1395"/>
    <w:rsid w:val="002F1399"/>
    <w:rsid w:val="002F183F"/>
    <w:rsid w:val="002F193F"/>
    <w:rsid w:val="002F1EC1"/>
    <w:rsid w:val="002F2045"/>
    <w:rsid w:val="002F2122"/>
    <w:rsid w:val="002F29A0"/>
    <w:rsid w:val="002F2AA8"/>
    <w:rsid w:val="002F32DA"/>
    <w:rsid w:val="002F32FB"/>
    <w:rsid w:val="002F41A0"/>
    <w:rsid w:val="002F428A"/>
    <w:rsid w:val="002F4332"/>
    <w:rsid w:val="002F4448"/>
    <w:rsid w:val="002F4C3A"/>
    <w:rsid w:val="002F4DF0"/>
    <w:rsid w:val="002F520F"/>
    <w:rsid w:val="002F5611"/>
    <w:rsid w:val="002F5F5E"/>
    <w:rsid w:val="002F5F85"/>
    <w:rsid w:val="002F6143"/>
    <w:rsid w:val="002F6747"/>
    <w:rsid w:val="002F693F"/>
    <w:rsid w:val="002F6C30"/>
    <w:rsid w:val="002F6CC8"/>
    <w:rsid w:val="002F6D8A"/>
    <w:rsid w:val="002F7347"/>
    <w:rsid w:val="002F74F9"/>
    <w:rsid w:val="002F7873"/>
    <w:rsid w:val="002F7A8B"/>
    <w:rsid w:val="002F7EFF"/>
    <w:rsid w:val="00300113"/>
    <w:rsid w:val="003008CC"/>
    <w:rsid w:val="00300B89"/>
    <w:rsid w:val="0030111C"/>
    <w:rsid w:val="00301269"/>
    <w:rsid w:val="00301360"/>
    <w:rsid w:val="003015A7"/>
    <w:rsid w:val="00301763"/>
    <w:rsid w:val="0030182B"/>
    <w:rsid w:val="0030219D"/>
    <w:rsid w:val="00302252"/>
    <w:rsid w:val="003026A2"/>
    <w:rsid w:val="00302A5A"/>
    <w:rsid w:val="00302D1C"/>
    <w:rsid w:val="003033A5"/>
    <w:rsid w:val="00303893"/>
    <w:rsid w:val="003038C0"/>
    <w:rsid w:val="00303C60"/>
    <w:rsid w:val="00303CB0"/>
    <w:rsid w:val="00303FE5"/>
    <w:rsid w:val="003041A8"/>
    <w:rsid w:val="00304FB8"/>
    <w:rsid w:val="00305879"/>
    <w:rsid w:val="00305C6F"/>
    <w:rsid w:val="00305FB5"/>
    <w:rsid w:val="00306D85"/>
    <w:rsid w:val="00306F9F"/>
    <w:rsid w:val="00307299"/>
    <w:rsid w:val="00307D7C"/>
    <w:rsid w:val="00310432"/>
    <w:rsid w:val="0031095B"/>
    <w:rsid w:val="00310B9B"/>
    <w:rsid w:val="00310C3F"/>
    <w:rsid w:val="003112C1"/>
    <w:rsid w:val="00311FF7"/>
    <w:rsid w:val="00312AE4"/>
    <w:rsid w:val="00313C82"/>
    <w:rsid w:val="00313FCF"/>
    <w:rsid w:val="003140D2"/>
    <w:rsid w:val="003149B1"/>
    <w:rsid w:val="00314C3E"/>
    <w:rsid w:val="00314F9B"/>
    <w:rsid w:val="00314FCD"/>
    <w:rsid w:val="0031529B"/>
    <w:rsid w:val="003154CC"/>
    <w:rsid w:val="0031565A"/>
    <w:rsid w:val="00315A37"/>
    <w:rsid w:val="003160B0"/>
    <w:rsid w:val="003164CC"/>
    <w:rsid w:val="00316AE5"/>
    <w:rsid w:val="00316BC7"/>
    <w:rsid w:val="00317714"/>
    <w:rsid w:val="0031789C"/>
    <w:rsid w:val="00317EC5"/>
    <w:rsid w:val="0032099D"/>
    <w:rsid w:val="00320A17"/>
    <w:rsid w:val="00320AEE"/>
    <w:rsid w:val="0032108A"/>
    <w:rsid w:val="003215F1"/>
    <w:rsid w:val="00322232"/>
    <w:rsid w:val="003224A0"/>
    <w:rsid w:val="00322DA9"/>
    <w:rsid w:val="00322F2F"/>
    <w:rsid w:val="00323AB9"/>
    <w:rsid w:val="00323AF6"/>
    <w:rsid w:val="00323B5E"/>
    <w:rsid w:val="00323BA3"/>
    <w:rsid w:val="00323C24"/>
    <w:rsid w:val="00323CF4"/>
    <w:rsid w:val="00323E31"/>
    <w:rsid w:val="0032421D"/>
    <w:rsid w:val="00324DA8"/>
    <w:rsid w:val="00324E88"/>
    <w:rsid w:val="003251C2"/>
    <w:rsid w:val="003252E4"/>
    <w:rsid w:val="00325819"/>
    <w:rsid w:val="00325EDC"/>
    <w:rsid w:val="00325F51"/>
    <w:rsid w:val="00325FA0"/>
    <w:rsid w:val="003261C3"/>
    <w:rsid w:val="003265C1"/>
    <w:rsid w:val="00326C16"/>
    <w:rsid w:val="00326F1C"/>
    <w:rsid w:val="00327162"/>
    <w:rsid w:val="003302F3"/>
    <w:rsid w:val="003309AF"/>
    <w:rsid w:val="00330A0A"/>
    <w:rsid w:val="003316C0"/>
    <w:rsid w:val="0033185A"/>
    <w:rsid w:val="003328A9"/>
    <w:rsid w:val="00332934"/>
    <w:rsid w:val="003329D3"/>
    <w:rsid w:val="00332E75"/>
    <w:rsid w:val="00332FF4"/>
    <w:rsid w:val="00333208"/>
    <w:rsid w:val="003336FB"/>
    <w:rsid w:val="00334BCD"/>
    <w:rsid w:val="00334D45"/>
    <w:rsid w:val="00334E97"/>
    <w:rsid w:val="0033534B"/>
    <w:rsid w:val="003354E0"/>
    <w:rsid w:val="003355C4"/>
    <w:rsid w:val="00335C00"/>
    <w:rsid w:val="00336DA9"/>
    <w:rsid w:val="00336E9B"/>
    <w:rsid w:val="003370BA"/>
    <w:rsid w:val="003371B5"/>
    <w:rsid w:val="00337561"/>
    <w:rsid w:val="003378B1"/>
    <w:rsid w:val="00337BAF"/>
    <w:rsid w:val="00337BD2"/>
    <w:rsid w:val="00337CB9"/>
    <w:rsid w:val="00340341"/>
    <w:rsid w:val="003409E2"/>
    <w:rsid w:val="00340D8A"/>
    <w:rsid w:val="00340EDB"/>
    <w:rsid w:val="00341058"/>
    <w:rsid w:val="003414CE"/>
    <w:rsid w:val="00341560"/>
    <w:rsid w:val="003417CB"/>
    <w:rsid w:val="00341BE5"/>
    <w:rsid w:val="00341DB1"/>
    <w:rsid w:val="00342DB8"/>
    <w:rsid w:val="003435A9"/>
    <w:rsid w:val="00344649"/>
    <w:rsid w:val="00344733"/>
    <w:rsid w:val="00344901"/>
    <w:rsid w:val="003449DC"/>
    <w:rsid w:val="00344F34"/>
    <w:rsid w:val="00345496"/>
    <w:rsid w:val="00345B31"/>
    <w:rsid w:val="00345BCF"/>
    <w:rsid w:val="003461D1"/>
    <w:rsid w:val="00346485"/>
    <w:rsid w:val="00346561"/>
    <w:rsid w:val="003466F9"/>
    <w:rsid w:val="003467DB"/>
    <w:rsid w:val="00346831"/>
    <w:rsid w:val="003468D0"/>
    <w:rsid w:val="0034717E"/>
    <w:rsid w:val="003474B3"/>
    <w:rsid w:val="00350092"/>
    <w:rsid w:val="003501ED"/>
    <w:rsid w:val="003512AD"/>
    <w:rsid w:val="0035189F"/>
    <w:rsid w:val="003519AD"/>
    <w:rsid w:val="003519FE"/>
    <w:rsid w:val="00351B10"/>
    <w:rsid w:val="00351BF4"/>
    <w:rsid w:val="00351DA0"/>
    <w:rsid w:val="00351E0E"/>
    <w:rsid w:val="00352A04"/>
    <w:rsid w:val="00352DEB"/>
    <w:rsid w:val="00353234"/>
    <w:rsid w:val="003534C2"/>
    <w:rsid w:val="00353A0B"/>
    <w:rsid w:val="00354034"/>
    <w:rsid w:val="0035431C"/>
    <w:rsid w:val="003547DF"/>
    <w:rsid w:val="00354EB4"/>
    <w:rsid w:val="00355885"/>
    <w:rsid w:val="00355BB6"/>
    <w:rsid w:val="003566B4"/>
    <w:rsid w:val="00356D29"/>
    <w:rsid w:val="003570A0"/>
    <w:rsid w:val="003571C2"/>
    <w:rsid w:val="00357656"/>
    <w:rsid w:val="003602F0"/>
    <w:rsid w:val="00360743"/>
    <w:rsid w:val="0036094D"/>
    <w:rsid w:val="00360F80"/>
    <w:rsid w:val="003611D0"/>
    <w:rsid w:val="0036143B"/>
    <w:rsid w:val="00361568"/>
    <w:rsid w:val="00362E5A"/>
    <w:rsid w:val="00363517"/>
    <w:rsid w:val="003640A7"/>
    <w:rsid w:val="0036414E"/>
    <w:rsid w:val="0036465C"/>
    <w:rsid w:val="003649DF"/>
    <w:rsid w:val="00364A66"/>
    <w:rsid w:val="00364BF1"/>
    <w:rsid w:val="00364EE5"/>
    <w:rsid w:val="00365447"/>
    <w:rsid w:val="00365651"/>
    <w:rsid w:val="0036568E"/>
    <w:rsid w:val="00365AD6"/>
    <w:rsid w:val="00365BC9"/>
    <w:rsid w:val="00365D7E"/>
    <w:rsid w:val="00366528"/>
    <w:rsid w:val="00366951"/>
    <w:rsid w:val="00366A06"/>
    <w:rsid w:val="003672C5"/>
    <w:rsid w:val="003677C5"/>
    <w:rsid w:val="0036794E"/>
    <w:rsid w:val="00370589"/>
    <w:rsid w:val="00370639"/>
    <w:rsid w:val="00370954"/>
    <w:rsid w:val="00370CE2"/>
    <w:rsid w:val="00371BAA"/>
    <w:rsid w:val="00371C26"/>
    <w:rsid w:val="00371C6E"/>
    <w:rsid w:val="00372B3C"/>
    <w:rsid w:val="00372E4F"/>
    <w:rsid w:val="00374D63"/>
    <w:rsid w:val="0037514F"/>
    <w:rsid w:val="0037593D"/>
    <w:rsid w:val="003759B2"/>
    <w:rsid w:val="00375CB1"/>
    <w:rsid w:val="003765E9"/>
    <w:rsid w:val="003765F3"/>
    <w:rsid w:val="003766C4"/>
    <w:rsid w:val="003772CE"/>
    <w:rsid w:val="00380701"/>
    <w:rsid w:val="0038146C"/>
    <w:rsid w:val="00381934"/>
    <w:rsid w:val="00381B61"/>
    <w:rsid w:val="00381C10"/>
    <w:rsid w:val="00381CA9"/>
    <w:rsid w:val="00382609"/>
    <w:rsid w:val="003829D2"/>
    <w:rsid w:val="00383578"/>
    <w:rsid w:val="00384280"/>
    <w:rsid w:val="003843BD"/>
    <w:rsid w:val="003848A4"/>
    <w:rsid w:val="003848B2"/>
    <w:rsid w:val="00385134"/>
    <w:rsid w:val="003854C1"/>
    <w:rsid w:val="003857E4"/>
    <w:rsid w:val="00385C13"/>
    <w:rsid w:val="00385FDD"/>
    <w:rsid w:val="00385FF3"/>
    <w:rsid w:val="00386124"/>
    <w:rsid w:val="003862CC"/>
    <w:rsid w:val="003864D5"/>
    <w:rsid w:val="003867D5"/>
    <w:rsid w:val="00386920"/>
    <w:rsid w:val="00386FC8"/>
    <w:rsid w:val="00387093"/>
    <w:rsid w:val="0038787D"/>
    <w:rsid w:val="0039017D"/>
    <w:rsid w:val="00390567"/>
    <w:rsid w:val="003905A7"/>
    <w:rsid w:val="003909F8"/>
    <w:rsid w:val="00390CFF"/>
    <w:rsid w:val="00391AAA"/>
    <w:rsid w:val="003923C9"/>
    <w:rsid w:val="00392D8F"/>
    <w:rsid w:val="003935EF"/>
    <w:rsid w:val="003936F4"/>
    <w:rsid w:val="00393A5D"/>
    <w:rsid w:val="00393C8E"/>
    <w:rsid w:val="00393EEC"/>
    <w:rsid w:val="00394224"/>
    <w:rsid w:val="003943F1"/>
    <w:rsid w:val="003945C8"/>
    <w:rsid w:val="00395440"/>
    <w:rsid w:val="0039556E"/>
    <w:rsid w:val="00395A95"/>
    <w:rsid w:val="00396008"/>
    <w:rsid w:val="003966F6"/>
    <w:rsid w:val="0039677D"/>
    <w:rsid w:val="003967CA"/>
    <w:rsid w:val="0039696F"/>
    <w:rsid w:val="0039777E"/>
    <w:rsid w:val="003978E8"/>
    <w:rsid w:val="003979C8"/>
    <w:rsid w:val="00397AE0"/>
    <w:rsid w:val="00397C22"/>
    <w:rsid w:val="003A0660"/>
    <w:rsid w:val="003A090A"/>
    <w:rsid w:val="003A0D52"/>
    <w:rsid w:val="003A0E32"/>
    <w:rsid w:val="003A0EB2"/>
    <w:rsid w:val="003A1ADE"/>
    <w:rsid w:val="003A1B86"/>
    <w:rsid w:val="003A2ED1"/>
    <w:rsid w:val="003A44E5"/>
    <w:rsid w:val="003A493E"/>
    <w:rsid w:val="003A4C36"/>
    <w:rsid w:val="003A4C47"/>
    <w:rsid w:val="003A4F5A"/>
    <w:rsid w:val="003A58F5"/>
    <w:rsid w:val="003A5F9B"/>
    <w:rsid w:val="003A6724"/>
    <w:rsid w:val="003A6E10"/>
    <w:rsid w:val="003A6E1A"/>
    <w:rsid w:val="003A6FA3"/>
    <w:rsid w:val="003A71EC"/>
    <w:rsid w:val="003A79A6"/>
    <w:rsid w:val="003B0347"/>
    <w:rsid w:val="003B044C"/>
    <w:rsid w:val="003B0739"/>
    <w:rsid w:val="003B0B28"/>
    <w:rsid w:val="003B0BA1"/>
    <w:rsid w:val="003B163D"/>
    <w:rsid w:val="003B1805"/>
    <w:rsid w:val="003B29D5"/>
    <w:rsid w:val="003B2BCA"/>
    <w:rsid w:val="003B2CE3"/>
    <w:rsid w:val="003B3364"/>
    <w:rsid w:val="003B34C8"/>
    <w:rsid w:val="003B3840"/>
    <w:rsid w:val="003B3D1B"/>
    <w:rsid w:val="003B3DC1"/>
    <w:rsid w:val="003B4599"/>
    <w:rsid w:val="003B484F"/>
    <w:rsid w:val="003B4E14"/>
    <w:rsid w:val="003B5309"/>
    <w:rsid w:val="003B5687"/>
    <w:rsid w:val="003B5CB7"/>
    <w:rsid w:val="003B61B7"/>
    <w:rsid w:val="003B680A"/>
    <w:rsid w:val="003B6C5E"/>
    <w:rsid w:val="003B6F4A"/>
    <w:rsid w:val="003BEC1F"/>
    <w:rsid w:val="003C01A5"/>
    <w:rsid w:val="003C02C8"/>
    <w:rsid w:val="003C0630"/>
    <w:rsid w:val="003C0656"/>
    <w:rsid w:val="003C1640"/>
    <w:rsid w:val="003C196D"/>
    <w:rsid w:val="003C1AE2"/>
    <w:rsid w:val="003C1FF8"/>
    <w:rsid w:val="003C3828"/>
    <w:rsid w:val="003C4126"/>
    <w:rsid w:val="003C4F09"/>
    <w:rsid w:val="003C4F67"/>
    <w:rsid w:val="003C4F8F"/>
    <w:rsid w:val="003C5315"/>
    <w:rsid w:val="003C5A51"/>
    <w:rsid w:val="003C5B62"/>
    <w:rsid w:val="003C65D7"/>
    <w:rsid w:val="003C6B59"/>
    <w:rsid w:val="003C773F"/>
    <w:rsid w:val="003C7830"/>
    <w:rsid w:val="003C7D97"/>
    <w:rsid w:val="003D0061"/>
    <w:rsid w:val="003D0AE6"/>
    <w:rsid w:val="003D0E3E"/>
    <w:rsid w:val="003D0EFE"/>
    <w:rsid w:val="003D0F7B"/>
    <w:rsid w:val="003D120C"/>
    <w:rsid w:val="003D1A10"/>
    <w:rsid w:val="003D1C1D"/>
    <w:rsid w:val="003D234D"/>
    <w:rsid w:val="003D289E"/>
    <w:rsid w:val="003D299E"/>
    <w:rsid w:val="003D31C6"/>
    <w:rsid w:val="003D4176"/>
    <w:rsid w:val="003D462F"/>
    <w:rsid w:val="003D4760"/>
    <w:rsid w:val="003D4C91"/>
    <w:rsid w:val="003D5038"/>
    <w:rsid w:val="003D55E1"/>
    <w:rsid w:val="003D5C82"/>
    <w:rsid w:val="003D641A"/>
    <w:rsid w:val="003D693B"/>
    <w:rsid w:val="003D6A08"/>
    <w:rsid w:val="003D71EB"/>
    <w:rsid w:val="003D75C7"/>
    <w:rsid w:val="003D7A5D"/>
    <w:rsid w:val="003D7E11"/>
    <w:rsid w:val="003E0DA7"/>
    <w:rsid w:val="003E0E48"/>
    <w:rsid w:val="003E0EC4"/>
    <w:rsid w:val="003E12F9"/>
    <w:rsid w:val="003E1563"/>
    <w:rsid w:val="003E1717"/>
    <w:rsid w:val="003E21B2"/>
    <w:rsid w:val="003E22CB"/>
    <w:rsid w:val="003E2343"/>
    <w:rsid w:val="003E240E"/>
    <w:rsid w:val="003E2E61"/>
    <w:rsid w:val="003E343A"/>
    <w:rsid w:val="003E3C5F"/>
    <w:rsid w:val="003E3C70"/>
    <w:rsid w:val="003E406B"/>
    <w:rsid w:val="003E422B"/>
    <w:rsid w:val="003E4376"/>
    <w:rsid w:val="003E4B8A"/>
    <w:rsid w:val="003E4BEC"/>
    <w:rsid w:val="003E4F96"/>
    <w:rsid w:val="003E5558"/>
    <w:rsid w:val="003E5A9D"/>
    <w:rsid w:val="003E5CCA"/>
    <w:rsid w:val="003E5CF4"/>
    <w:rsid w:val="003E60EF"/>
    <w:rsid w:val="003E6AF3"/>
    <w:rsid w:val="003E6BF4"/>
    <w:rsid w:val="003E710C"/>
    <w:rsid w:val="003E73A7"/>
    <w:rsid w:val="003E75B0"/>
    <w:rsid w:val="003E7773"/>
    <w:rsid w:val="003E7896"/>
    <w:rsid w:val="003E79E5"/>
    <w:rsid w:val="003E7F72"/>
    <w:rsid w:val="003F08F6"/>
    <w:rsid w:val="003F0A94"/>
    <w:rsid w:val="003F115E"/>
    <w:rsid w:val="003F14C2"/>
    <w:rsid w:val="003F1B75"/>
    <w:rsid w:val="003F2210"/>
    <w:rsid w:val="003F330D"/>
    <w:rsid w:val="003F3415"/>
    <w:rsid w:val="003F4263"/>
    <w:rsid w:val="003F4CD7"/>
    <w:rsid w:val="003F523D"/>
    <w:rsid w:val="003F535C"/>
    <w:rsid w:val="003F56BA"/>
    <w:rsid w:val="003F5A22"/>
    <w:rsid w:val="003F640C"/>
    <w:rsid w:val="003F656F"/>
    <w:rsid w:val="003F65EB"/>
    <w:rsid w:val="003F6762"/>
    <w:rsid w:val="003F6B3E"/>
    <w:rsid w:val="003F6BAC"/>
    <w:rsid w:val="003F7196"/>
    <w:rsid w:val="003F7B70"/>
    <w:rsid w:val="003F7DC9"/>
    <w:rsid w:val="003F7E29"/>
    <w:rsid w:val="003F7E9D"/>
    <w:rsid w:val="004005D3"/>
    <w:rsid w:val="004008AF"/>
    <w:rsid w:val="00400B5F"/>
    <w:rsid w:val="00401436"/>
    <w:rsid w:val="00401A9A"/>
    <w:rsid w:val="00401C5D"/>
    <w:rsid w:val="00401DBF"/>
    <w:rsid w:val="00401F0B"/>
    <w:rsid w:val="00402152"/>
    <w:rsid w:val="00402B69"/>
    <w:rsid w:val="00402BDE"/>
    <w:rsid w:val="00402C93"/>
    <w:rsid w:val="00402E45"/>
    <w:rsid w:val="00402F9A"/>
    <w:rsid w:val="004033D9"/>
    <w:rsid w:val="00403A44"/>
    <w:rsid w:val="00403D28"/>
    <w:rsid w:val="004041C6"/>
    <w:rsid w:val="00404A94"/>
    <w:rsid w:val="00404C69"/>
    <w:rsid w:val="0040529A"/>
    <w:rsid w:val="0040551F"/>
    <w:rsid w:val="00405B59"/>
    <w:rsid w:val="00405F0D"/>
    <w:rsid w:val="00406F77"/>
    <w:rsid w:val="004074DC"/>
    <w:rsid w:val="0040757B"/>
    <w:rsid w:val="0040771F"/>
    <w:rsid w:val="00407C91"/>
    <w:rsid w:val="00410CE1"/>
    <w:rsid w:val="00410F89"/>
    <w:rsid w:val="004111F7"/>
    <w:rsid w:val="00411700"/>
    <w:rsid w:val="00411DA8"/>
    <w:rsid w:val="0041211D"/>
    <w:rsid w:val="0041217D"/>
    <w:rsid w:val="00412247"/>
    <w:rsid w:val="004125C6"/>
    <w:rsid w:val="0041275F"/>
    <w:rsid w:val="004128FE"/>
    <w:rsid w:val="00413319"/>
    <w:rsid w:val="004133EF"/>
    <w:rsid w:val="0041343C"/>
    <w:rsid w:val="0041360B"/>
    <w:rsid w:val="00413D1A"/>
    <w:rsid w:val="00413DE9"/>
    <w:rsid w:val="00413E45"/>
    <w:rsid w:val="00413FE4"/>
    <w:rsid w:val="00414874"/>
    <w:rsid w:val="00415336"/>
    <w:rsid w:val="00415A47"/>
    <w:rsid w:val="00415E2D"/>
    <w:rsid w:val="00416149"/>
    <w:rsid w:val="00416794"/>
    <w:rsid w:val="004167B7"/>
    <w:rsid w:val="004172A4"/>
    <w:rsid w:val="00417469"/>
    <w:rsid w:val="0041797E"/>
    <w:rsid w:val="00420E14"/>
    <w:rsid w:val="0042143B"/>
    <w:rsid w:val="004218AC"/>
    <w:rsid w:val="00421A89"/>
    <w:rsid w:val="00421EBC"/>
    <w:rsid w:val="00422119"/>
    <w:rsid w:val="0042264A"/>
    <w:rsid w:val="004226F4"/>
    <w:rsid w:val="00422BF0"/>
    <w:rsid w:val="0042304B"/>
    <w:rsid w:val="00423364"/>
    <w:rsid w:val="00423FE7"/>
    <w:rsid w:val="00424084"/>
    <w:rsid w:val="004246E7"/>
    <w:rsid w:val="004248E8"/>
    <w:rsid w:val="00424AB4"/>
    <w:rsid w:val="00424BC2"/>
    <w:rsid w:val="00425695"/>
    <w:rsid w:val="0042572F"/>
    <w:rsid w:val="004257CB"/>
    <w:rsid w:val="00425C2E"/>
    <w:rsid w:val="00425D80"/>
    <w:rsid w:val="004262FB"/>
    <w:rsid w:val="00426C57"/>
    <w:rsid w:val="004273AD"/>
    <w:rsid w:val="00427992"/>
    <w:rsid w:val="00427AB2"/>
    <w:rsid w:val="00427AE4"/>
    <w:rsid w:val="00427E99"/>
    <w:rsid w:val="00427F02"/>
    <w:rsid w:val="0043055A"/>
    <w:rsid w:val="004305AE"/>
    <w:rsid w:val="00430C37"/>
    <w:rsid w:val="004310F4"/>
    <w:rsid w:val="0043163F"/>
    <w:rsid w:val="00431800"/>
    <w:rsid w:val="004322C4"/>
    <w:rsid w:val="00432F1A"/>
    <w:rsid w:val="004334A6"/>
    <w:rsid w:val="00433541"/>
    <w:rsid w:val="00433C5F"/>
    <w:rsid w:val="00434F61"/>
    <w:rsid w:val="00435327"/>
    <w:rsid w:val="00435803"/>
    <w:rsid w:val="004362F4"/>
    <w:rsid w:val="00436500"/>
    <w:rsid w:val="00436514"/>
    <w:rsid w:val="00436A72"/>
    <w:rsid w:val="00436DD3"/>
    <w:rsid w:val="00437B9C"/>
    <w:rsid w:val="0044004D"/>
    <w:rsid w:val="00440AB4"/>
    <w:rsid w:val="00441114"/>
    <w:rsid w:val="004411A0"/>
    <w:rsid w:val="004416F2"/>
    <w:rsid w:val="00441A54"/>
    <w:rsid w:val="004423F7"/>
    <w:rsid w:val="00442889"/>
    <w:rsid w:val="004428F6"/>
    <w:rsid w:val="00442A49"/>
    <w:rsid w:val="00442AD2"/>
    <w:rsid w:val="00442C13"/>
    <w:rsid w:val="00442D6E"/>
    <w:rsid w:val="00443676"/>
    <w:rsid w:val="004436AD"/>
    <w:rsid w:val="00443988"/>
    <w:rsid w:val="00443B2D"/>
    <w:rsid w:val="00443CC0"/>
    <w:rsid w:val="00444591"/>
    <w:rsid w:val="004446E8"/>
    <w:rsid w:val="00444A78"/>
    <w:rsid w:val="004450CD"/>
    <w:rsid w:val="004452A0"/>
    <w:rsid w:val="00445769"/>
    <w:rsid w:val="00445B28"/>
    <w:rsid w:val="00446116"/>
    <w:rsid w:val="0044690B"/>
    <w:rsid w:val="00446BBE"/>
    <w:rsid w:val="004474F2"/>
    <w:rsid w:val="0044782C"/>
    <w:rsid w:val="004478C3"/>
    <w:rsid w:val="00447B9C"/>
    <w:rsid w:val="00447D5F"/>
    <w:rsid w:val="00447FD2"/>
    <w:rsid w:val="0045029A"/>
    <w:rsid w:val="0045093D"/>
    <w:rsid w:val="00451085"/>
    <w:rsid w:val="00451215"/>
    <w:rsid w:val="00451645"/>
    <w:rsid w:val="004518C0"/>
    <w:rsid w:val="00451925"/>
    <w:rsid w:val="00451B04"/>
    <w:rsid w:val="00452558"/>
    <w:rsid w:val="00452B20"/>
    <w:rsid w:val="00452FA8"/>
    <w:rsid w:val="00453A3D"/>
    <w:rsid w:val="00453A54"/>
    <w:rsid w:val="00454482"/>
    <w:rsid w:val="004545C6"/>
    <w:rsid w:val="00454E7E"/>
    <w:rsid w:val="00454F8E"/>
    <w:rsid w:val="004558B0"/>
    <w:rsid w:val="0045599D"/>
    <w:rsid w:val="00455F21"/>
    <w:rsid w:val="00456124"/>
    <w:rsid w:val="004565BC"/>
    <w:rsid w:val="00456771"/>
    <w:rsid w:val="004568AB"/>
    <w:rsid w:val="004571EF"/>
    <w:rsid w:val="00457385"/>
    <w:rsid w:val="0045787A"/>
    <w:rsid w:val="004578FA"/>
    <w:rsid w:val="00457A0A"/>
    <w:rsid w:val="0046008A"/>
    <w:rsid w:val="00460156"/>
    <w:rsid w:val="004620E8"/>
    <w:rsid w:val="004623A2"/>
    <w:rsid w:val="00462778"/>
    <w:rsid w:val="00462B9C"/>
    <w:rsid w:val="004636FE"/>
    <w:rsid w:val="00463FA2"/>
    <w:rsid w:val="00464464"/>
    <w:rsid w:val="00464606"/>
    <w:rsid w:val="0046485B"/>
    <w:rsid w:val="00464B9A"/>
    <w:rsid w:val="00464CD3"/>
    <w:rsid w:val="00464EF0"/>
    <w:rsid w:val="00464F6C"/>
    <w:rsid w:val="004653CE"/>
    <w:rsid w:val="00465CA2"/>
    <w:rsid w:val="00465E75"/>
    <w:rsid w:val="00466867"/>
    <w:rsid w:val="0046792C"/>
    <w:rsid w:val="00467D8B"/>
    <w:rsid w:val="004716AE"/>
    <w:rsid w:val="0047180A"/>
    <w:rsid w:val="0047187B"/>
    <w:rsid w:val="00471D0D"/>
    <w:rsid w:val="00472424"/>
    <w:rsid w:val="004728BC"/>
    <w:rsid w:val="004728FC"/>
    <w:rsid w:val="004736C7"/>
    <w:rsid w:val="00473A30"/>
    <w:rsid w:val="00473F5B"/>
    <w:rsid w:val="0047412D"/>
    <w:rsid w:val="004741F0"/>
    <w:rsid w:val="00474342"/>
    <w:rsid w:val="00474805"/>
    <w:rsid w:val="00474D3B"/>
    <w:rsid w:val="00474E01"/>
    <w:rsid w:val="00475508"/>
    <w:rsid w:val="00475519"/>
    <w:rsid w:val="004757B5"/>
    <w:rsid w:val="0047636B"/>
    <w:rsid w:val="00476CE3"/>
    <w:rsid w:val="004770E2"/>
    <w:rsid w:val="00477277"/>
    <w:rsid w:val="0047753E"/>
    <w:rsid w:val="00477AD8"/>
    <w:rsid w:val="00480773"/>
    <w:rsid w:val="00480D83"/>
    <w:rsid w:val="00481420"/>
    <w:rsid w:val="004823AD"/>
    <w:rsid w:val="004824F9"/>
    <w:rsid w:val="00482804"/>
    <w:rsid w:val="00482B47"/>
    <w:rsid w:val="00482E37"/>
    <w:rsid w:val="00483018"/>
    <w:rsid w:val="00483031"/>
    <w:rsid w:val="0048323E"/>
    <w:rsid w:val="004835D7"/>
    <w:rsid w:val="0048447A"/>
    <w:rsid w:val="0048461A"/>
    <w:rsid w:val="00484914"/>
    <w:rsid w:val="00484DC5"/>
    <w:rsid w:val="00485217"/>
    <w:rsid w:val="00485675"/>
    <w:rsid w:val="004860F0"/>
    <w:rsid w:val="0048678E"/>
    <w:rsid w:val="00486897"/>
    <w:rsid w:val="00486D7F"/>
    <w:rsid w:val="00486E9A"/>
    <w:rsid w:val="004876CF"/>
    <w:rsid w:val="00487C85"/>
    <w:rsid w:val="00487D3F"/>
    <w:rsid w:val="004904DB"/>
    <w:rsid w:val="00490B34"/>
    <w:rsid w:val="00490C43"/>
    <w:rsid w:val="00490DC4"/>
    <w:rsid w:val="0049118F"/>
    <w:rsid w:val="00491817"/>
    <w:rsid w:val="00491A0E"/>
    <w:rsid w:val="00491A30"/>
    <w:rsid w:val="00491CAD"/>
    <w:rsid w:val="0049317B"/>
    <w:rsid w:val="004939D5"/>
    <w:rsid w:val="00493C1B"/>
    <w:rsid w:val="00493DBC"/>
    <w:rsid w:val="00494085"/>
    <w:rsid w:val="00494671"/>
    <w:rsid w:val="00494F64"/>
    <w:rsid w:val="004953E7"/>
    <w:rsid w:val="0049548A"/>
    <w:rsid w:val="004955B3"/>
    <w:rsid w:val="004955F3"/>
    <w:rsid w:val="00495ABA"/>
    <w:rsid w:val="004960A5"/>
    <w:rsid w:val="00496649"/>
    <w:rsid w:val="00496F53"/>
    <w:rsid w:val="00496F54"/>
    <w:rsid w:val="004973CA"/>
    <w:rsid w:val="00497488"/>
    <w:rsid w:val="00497B9F"/>
    <w:rsid w:val="004A0833"/>
    <w:rsid w:val="004A0AF5"/>
    <w:rsid w:val="004A0CFC"/>
    <w:rsid w:val="004A0F56"/>
    <w:rsid w:val="004A2084"/>
    <w:rsid w:val="004A27B8"/>
    <w:rsid w:val="004A2FA4"/>
    <w:rsid w:val="004A315F"/>
    <w:rsid w:val="004A4430"/>
    <w:rsid w:val="004A4EDD"/>
    <w:rsid w:val="004A4FDF"/>
    <w:rsid w:val="004A5489"/>
    <w:rsid w:val="004A5C22"/>
    <w:rsid w:val="004A5E73"/>
    <w:rsid w:val="004A64CA"/>
    <w:rsid w:val="004A6D0F"/>
    <w:rsid w:val="004A6E0E"/>
    <w:rsid w:val="004A715C"/>
    <w:rsid w:val="004A749C"/>
    <w:rsid w:val="004A7635"/>
    <w:rsid w:val="004A7892"/>
    <w:rsid w:val="004A7918"/>
    <w:rsid w:val="004A7A52"/>
    <w:rsid w:val="004A7F6C"/>
    <w:rsid w:val="004B0477"/>
    <w:rsid w:val="004B0818"/>
    <w:rsid w:val="004B10CA"/>
    <w:rsid w:val="004B19FE"/>
    <w:rsid w:val="004B1A92"/>
    <w:rsid w:val="004B206C"/>
    <w:rsid w:val="004B2A4D"/>
    <w:rsid w:val="004B2F45"/>
    <w:rsid w:val="004B33C2"/>
    <w:rsid w:val="004B33E1"/>
    <w:rsid w:val="004B3D8A"/>
    <w:rsid w:val="004B4214"/>
    <w:rsid w:val="004B4BEC"/>
    <w:rsid w:val="004B5F09"/>
    <w:rsid w:val="004B627C"/>
    <w:rsid w:val="004B689D"/>
    <w:rsid w:val="004B69B1"/>
    <w:rsid w:val="004B6F83"/>
    <w:rsid w:val="004B78B9"/>
    <w:rsid w:val="004B7F14"/>
    <w:rsid w:val="004C011D"/>
    <w:rsid w:val="004C07FB"/>
    <w:rsid w:val="004C0D9F"/>
    <w:rsid w:val="004C0E97"/>
    <w:rsid w:val="004C145A"/>
    <w:rsid w:val="004C192E"/>
    <w:rsid w:val="004C1D7C"/>
    <w:rsid w:val="004C2C72"/>
    <w:rsid w:val="004C2E97"/>
    <w:rsid w:val="004C2F24"/>
    <w:rsid w:val="004C31AC"/>
    <w:rsid w:val="004C39FA"/>
    <w:rsid w:val="004C448F"/>
    <w:rsid w:val="004C4616"/>
    <w:rsid w:val="004C48C8"/>
    <w:rsid w:val="004C4BBE"/>
    <w:rsid w:val="004C50DF"/>
    <w:rsid w:val="004C51DA"/>
    <w:rsid w:val="004C543C"/>
    <w:rsid w:val="004C544F"/>
    <w:rsid w:val="004C564F"/>
    <w:rsid w:val="004C598D"/>
    <w:rsid w:val="004C5AFB"/>
    <w:rsid w:val="004C6166"/>
    <w:rsid w:val="004C64F4"/>
    <w:rsid w:val="004C6B2B"/>
    <w:rsid w:val="004C6D11"/>
    <w:rsid w:val="004C763F"/>
    <w:rsid w:val="004C7C1B"/>
    <w:rsid w:val="004C7E25"/>
    <w:rsid w:val="004C7E69"/>
    <w:rsid w:val="004D07C6"/>
    <w:rsid w:val="004D0D91"/>
    <w:rsid w:val="004D22C8"/>
    <w:rsid w:val="004D2385"/>
    <w:rsid w:val="004D28D2"/>
    <w:rsid w:val="004D3897"/>
    <w:rsid w:val="004D3FBF"/>
    <w:rsid w:val="004D4425"/>
    <w:rsid w:val="004D5491"/>
    <w:rsid w:val="004D5A1A"/>
    <w:rsid w:val="004D5C64"/>
    <w:rsid w:val="004D5FFD"/>
    <w:rsid w:val="004D678A"/>
    <w:rsid w:val="004E0266"/>
    <w:rsid w:val="004E029F"/>
    <w:rsid w:val="004E0620"/>
    <w:rsid w:val="004E0703"/>
    <w:rsid w:val="004E0AFC"/>
    <w:rsid w:val="004E0E0E"/>
    <w:rsid w:val="004E1175"/>
    <w:rsid w:val="004E13EC"/>
    <w:rsid w:val="004E1704"/>
    <w:rsid w:val="004E1A49"/>
    <w:rsid w:val="004E1E02"/>
    <w:rsid w:val="004E2BD6"/>
    <w:rsid w:val="004E33F9"/>
    <w:rsid w:val="004E359C"/>
    <w:rsid w:val="004E542A"/>
    <w:rsid w:val="004E5505"/>
    <w:rsid w:val="004E5B8C"/>
    <w:rsid w:val="004E6118"/>
    <w:rsid w:val="004E63C7"/>
    <w:rsid w:val="004E640C"/>
    <w:rsid w:val="004E680E"/>
    <w:rsid w:val="004F0140"/>
    <w:rsid w:val="004F06DB"/>
    <w:rsid w:val="004F08F8"/>
    <w:rsid w:val="004F2420"/>
    <w:rsid w:val="004F2FDB"/>
    <w:rsid w:val="004F320A"/>
    <w:rsid w:val="004F33A6"/>
    <w:rsid w:val="004F394E"/>
    <w:rsid w:val="004F404A"/>
    <w:rsid w:val="004F47BC"/>
    <w:rsid w:val="004F543D"/>
    <w:rsid w:val="004F62A4"/>
    <w:rsid w:val="004F65A1"/>
    <w:rsid w:val="004F6AD3"/>
    <w:rsid w:val="004F739D"/>
    <w:rsid w:val="004F7606"/>
    <w:rsid w:val="004F79B0"/>
    <w:rsid w:val="004F79D0"/>
    <w:rsid w:val="004F7B49"/>
    <w:rsid w:val="004F7E6C"/>
    <w:rsid w:val="005000F7"/>
    <w:rsid w:val="00500ADC"/>
    <w:rsid w:val="00501299"/>
    <w:rsid w:val="00501386"/>
    <w:rsid w:val="00501BD9"/>
    <w:rsid w:val="00501C25"/>
    <w:rsid w:val="00501F53"/>
    <w:rsid w:val="005027A6"/>
    <w:rsid w:val="00502DAE"/>
    <w:rsid w:val="00502F61"/>
    <w:rsid w:val="00502FFB"/>
    <w:rsid w:val="0050335D"/>
    <w:rsid w:val="005034F5"/>
    <w:rsid w:val="0050355B"/>
    <w:rsid w:val="005038A0"/>
    <w:rsid w:val="00504212"/>
    <w:rsid w:val="00504580"/>
    <w:rsid w:val="0050465F"/>
    <w:rsid w:val="00504A82"/>
    <w:rsid w:val="00504D61"/>
    <w:rsid w:val="00504DDE"/>
    <w:rsid w:val="00504E8B"/>
    <w:rsid w:val="00505E19"/>
    <w:rsid w:val="00506052"/>
    <w:rsid w:val="00506501"/>
    <w:rsid w:val="00506504"/>
    <w:rsid w:val="00506B07"/>
    <w:rsid w:val="00506D68"/>
    <w:rsid w:val="005071BD"/>
    <w:rsid w:val="00507651"/>
    <w:rsid w:val="00507AB4"/>
    <w:rsid w:val="00507DB4"/>
    <w:rsid w:val="00507FCD"/>
    <w:rsid w:val="005103C5"/>
    <w:rsid w:val="00510BF2"/>
    <w:rsid w:val="005122A4"/>
    <w:rsid w:val="00512330"/>
    <w:rsid w:val="005127F3"/>
    <w:rsid w:val="00512FAC"/>
    <w:rsid w:val="005131D3"/>
    <w:rsid w:val="0051352C"/>
    <w:rsid w:val="00514812"/>
    <w:rsid w:val="00514967"/>
    <w:rsid w:val="00514C72"/>
    <w:rsid w:val="00514DE8"/>
    <w:rsid w:val="00514FC2"/>
    <w:rsid w:val="00515852"/>
    <w:rsid w:val="00515980"/>
    <w:rsid w:val="00515BFA"/>
    <w:rsid w:val="00516452"/>
    <w:rsid w:val="00516C14"/>
    <w:rsid w:val="0051717D"/>
    <w:rsid w:val="005171CC"/>
    <w:rsid w:val="00517A86"/>
    <w:rsid w:val="00517C28"/>
    <w:rsid w:val="00517FB5"/>
    <w:rsid w:val="00520918"/>
    <w:rsid w:val="0052123F"/>
    <w:rsid w:val="005213E0"/>
    <w:rsid w:val="00521428"/>
    <w:rsid w:val="0052224B"/>
    <w:rsid w:val="00522608"/>
    <w:rsid w:val="005227AD"/>
    <w:rsid w:val="00522D3F"/>
    <w:rsid w:val="0052349D"/>
    <w:rsid w:val="00523B8C"/>
    <w:rsid w:val="00523CE8"/>
    <w:rsid w:val="005243F1"/>
    <w:rsid w:val="00524BE8"/>
    <w:rsid w:val="00524D62"/>
    <w:rsid w:val="00524E9F"/>
    <w:rsid w:val="005250BD"/>
    <w:rsid w:val="0052511C"/>
    <w:rsid w:val="00525231"/>
    <w:rsid w:val="0052575D"/>
    <w:rsid w:val="00525806"/>
    <w:rsid w:val="005260A9"/>
    <w:rsid w:val="005261DE"/>
    <w:rsid w:val="0052638E"/>
    <w:rsid w:val="00526646"/>
    <w:rsid w:val="00526703"/>
    <w:rsid w:val="00526C92"/>
    <w:rsid w:val="00526C96"/>
    <w:rsid w:val="00526DE3"/>
    <w:rsid w:val="00526EDB"/>
    <w:rsid w:val="00527565"/>
    <w:rsid w:val="00527584"/>
    <w:rsid w:val="005275FC"/>
    <w:rsid w:val="0052768C"/>
    <w:rsid w:val="0052775F"/>
    <w:rsid w:val="005279FF"/>
    <w:rsid w:val="00527D5A"/>
    <w:rsid w:val="00527FC6"/>
    <w:rsid w:val="00530519"/>
    <w:rsid w:val="00530896"/>
    <w:rsid w:val="005310AF"/>
    <w:rsid w:val="005315F7"/>
    <w:rsid w:val="00531BA4"/>
    <w:rsid w:val="00533905"/>
    <w:rsid w:val="005342C3"/>
    <w:rsid w:val="0053475F"/>
    <w:rsid w:val="00534876"/>
    <w:rsid w:val="00534CD6"/>
    <w:rsid w:val="00535004"/>
    <w:rsid w:val="00535C08"/>
    <w:rsid w:val="005362F5"/>
    <w:rsid w:val="0053725B"/>
    <w:rsid w:val="00537AC9"/>
    <w:rsid w:val="00537EC6"/>
    <w:rsid w:val="005402E6"/>
    <w:rsid w:val="005407B1"/>
    <w:rsid w:val="00540C57"/>
    <w:rsid w:val="00540E0F"/>
    <w:rsid w:val="005417DB"/>
    <w:rsid w:val="005421FD"/>
    <w:rsid w:val="00542466"/>
    <w:rsid w:val="00542962"/>
    <w:rsid w:val="00543CE9"/>
    <w:rsid w:val="0054486D"/>
    <w:rsid w:val="00544EA4"/>
    <w:rsid w:val="00545090"/>
    <w:rsid w:val="00545590"/>
    <w:rsid w:val="0054590E"/>
    <w:rsid w:val="00545F6B"/>
    <w:rsid w:val="005475AB"/>
    <w:rsid w:val="005475E8"/>
    <w:rsid w:val="0054774F"/>
    <w:rsid w:val="005503D6"/>
    <w:rsid w:val="005505EB"/>
    <w:rsid w:val="00550E15"/>
    <w:rsid w:val="00552177"/>
    <w:rsid w:val="0055246D"/>
    <w:rsid w:val="00552D5F"/>
    <w:rsid w:val="005531BD"/>
    <w:rsid w:val="00553766"/>
    <w:rsid w:val="00553825"/>
    <w:rsid w:val="00553AF4"/>
    <w:rsid w:val="00554067"/>
    <w:rsid w:val="0055421D"/>
    <w:rsid w:val="00554706"/>
    <w:rsid w:val="00554A64"/>
    <w:rsid w:val="00554C12"/>
    <w:rsid w:val="005553E0"/>
    <w:rsid w:val="00555794"/>
    <w:rsid w:val="00555FE8"/>
    <w:rsid w:val="00556595"/>
    <w:rsid w:val="005567B2"/>
    <w:rsid w:val="00556845"/>
    <w:rsid w:val="00556B66"/>
    <w:rsid w:val="00556FA2"/>
    <w:rsid w:val="00557381"/>
    <w:rsid w:val="00557870"/>
    <w:rsid w:val="00557D9B"/>
    <w:rsid w:val="00560277"/>
    <w:rsid w:val="00560305"/>
    <w:rsid w:val="0056043D"/>
    <w:rsid w:val="0056092C"/>
    <w:rsid w:val="00560938"/>
    <w:rsid w:val="00560AF1"/>
    <w:rsid w:val="005612F4"/>
    <w:rsid w:val="00561561"/>
    <w:rsid w:val="00561562"/>
    <w:rsid w:val="00561ADA"/>
    <w:rsid w:val="00561B11"/>
    <w:rsid w:val="005621C0"/>
    <w:rsid w:val="00562615"/>
    <w:rsid w:val="00562798"/>
    <w:rsid w:val="0056292D"/>
    <w:rsid w:val="00562C93"/>
    <w:rsid w:val="00562D49"/>
    <w:rsid w:val="00562D99"/>
    <w:rsid w:val="00562DAD"/>
    <w:rsid w:val="00562DB1"/>
    <w:rsid w:val="00563DE6"/>
    <w:rsid w:val="00563EE6"/>
    <w:rsid w:val="00564117"/>
    <w:rsid w:val="00564278"/>
    <w:rsid w:val="005643A2"/>
    <w:rsid w:val="005643A3"/>
    <w:rsid w:val="005647DF"/>
    <w:rsid w:val="0056528D"/>
    <w:rsid w:val="00565AE6"/>
    <w:rsid w:val="00565CB7"/>
    <w:rsid w:val="0056628B"/>
    <w:rsid w:val="00566298"/>
    <w:rsid w:val="00566BFC"/>
    <w:rsid w:val="005672B5"/>
    <w:rsid w:val="00567451"/>
    <w:rsid w:val="0056753D"/>
    <w:rsid w:val="00567572"/>
    <w:rsid w:val="00567A46"/>
    <w:rsid w:val="00567AAC"/>
    <w:rsid w:val="00567EC2"/>
    <w:rsid w:val="0057038B"/>
    <w:rsid w:val="0057091E"/>
    <w:rsid w:val="00570E11"/>
    <w:rsid w:val="00570F68"/>
    <w:rsid w:val="005711A5"/>
    <w:rsid w:val="0057189F"/>
    <w:rsid w:val="00571A9D"/>
    <w:rsid w:val="00571EB5"/>
    <w:rsid w:val="005723D6"/>
    <w:rsid w:val="00572BBA"/>
    <w:rsid w:val="00572FA3"/>
    <w:rsid w:val="00573BE5"/>
    <w:rsid w:val="0057489E"/>
    <w:rsid w:val="00574A6E"/>
    <w:rsid w:val="0057500B"/>
    <w:rsid w:val="0057524E"/>
    <w:rsid w:val="00575AD9"/>
    <w:rsid w:val="00575BE5"/>
    <w:rsid w:val="00576080"/>
    <w:rsid w:val="005763FC"/>
    <w:rsid w:val="00576523"/>
    <w:rsid w:val="005766FB"/>
    <w:rsid w:val="00576970"/>
    <w:rsid w:val="00577145"/>
    <w:rsid w:val="005773BE"/>
    <w:rsid w:val="005773FC"/>
    <w:rsid w:val="005779FC"/>
    <w:rsid w:val="00580858"/>
    <w:rsid w:val="00580BD8"/>
    <w:rsid w:val="00580CB2"/>
    <w:rsid w:val="00580D17"/>
    <w:rsid w:val="005815A2"/>
    <w:rsid w:val="005817C6"/>
    <w:rsid w:val="00581A9F"/>
    <w:rsid w:val="00582365"/>
    <w:rsid w:val="00582395"/>
    <w:rsid w:val="0058357C"/>
    <w:rsid w:val="00583BA5"/>
    <w:rsid w:val="00583C5F"/>
    <w:rsid w:val="00583DE3"/>
    <w:rsid w:val="005849DA"/>
    <w:rsid w:val="00584F3C"/>
    <w:rsid w:val="005850B9"/>
    <w:rsid w:val="00585337"/>
    <w:rsid w:val="0058559A"/>
    <w:rsid w:val="00585C1B"/>
    <w:rsid w:val="00587639"/>
    <w:rsid w:val="00587657"/>
    <w:rsid w:val="00587F6C"/>
    <w:rsid w:val="0059054F"/>
    <w:rsid w:val="0059058B"/>
    <w:rsid w:val="00590B2C"/>
    <w:rsid w:val="00591B50"/>
    <w:rsid w:val="00591FBC"/>
    <w:rsid w:val="00592638"/>
    <w:rsid w:val="00593138"/>
    <w:rsid w:val="00593340"/>
    <w:rsid w:val="00593761"/>
    <w:rsid w:val="00593A33"/>
    <w:rsid w:val="00594371"/>
    <w:rsid w:val="005947B5"/>
    <w:rsid w:val="00595943"/>
    <w:rsid w:val="005960BB"/>
    <w:rsid w:val="005963A1"/>
    <w:rsid w:val="005968AD"/>
    <w:rsid w:val="00597407"/>
    <w:rsid w:val="00597C44"/>
    <w:rsid w:val="00597DE0"/>
    <w:rsid w:val="005A01E2"/>
    <w:rsid w:val="005A02A3"/>
    <w:rsid w:val="005A0496"/>
    <w:rsid w:val="005A282A"/>
    <w:rsid w:val="005A3946"/>
    <w:rsid w:val="005A3AFA"/>
    <w:rsid w:val="005A3BAB"/>
    <w:rsid w:val="005A3E52"/>
    <w:rsid w:val="005A4047"/>
    <w:rsid w:val="005A420E"/>
    <w:rsid w:val="005A4384"/>
    <w:rsid w:val="005A4761"/>
    <w:rsid w:val="005A5182"/>
    <w:rsid w:val="005A5543"/>
    <w:rsid w:val="005A5778"/>
    <w:rsid w:val="005A57C4"/>
    <w:rsid w:val="005A594C"/>
    <w:rsid w:val="005A5AE1"/>
    <w:rsid w:val="005A5D27"/>
    <w:rsid w:val="005A61EF"/>
    <w:rsid w:val="005A642B"/>
    <w:rsid w:val="005A6732"/>
    <w:rsid w:val="005A7012"/>
    <w:rsid w:val="005A709E"/>
    <w:rsid w:val="005A7638"/>
    <w:rsid w:val="005A7A5E"/>
    <w:rsid w:val="005A7FF0"/>
    <w:rsid w:val="005B0525"/>
    <w:rsid w:val="005B0551"/>
    <w:rsid w:val="005B0FBE"/>
    <w:rsid w:val="005B14DD"/>
    <w:rsid w:val="005B1C07"/>
    <w:rsid w:val="005B1D09"/>
    <w:rsid w:val="005B1DB0"/>
    <w:rsid w:val="005B22CC"/>
    <w:rsid w:val="005B25C8"/>
    <w:rsid w:val="005B28E3"/>
    <w:rsid w:val="005B2B08"/>
    <w:rsid w:val="005B2B46"/>
    <w:rsid w:val="005B2FF3"/>
    <w:rsid w:val="005B3286"/>
    <w:rsid w:val="005B3392"/>
    <w:rsid w:val="005B3432"/>
    <w:rsid w:val="005B35A7"/>
    <w:rsid w:val="005B38A7"/>
    <w:rsid w:val="005B3BD6"/>
    <w:rsid w:val="005B4113"/>
    <w:rsid w:val="005B45CF"/>
    <w:rsid w:val="005B4656"/>
    <w:rsid w:val="005B4F64"/>
    <w:rsid w:val="005B5493"/>
    <w:rsid w:val="005B5AC7"/>
    <w:rsid w:val="005B619B"/>
    <w:rsid w:val="005B65F9"/>
    <w:rsid w:val="005B6855"/>
    <w:rsid w:val="005B702A"/>
    <w:rsid w:val="005B7BCE"/>
    <w:rsid w:val="005B7D1B"/>
    <w:rsid w:val="005B7D6C"/>
    <w:rsid w:val="005C09FE"/>
    <w:rsid w:val="005C31EC"/>
    <w:rsid w:val="005C3D0B"/>
    <w:rsid w:val="005C4891"/>
    <w:rsid w:val="005C49D3"/>
    <w:rsid w:val="005C4BDA"/>
    <w:rsid w:val="005C4D80"/>
    <w:rsid w:val="005C5047"/>
    <w:rsid w:val="005C5307"/>
    <w:rsid w:val="005C54CD"/>
    <w:rsid w:val="005C5A29"/>
    <w:rsid w:val="005C5B58"/>
    <w:rsid w:val="005C5CBA"/>
    <w:rsid w:val="005C6650"/>
    <w:rsid w:val="005C7215"/>
    <w:rsid w:val="005C73C4"/>
    <w:rsid w:val="005C7D8F"/>
    <w:rsid w:val="005D00EA"/>
    <w:rsid w:val="005D023B"/>
    <w:rsid w:val="005D02C4"/>
    <w:rsid w:val="005D0764"/>
    <w:rsid w:val="005D0D61"/>
    <w:rsid w:val="005D11FF"/>
    <w:rsid w:val="005D180C"/>
    <w:rsid w:val="005D210F"/>
    <w:rsid w:val="005D2304"/>
    <w:rsid w:val="005D2540"/>
    <w:rsid w:val="005D2940"/>
    <w:rsid w:val="005D2BCC"/>
    <w:rsid w:val="005D2D2B"/>
    <w:rsid w:val="005D2EAD"/>
    <w:rsid w:val="005D2F15"/>
    <w:rsid w:val="005D30D2"/>
    <w:rsid w:val="005D3A04"/>
    <w:rsid w:val="005D3ACD"/>
    <w:rsid w:val="005D3B68"/>
    <w:rsid w:val="005D48FE"/>
    <w:rsid w:val="005D4963"/>
    <w:rsid w:val="005D52C3"/>
    <w:rsid w:val="005D5FCD"/>
    <w:rsid w:val="005D6C3A"/>
    <w:rsid w:val="005D6D08"/>
    <w:rsid w:val="005D6D87"/>
    <w:rsid w:val="005D7107"/>
    <w:rsid w:val="005D7471"/>
    <w:rsid w:val="005D749D"/>
    <w:rsid w:val="005D7698"/>
    <w:rsid w:val="005D76BF"/>
    <w:rsid w:val="005D7C9B"/>
    <w:rsid w:val="005D7CA8"/>
    <w:rsid w:val="005E08D2"/>
    <w:rsid w:val="005E0AB9"/>
    <w:rsid w:val="005E0AC0"/>
    <w:rsid w:val="005E0B6F"/>
    <w:rsid w:val="005E12D4"/>
    <w:rsid w:val="005E1729"/>
    <w:rsid w:val="005E1E25"/>
    <w:rsid w:val="005E2663"/>
    <w:rsid w:val="005E2702"/>
    <w:rsid w:val="005E354B"/>
    <w:rsid w:val="005E377D"/>
    <w:rsid w:val="005E3B57"/>
    <w:rsid w:val="005E3DC8"/>
    <w:rsid w:val="005E4798"/>
    <w:rsid w:val="005E525C"/>
    <w:rsid w:val="005E5874"/>
    <w:rsid w:val="005E5A9F"/>
    <w:rsid w:val="005E6337"/>
    <w:rsid w:val="005E6439"/>
    <w:rsid w:val="005E6720"/>
    <w:rsid w:val="005E6BA2"/>
    <w:rsid w:val="005E6C0F"/>
    <w:rsid w:val="005E73D9"/>
    <w:rsid w:val="005E75D5"/>
    <w:rsid w:val="005E7697"/>
    <w:rsid w:val="005E7BDC"/>
    <w:rsid w:val="005E7D2D"/>
    <w:rsid w:val="005F02F5"/>
    <w:rsid w:val="005F098B"/>
    <w:rsid w:val="005F1555"/>
    <w:rsid w:val="005F21F7"/>
    <w:rsid w:val="005F252C"/>
    <w:rsid w:val="005F28A3"/>
    <w:rsid w:val="005F2978"/>
    <w:rsid w:val="005F2FD3"/>
    <w:rsid w:val="005F31D7"/>
    <w:rsid w:val="005F4721"/>
    <w:rsid w:val="005F47C3"/>
    <w:rsid w:val="005F48C5"/>
    <w:rsid w:val="005F4E30"/>
    <w:rsid w:val="005F4F4A"/>
    <w:rsid w:val="005F6104"/>
    <w:rsid w:val="005F65C6"/>
    <w:rsid w:val="005F6C4F"/>
    <w:rsid w:val="005F720A"/>
    <w:rsid w:val="005F7706"/>
    <w:rsid w:val="005F784B"/>
    <w:rsid w:val="006007CB"/>
    <w:rsid w:val="00601662"/>
    <w:rsid w:val="006016CB"/>
    <w:rsid w:val="0060177C"/>
    <w:rsid w:val="00602558"/>
    <w:rsid w:val="00602EB7"/>
    <w:rsid w:val="00602F43"/>
    <w:rsid w:val="00603601"/>
    <w:rsid w:val="0060368F"/>
    <w:rsid w:val="00603B08"/>
    <w:rsid w:val="00603B0B"/>
    <w:rsid w:val="00604079"/>
    <w:rsid w:val="00604814"/>
    <w:rsid w:val="00604846"/>
    <w:rsid w:val="00605214"/>
    <w:rsid w:val="0060527D"/>
    <w:rsid w:val="006053D3"/>
    <w:rsid w:val="00605776"/>
    <w:rsid w:val="006057D5"/>
    <w:rsid w:val="00606E85"/>
    <w:rsid w:val="00610162"/>
    <w:rsid w:val="0061066E"/>
    <w:rsid w:val="00610A85"/>
    <w:rsid w:val="00610ABA"/>
    <w:rsid w:val="00610D09"/>
    <w:rsid w:val="0061155E"/>
    <w:rsid w:val="006115A4"/>
    <w:rsid w:val="006116E7"/>
    <w:rsid w:val="006118F1"/>
    <w:rsid w:val="00611969"/>
    <w:rsid w:val="00611DA5"/>
    <w:rsid w:val="0061257C"/>
    <w:rsid w:val="00612B10"/>
    <w:rsid w:val="00613037"/>
    <w:rsid w:val="006135AB"/>
    <w:rsid w:val="006138E4"/>
    <w:rsid w:val="0061400A"/>
    <w:rsid w:val="00614167"/>
    <w:rsid w:val="006144F6"/>
    <w:rsid w:val="006145CE"/>
    <w:rsid w:val="006147A1"/>
    <w:rsid w:val="006147D9"/>
    <w:rsid w:val="006154DA"/>
    <w:rsid w:val="006160FA"/>
    <w:rsid w:val="006163ED"/>
    <w:rsid w:val="00616407"/>
    <w:rsid w:val="00616642"/>
    <w:rsid w:val="00616D03"/>
    <w:rsid w:val="00617AB9"/>
    <w:rsid w:val="00617C56"/>
    <w:rsid w:val="00617D65"/>
    <w:rsid w:val="006206D6"/>
    <w:rsid w:val="00620CD7"/>
    <w:rsid w:val="00620E5A"/>
    <w:rsid w:val="00620F5F"/>
    <w:rsid w:val="00620FBF"/>
    <w:rsid w:val="0062124A"/>
    <w:rsid w:val="0062167C"/>
    <w:rsid w:val="0062329E"/>
    <w:rsid w:val="006232FA"/>
    <w:rsid w:val="00624358"/>
    <w:rsid w:val="00624831"/>
    <w:rsid w:val="00624E7C"/>
    <w:rsid w:val="006250E9"/>
    <w:rsid w:val="0062571B"/>
    <w:rsid w:val="006258AF"/>
    <w:rsid w:val="006259FB"/>
    <w:rsid w:val="006263D5"/>
    <w:rsid w:val="006263E3"/>
    <w:rsid w:val="00626A1B"/>
    <w:rsid w:val="006305D9"/>
    <w:rsid w:val="00630728"/>
    <w:rsid w:val="00630B99"/>
    <w:rsid w:val="00630CA0"/>
    <w:rsid w:val="00630D74"/>
    <w:rsid w:val="00630E0C"/>
    <w:rsid w:val="00631046"/>
    <w:rsid w:val="0063164F"/>
    <w:rsid w:val="0063180A"/>
    <w:rsid w:val="00631AE3"/>
    <w:rsid w:val="00631EFA"/>
    <w:rsid w:val="00631F69"/>
    <w:rsid w:val="0063262D"/>
    <w:rsid w:val="0063273E"/>
    <w:rsid w:val="006329F6"/>
    <w:rsid w:val="00632A6D"/>
    <w:rsid w:val="00632E8A"/>
    <w:rsid w:val="0063350A"/>
    <w:rsid w:val="00633660"/>
    <w:rsid w:val="006339B8"/>
    <w:rsid w:val="00633B2F"/>
    <w:rsid w:val="006346D9"/>
    <w:rsid w:val="00634C55"/>
    <w:rsid w:val="00634EF3"/>
    <w:rsid w:val="006357CD"/>
    <w:rsid w:val="0063593A"/>
    <w:rsid w:val="00635B6A"/>
    <w:rsid w:val="00636486"/>
    <w:rsid w:val="00636575"/>
    <w:rsid w:val="00636E37"/>
    <w:rsid w:val="00637073"/>
    <w:rsid w:val="006373A8"/>
    <w:rsid w:val="00637BBE"/>
    <w:rsid w:val="00637FCF"/>
    <w:rsid w:val="00640009"/>
    <w:rsid w:val="006406EC"/>
    <w:rsid w:val="00640716"/>
    <w:rsid w:val="00640963"/>
    <w:rsid w:val="00640C31"/>
    <w:rsid w:val="00641278"/>
    <w:rsid w:val="0064179A"/>
    <w:rsid w:val="00641CFA"/>
    <w:rsid w:val="00642B63"/>
    <w:rsid w:val="00643226"/>
    <w:rsid w:val="00643460"/>
    <w:rsid w:val="00643ED2"/>
    <w:rsid w:val="00643F8B"/>
    <w:rsid w:val="00644031"/>
    <w:rsid w:val="00644270"/>
    <w:rsid w:val="00644420"/>
    <w:rsid w:val="006456EF"/>
    <w:rsid w:val="006459EF"/>
    <w:rsid w:val="00646353"/>
    <w:rsid w:val="006465F3"/>
    <w:rsid w:val="00646B51"/>
    <w:rsid w:val="00646C74"/>
    <w:rsid w:val="00646F44"/>
    <w:rsid w:val="006474C4"/>
    <w:rsid w:val="0064781E"/>
    <w:rsid w:val="00647835"/>
    <w:rsid w:val="0064798A"/>
    <w:rsid w:val="00650001"/>
    <w:rsid w:val="00650042"/>
    <w:rsid w:val="006508D1"/>
    <w:rsid w:val="006516C8"/>
    <w:rsid w:val="0065252B"/>
    <w:rsid w:val="00652870"/>
    <w:rsid w:val="00652B4A"/>
    <w:rsid w:val="006534BF"/>
    <w:rsid w:val="006537D7"/>
    <w:rsid w:val="006539B6"/>
    <w:rsid w:val="0065444A"/>
    <w:rsid w:val="00654723"/>
    <w:rsid w:val="00654DD2"/>
    <w:rsid w:val="00654F68"/>
    <w:rsid w:val="00655A85"/>
    <w:rsid w:val="00655C1D"/>
    <w:rsid w:val="00655CF9"/>
    <w:rsid w:val="00655D45"/>
    <w:rsid w:val="00656829"/>
    <w:rsid w:val="00656BF6"/>
    <w:rsid w:val="0065714C"/>
    <w:rsid w:val="006573F5"/>
    <w:rsid w:val="006578FD"/>
    <w:rsid w:val="00657E0B"/>
    <w:rsid w:val="00660622"/>
    <w:rsid w:val="0066064B"/>
    <w:rsid w:val="00660A74"/>
    <w:rsid w:val="00660BF4"/>
    <w:rsid w:val="00660DA8"/>
    <w:rsid w:val="00660E3F"/>
    <w:rsid w:val="006610C5"/>
    <w:rsid w:val="006610F0"/>
    <w:rsid w:val="0066179D"/>
    <w:rsid w:val="006617E7"/>
    <w:rsid w:val="00661840"/>
    <w:rsid w:val="00661C73"/>
    <w:rsid w:val="006621B2"/>
    <w:rsid w:val="00662647"/>
    <w:rsid w:val="00662B97"/>
    <w:rsid w:val="00662E5F"/>
    <w:rsid w:val="00663093"/>
    <w:rsid w:val="006630FC"/>
    <w:rsid w:val="006631D1"/>
    <w:rsid w:val="00663764"/>
    <w:rsid w:val="006637E0"/>
    <w:rsid w:val="0066386D"/>
    <w:rsid w:val="00663C77"/>
    <w:rsid w:val="00664434"/>
    <w:rsid w:val="006651D9"/>
    <w:rsid w:val="0066561F"/>
    <w:rsid w:val="006657B4"/>
    <w:rsid w:val="00665A02"/>
    <w:rsid w:val="00665B45"/>
    <w:rsid w:val="00666330"/>
    <w:rsid w:val="006663CF"/>
    <w:rsid w:val="00666469"/>
    <w:rsid w:val="00666782"/>
    <w:rsid w:val="00666A58"/>
    <w:rsid w:val="00667634"/>
    <w:rsid w:val="006704C0"/>
    <w:rsid w:val="0067055E"/>
    <w:rsid w:val="00670650"/>
    <w:rsid w:val="0067099A"/>
    <w:rsid w:val="00670A4B"/>
    <w:rsid w:val="006712C0"/>
    <w:rsid w:val="00671344"/>
    <w:rsid w:val="00671B64"/>
    <w:rsid w:val="00671CE4"/>
    <w:rsid w:val="00672690"/>
    <w:rsid w:val="00672981"/>
    <w:rsid w:val="00672E83"/>
    <w:rsid w:val="00673240"/>
    <w:rsid w:val="00673340"/>
    <w:rsid w:val="006735E5"/>
    <w:rsid w:val="00673F4E"/>
    <w:rsid w:val="006744AC"/>
    <w:rsid w:val="00674C7D"/>
    <w:rsid w:val="00675CF2"/>
    <w:rsid w:val="00675D09"/>
    <w:rsid w:val="00675F3A"/>
    <w:rsid w:val="00676D44"/>
    <w:rsid w:val="00677073"/>
    <w:rsid w:val="006776C9"/>
    <w:rsid w:val="00677E12"/>
    <w:rsid w:val="00677FAF"/>
    <w:rsid w:val="00680061"/>
    <w:rsid w:val="006805D9"/>
    <w:rsid w:val="00680682"/>
    <w:rsid w:val="00680919"/>
    <w:rsid w:val="00680B40"/>
    <w:rsid w:val="006817A2"/>
    <w:rsid w:val="00681A1C"/>
    <w:rsid w:val="00681D50"/>
    <w:rsid w:val="00681EC9"/>
    <w:rsid w:val="006822FA"/>
    <w:rsid w:val="0068288C"/>
    <w:rsid w:val="00682C96"/>
    <w:rsid w:val="00682EE1"/>
    <w:rsid w:val="0068337D"/>
    <w:rsid w:val="0068348F"/>
    <w:rsid w:val="006834E3"/>
    <w:rsid w:val="006834FB"/>
    <w:rsid w:val="00683E27"/>
    <w:rsid w:val="00683F36"/>
    <w:rsid w:val="00684228"/>
    <w:rsid w:val="006842B4"/>
    <w:rsid w:val="006848AE"/>
    <w:rsid w:val="0068494B"/>
    <w:rsid w:val="00684B95"/>
    <w:rsid w:val="00684D01"/>
    <w:rsid w:val="006853D6"/>
    <w:rsid w:val="00685589"/>
    <w:rsid w:val="006856A0"/>
    <w:rsid w:val="006860A5"/>
    <w:rsid w:val="006866A2"/>
    <w:rsid w:val="00686729"/>
    <w:rsid w:val="00686749"/>
    <w:rsid w:val="0068682C"/>
    <w:rsid w:val="00686D06"/>
    <w:rsid w:val="006874A6"/>
    <w:rsid w:val="00687524"/>
    <w:rsid w:val="00687556"/>
    <w:rsid w:val="00687713"/>
    <w:rsid w:val="00687CDA"/>
    <w:rsid w:val="00687D27"/>
    <w:rsid w:val="006906D7"/>
    <w:rsid w:val="00690845"/>
    <w:rsid w:val="0069086F"/>
    <w:rsid w:val="0069096E"/>
    <w:rsid w:val="00690AAC"/>
    <w:rsid w:val="006926E1"/>
    <w:rsid w:val="00692E6C"/>
    <w:rsid w:val="00693198"/>
    <w:rsid w:val="0069328F"/>
    <w:rsid w:val="006938AA"/>
    <w:rsid w:val="00693D11"/>
    <w:rsid w:val="006942E8"/>
    <w:rsid w:val="00694596"/>
    <w:rsid w:val="0069474B"/>
    <w:rsid w:val="0069475D"/>
    <w:rsid w:val="0069512C"/>
    <w:rsid w:val="00695A54"/>
    <w:rsid w:val="00695A58"/>
    <w:rsid w:val="00695C0D"/>
    <w:rsid w:val="00695D10"/>
    <w:rsid w:val="00696D90"/>
    <w:rsid w:val="00697088"/>
    <w:rsid w:val="006973B6"/>
    <w:rsid w:val="00697673"/>
    <w:rsid w:val="00697966"/>
    <w:rsid w:val="00697969"/>
    <w:rsid w:val="00697AB0"/>
    <w:rsid w:val="006A17CE"/>
    <w:rsid w:val="006A232A"/>
    <w:rsid w:val="006A262A"/>
    <w:rsid w:val="006A2817"/>
    <w:rsid w:val="006A37C1"/>
    <w:rsid w:val="006A38DA"/>
    <w:rsid w:val="006A39A6"/>
    <w:rsid w:val="006A3A2B"/>
    <w:rsid w:val="006A4066"/>
    <w:rsid w:val="006A40F4"/>
    <w:rsid w:val="006A5821"/>
    <w:rsid w:val="006A5B9A"/>
    <w:rsid w:val="006A5F35"/>
    <w:rsid w:val="006A62CE"/>
    <w:rsid w:val="006A672C"/>
    <w:rsid w:val="006A6BF1"/>
    <w:rsid w:val="006A727B"/>
    <w:rsid w:val="006A7C2D"/>
    <w:rsid w:val="006B01EB"/>
    <w:rsid w:val="006B07F8"/>
    <w:rsid w:val="006B1250"/>
    <w:rsid w:val="006B14AF"/>
    <w:rsid w:val="006B1894"/>
    <w:rsid w:val="006B190F"/>
    <w:rsid w:val="006B1D2B"/>
    <w:rsid w:val="006B1EAC"/>
    <w:rsid w:val="006B1F6B"/>
    <w:rsid w:val="006B20D7"/>
    <w:rsid w:val="006B2662"/>
    <w:rsid w:val="006B3032"/>
    <w:rsid w:val="006B40AC"/>
    <w:rsid w:val="006B4444"/>
    <w:rsid w:val="006B4467"/>
    <w:rsid w:val="006B469F"/>
    <w:rsid w:val="006B4B4A"/>
    <w:rsid w:val="006B5B17"/>
    <w:rsid w:val="006B625E"/>
    <w:rsid w:val="006B7290"/>
    <w:rsid w:val="006B75C6"/>
    <w:rsid w:val="006B7619"/>
    <w:rsid w:val="006B796C"/>
    <w:rsid w:val="006C0269"/>
    <w:rsid w:val="006C062B"/>
    <w:rsid w:val="006C0B56"/>
    <w:rsid w:val="006C0C16"/>
    <w:rsid w:val="006C1CFF"/>
    <w:rsid w:val="006C1E0E"/>
    <w:rsid w:val="006C24CD"/>
    <w:rsid w:val="006C27F9"/>
    <w:rsid w:val="006C3440"/>
    <w:rsid w:val="006C34A5"/>
    <w:rsid w:val="006C354C"/>
    <w:rsid w:val="006C3B76"/>
    <w:rsid w:val="006C4572"/>
    <w:rsid w:val="006C48F1"/>
    <w:rsid w:val="006C517A"/>
    <w:rsid w:val="006C560B"/>
    <w:rsid w:val="006C68F7"/>
    <w:rsid w:val="006C6ED0"/>
    <w:rsid w:val="006C7627"/>
    <w:rsid w:val="006C7B03"/>
    <w:rsid w:val="006C7F92"/>
    <w:rsid w:val="006D0579"/>
    <w:rsid w:val="006D063D"/>
    <w:rsid w:val="006D093B"/>
    <w:rsid w:val="006D0D11"/>
    <w:rsid w:val="006D0EC2"/>
    <w:rsid w:val="006D101E"/>
    <w:rsid w:val="006D145D"/>
    <w:rsid w:val="006D17A1"/>
    <w:rsid w:val="006D18D6"/>
    <w:rsid w:val="006D19AD"/>
    <w:rsid w:val="006D1C38"/>
    <w:rsid w:val="006D2EB7"/>
    <w:rsid w:val="006D330C"/>
    <w:rsid w:val="006D33C5"/>
    <w:rsid w:val="006D3444"/>
    <w:rsid w:val="006D3560"/>
    <w:rsid w:val="006D4C72"/>
    <w:rsid w:val="006D4D81"/>
    <w:rsid w:val="006D4E4C"/>
    <w:rsid w:val="006D4EA7"/>
    <w:rsid w:val="006D4ED0"/>
    <w:rsid w:val="006D5233"/>
    <w:rsid w:val="006D5585"/>
    <w:rsid w:val="006D591E"/>
    <w:rsid w:val="006D5ABF"/>
    <w:rsid w:val="006D5AF2"/>
    <w:rsid w:val="006D5F76"/>
    <w:rsid w:val="006D5F8A"/>
    <w:rsid w:val="006D613D"/>
    <w:rsid w:val="006D6900"/>
    <w:rsid w:val="006D6D96"/>
    <w:rsid w:val="006D7211"/>
    <w:rsid w:val="006D7496"/>
    <w:rsid w:val="006D75C8"/>
    <w:rsid w:val="006D7B7E"/>
    <w:rsid w:val="006D7F77"/>
    <w:rsid w:val="006E01BB"/>
    <w:rsid w:val="006E0788"/>
    <w:rsid w:val="006E0CAF"/>
    <w:rsid w:val="006E0CC9"/>
    <w:rsid w:val="006E0CEB"/>
    <w:rsid w:val="006E0FF0"/>
    <w:rsid w:val="006E2D57"/>
    <w:rsid w:val="006E31B3"/>
    <w:rsid w:val="006E3F7A"/>
    <w:rsid w:val="006E5B25"/>
    <w:rsid w:val="006E5D86"/>
    <w:rsid w:val="006E6911"/>
    <w:rsid w:val="006E6984"/>
    <w:rsid w:val="006E69D5"/>
    <w:rsid w:val="006E7032"/>
    <w:rsid w:val="006E735E"/>
    <w:rsid w:val="006E9503"/>
    <w:rsid w:val="006F03C5"/>
    <w:rsid w:val="006F0458"/>
    <w:rsid w:val="006F04D9"/>
    <w:rsid w:val="006F06CD"/>
    <w:rsid w:val="006F0D46"/>
    <w:rsid w:val="006F0EF4"/>
    <w:rsid w:val="006F0F73"/>
    <w:rsid w:val="006F23DD"/>
    <w:rsid w:val="006F2DDE"/>
    <w:rsid w:val="006F3A1A"/>
    <w:rsid w:val="006F3D05"/>
    <w:rsid w:val="006F5158"/>
    <w:rsid w:val="006F5969"/>
    <w:rsid w:val="006F5C5E"/>
    <w:rsid w:val="006F5F11"/>
    <w:rsid w:val="006F612B"/>
    <w:rsid w:val="006F6A6E"/>
    <w:rsid w:val="006F7FE2"/>
    <w:rsid w:val="00700950"/>
    <w:rsid w:val="00700A17"/>
    <w:rsid w:val="00700A34"/>
    <w:rsid w:val="00700DA0"/>
    <w:rsid w:val="00701136"/>
    <w:rsid w:val="00701561"/>
    <w:rsid w:val="007020E7"/>
    <w:rsid w:val="0070213A"/>
    <w:rsid w:val="00702245"/>
    <w:rsid w:val="00702885"/>
    <w:rsid w:val="007029E0"/>
    <w:rsid w:val="0070319A"/>
    <w:rsid w:val="00703CB4"/>
    <w:rsid w:val="00703D4F"/>
    <w:rsid w:val="00703EE9"/>
    <w:rsid w:val="0070444B"/>
    <w:rsid w:val="007046CE"/>
    <w:rsid w:val="00704D5F"/>
    <w:rsid w:val="00705378"/>
    <w:rsid w:val="00706538"/>
    <w:rsid w:val="007066B7"/>
    <w:rsid w:val="007079CC"/>
    <w:rsid w:val="00707C18"/>
    <w:rsid w:val="00710155"/>
    <w:rsid w:val="007103A9"/>
    <w:rsid w:val="0071057A"/>
    <w:rsid w:val="00710876"/>
    <w:rsid w:val="0071155D"/>
    <w:rsid w:val="007117A3"/>
    <w:rsid w:val="007118F4"/>
    <w:rsid w:val="007127E7"/>
    <w:rsid w:val="00712B78"/>
    <w:rsid w:val="00713002"/>
    <w:rsid w:val="00713049"/>
    <w:rsid w:val="00713096"/>
    <w:rsid w:val="0071323D"/>
    <w:rsid w:val="00713EEE"/>
    <w:rsid w:val="0071402F"/>
    <w:rsid w:val="0071407D"/>
    <w:rsid w:val="00714504"/>
    <w:rsid w:val="007148DC"/>
    <w:rsid w:val="00714CA7"/>
    <w:rsid w:val="00715248"/>
    <w:rsid w:val="0071548D"/>
    <w:rsid w:val="00716483"/>
    <w:rsid w:val="00716859"/>
    <w:rsid w:val="00716AD2"/>
    <w:rsid w:val="00716BCF"/>
    <w:rsid w:val="00716BE1"/>
    <w:rsid w:val="007171E4"/>
    <w:rsid w:val="00717D5D"/>
    <w:rsid w:val="00717D86"/>
    <w:rsid w:val="0071C247"/>
    <w:rsid w:val="007200AE"/>
    <w:rsid w:val="007203CA"/>
    <w:rsid w:val="00720C15"/>
    <w:rsid w:val="00721AFA"/>
    <w:rsid w:val="00721D2E"/>
    <w:rsid w:val="00721F78"/>
    <w:rsid w:val="007224C9"/>
    <w:rsid w:val="00722641"/>
    <w:rsid w:val="007226F5"/>
    <w:rsid w:val="00722875"/>
    <w:rsid w:val="00722913"/>
    <w:rsid w:val="007234A5"/>
    <w:rsid w:val="00723B2C"/>
    <w:rsid w:val="00723FD3"/>
    <w:rsid w:val="0072409A"/>
    <w:rsid w:val="0072430B"/>
    <w:rsid w:val="00724CB3"/>
    <w:rsid w:val="00724ED0"/>
    <w:rsid w:val="00724F7A"/>
    <w:rsid w:val="00724F92"/>
    <w:rsid w:val="007253D6"/>
    <w:rsid w:val="0072578A"/>
    <w:rsid w:val="0072597A"/>
    <w:rsid w:val="00725B25"/>
    <w:rsid w:val="00726274"/>
    <w:rsid w:val="007265BA"/>
    <w:rsid w:val="00726B17"/>
    <w:rsid w:val="00726F81"/>
    <w:rsid w:val="007271CC"/>
    <w:rsid w:val="00727B01"/>
    <w:rsid w:val="0073019C"/>
    <w:rsid w:val="00730B49"/>
    <w:rsid w:val="00731151"/>
    <w:rsid w:val="00731CC2"/>
    <w:rsid w:val="007325A2"/>
    <w:rsid w:val="00732AEB"/>
    <w:rsid w:val="00732D31"/>
    <w:rsid w:val="007331F0"/>
    <w:rsid w:val="00733E96"/>
    <w:rsid w:val="0073531E"/>
    <w:rsid w:val="0073549D"/>
    <w:rsid w:val="0073626D"/>
    <w:rsid w:val="0073643D"/>
    <w:rsid w:val="00736EC9"/>
    <w:rsid w:val="00737296"/>
    <w:rsid w:val="0073789C"/>
    <w:rsid w:val="0073792C"/>
    <w:rsid w:val="00737AAB"/>
    <w:rsid w:val="00737C8E"/>
    <w:rsid w:val="00740730"/>
    <w:rsid w:val="00741421"/>
    <w:rsid w:val="0074159F"/>
    <w:rsid w:val="0074257A"/>
    <w:rsid w:val="007425D1"/>
    <w:rsid w:val="00742AB1"/>
    <w:rsid w:val="00742FEE"/>
    <w:rsid w:val="00743C04"/>
    <w:rsid w:val="00744B47"/>
    <w:rsid w:val="00744F23"/>
    <w:rsid w:val="00745717"/>
    <w:rsid w:val="0074575E"/>
    <w:rsid w:val="00745E0D"/>
    <w:rsid w:val="007464D4"/>
    <w:rsid w:val="00746953"/>
    <w:rsid w:val="00746A08"/>
    <w:rsid w:val="007471F0"/>
    <w:rsid w:val="00747365"/>
    <w:rsid w:val="00747434"/>
    <w:rsid w:val="007476B6"/>
    <w:rsid w:val="0074770B"/>
    <w:rsid w:val="0074788B"/>
    <w:rsid w:val="00747AAD"/>
    <w:rsid w:val="00747D36"/>
    <w:rsid w:val="0075046E"/>
    <w:rsid w:val="00750733"/>
    <w:rsid w:val="00750850"/>
    <w:rsid w:val="00750890"/>
    <w:rsid w:val="007509DF"/>
    <w:rsid w:val="00750FFB"/>
    <w:rsid w:val="0075137C"/>
    <w:rsid w:val="00751FB0"/>
    <w:rsid w:val="0075259B"/>
    <w:rsid w:val="00752853"/>
    <w:rsid w:val="007528F6"/>
    <w:rsid w:val="00752E28"/>
    <w:rsid w:val="007530DB"/>
    <w:rsid w:val="00753411"/>
    <w:rsid w:val="0075418A"/>
    <w:rsid w:val="007548B5"/>
    <w:rsid w:val="00756471"/>
    <w:rsid w:val="00756476"/>
    <w:rsid w:val="007570CB"/>
    <w:rsid w:val="0075786C"/>
    <w:rsid w:val="00757F4A"/>
    <w:rsid w:val="00760141"/>
    <w:rsid w:val="007602D5"/>
    <w:rsid w:val="007613FD"/>
    <w:rsid w:val="0076204A"/>
    <w:rsid w:val="00762605"/>
    <w:rsid w:val="0076260D"/>
    <w:rsid w:val="00763403"/>
    <w:rsid w:val="00763442"/>
    <w:rsid w:val="00763ACD"/>
    <w:rsid w:val="00763B77"/>
    <w:rsid w:val="00763FEC"/>
    <w:rsid w:val="007648F9"/>
    <w:rsid w:val="00764954"/>
    <w:rsid w:val="00764B29"/>
    <w:rsid w:val="00764B3F"/>
    <w:rsid w:val="00765443"/>
    <w:rsid w:val="0076625B"/>
    <w:rsid w:val="00766D8B"/>
    <w:rsid w:val="00766F3F"/>
    <w:rsid w:val="0076702C"/>
    <w:rsid w:val="00767BB5"/>
    <w:rsid w:val="00767F6C"/>
    <w:rsid w:val="00770BD4"/>
    <w:rsid w:val="00770D14"/>
    <w:rsid w:val="0077125D"/>
    <w:rsid w:val="0077185E"/>
    <w:rsid w:val="00772321"/>
    <w:rsid w:val="00772829"/>
    <w:rsid w:val="0077286B"/>
    <w:rsid w:val="00773C3C"/>
    <w:rsid w:val="0077428B"/>
    <w:rsid w:val="007747EB"/>
    <w:rsid w:val="00774F19"/>
    <w:rsid w:val="00775145"/>
    <w:rsid w:val="007751E0"/>
    <w:rsid w:val="00775C3E"/>
    <w:rsid w:val="00776412"/>
    <w:rsid w:val="007766FE"/>
    <w:rsid w:val="00776D7C"/>
    <w:rsid w:val="00776FB8"/>
    <w:rsid w:val="00777229"/>
    <w:rsid w:val="0077761C"/>
    <w:rsid w:val="00777848"/>
    <w:rsid w:val="00777865"/>
    <w:rsid w:val="00777893"/>
    <w:rsid w:val="00777914"/>
    <w:rsid w:val="007805F4"/>
    <w:rsid w:val="007809A3"/>
    <w:rsid w:val="0078112E"/>
    <w:rsid w:val="007811F1"/>
    <w:rsid w:val="00781352"/>
    <w:rsid w:val="00781A70"/>
    <w:rsid w:val="00781BE7"/>
    <w:rsid w:val="007820D9"/>
    <w:rsid w:val="00782F8F"/>
    <w:rsid w:val="007830DE"/>
    <w:rsid w:val="0078310E"/>
    <w:rsid w:val="00783CD1"/>
    <w:rsid w:val="00783DB2"/>
    <w:rsid w:val="00784341"/>
    <w:rsid w:val="007845F8"/>
    <w:rsid w:val="00784759"/>
    <w:rsid w:val="007852E9"/>
    <w:rsid w:val="00785C93"/>
    <w:rsid w:val="00785ED0"/>
    <w:rsid w:val="0078615D"/>
    <w:rsid w:val="0078648F"/>
    <w:rsid w:val="00786675"/>
    <w:rsid w:val="007868E2"/>
    <w:rsid w:val="00786B51"/>
    <w:rsid w:val="0078710F"/>
    <w:rsid w:val="0078735A"/>
    <w:rsid w:val="007877BC"/>
    <w:rsid w:val="00787F30"/>
    <w:rsid w:val="00790185"/>
    <w:rsid w:val="007909A4"/>
    <w:rsid w:val="00790AB0"/>
    <w:rsid w:val="00790B15"/>
    <w:rsid w:val="00790EB5"/>
    <w:rsid w:val="00790F49"/>
    <w:rsid w:val="00791104"/>
    <w:rsid w:val="00791BA2"/>
    <w:rsid w:val="00791EF7"/>
    <w:rsid w:val="0079208F"/>
    <w:rsid w:val="00792156"/>
    <w:rsid w:val="007921F6"/>
    <w:rsid w:val="00792354"/>
    <w:rsid w:val="00792856"/>
    <w:rsid w:val="00792F02"/>
    <w:rsid w:val="007931CB"/>
    <w:rsid w:val="007932BD"/>
    <w:rsid w:val="007932C2"/>
    <w:rsid w:val="007932E4"/>
    <w:rsid w:val="0079362E"/>
    <w:rsid w:val="0079389C"/>
    <w:rsid w:val="00793902"/>
    <w:rsid w:val="00794693"/>
    <w:rsid w:val="007947A6"/>
    <w:rsid w:val="007948A9"/>
    <w:rsid w:val="00794D6C"/>
    <w:rsid w:val="007951D4"/>
    <w:rsid w:val="007954B8"/>
    <w:rsid w:val="00796016"/>
    <w:rsid w:val="007963D4"/>
    <w:rsid w:val="007979E7"/>
    <w:rsid w:val="00797C46"/>
    <w:rsid w:val="007A00E6"/>
    <w:rsid w:val="007A0252"/>
    <w:rsid w:val="007A02CB"/>
    <w:rsid w:val="007A081F"/>
    <w:rsid w:val="007A15EE"/>
    <w:rsid w:val="007A1891"/>
    <w:rsid w:val="007A19F6"/>
    <w:rsid w:val="007A1A7B"/>
    <w:rsid w:val="007A2504"/>
    <w:rsid w:val="007A270F"/>
    <w:rsid w:val="007A2B65"/>
    <w:rsid w:val="007A2BAC"/>
    <w:rsid w:val="007A2EF1"/>
    <w:rsid w:val="007A31AA"/>
    <w:rsid w:val="007A3449"/>
    <w:rsid w:val="007A3A68"/>
    <w:rsid w:val="007A3BB3"/>
    <w:rsid w:val="007A4279"/>
    <w:rsid w:val="007A45B8"/>
    <w:rsid w:val="007A48BB"/>
    <w:rsid w:val="007A5198"/>
    <w:rsid w:val="007A5617"/>
    <w:rsid w:val="007A56E0"/>
    <w:rsid w:val="007A5A34"/>
    <w:rsid w:val="007A6469"/>
    <w:rsid w:val="007A6775"/>
    <w:rsid w:val="007A69E9"/>
    <w:rsid w:val="007A717D"/>
    <w:rsid w:val="007A76A7"/>
    <w:rsid w:val="007A77B2"/>
    <w:rsid w:val="007A7B3C"/>
    <w:rsid w:val="007B019F"/>
    <w:rsid w:val="007B0245"/>
    <w:rsid w:val="007B03EC"/>
    <w:rsid w:val="007B03EF"/>
    <w:rsid w:val="007B083F"/>
    <w:rsid w:val="007B087E"/>
    <w:rsid w:val="007B0880"/>
    <w:rsid w:val="007B0D01"/>
    <w:rsid w:val="007B0EB8"/>
    <w:rsid w:val="007B110B"/>
    <w:rsid w:val="007B17A8"/>
    <w:rsid w:val="007B17D0"/>
    <w:rsid w:val="007B2085"/>
    <w:rsid w:val="007B20FA"/>
    <w:rsid w:val="007B24BE"/>
    <w:rsid w:val="007B26A1"/>
    <w:rsid w:val="007B2848"/>
    <w:rsid w:val="007B2A60"/>
    <w:rsid w:val="007B2ABA"/>
    <w:rsid w:val="007B2ABB"/>
    <w:rsid w:val="007B2AC9"/>
    <w:rsid w:val="007B2E68"/>
    <w:rsid w:val="007B2FDC"/>
    <w:rsid w:val="007B3715"/>
    <w:rsid w:val="007B38A0"/>
    <w:rsid w:val="007B38B7"/>
    <w:rsid w:val="007B393A"/>
    <w:rsid w:val="007B3ADC"/>
    <w:rsid w:val="007B3C34"/>
    <w:rsid w:val="007B3E07"/>
    <w:rsid w:val="007B4031"/>
    <w:rsid w:val="007B4611"/>
    <w:rsid w:val="007B47B2"/>
    <w:rsid w:val="007B4F7B"/>
    <w:rsid w:val="007B5665"/>
    <w:rsid w:val="007B583D"/>
    <w:rsid w:val="007B58F6"/>
    <w:rsid w:val="007B598A"/>
    <w:rsid w:val="007B5E1D"/>
    <w:rsid w:val="007B608F"/>
    <w:rsid w:val="007B6278"/>
    <w:rsid w:val="007B63A4"/>
    <w:rsid w:val="007B6684"/>
    <w:rsid w:val="007B669E"/>
    <w:rsid w:val="007B672B"/>
    <w:rsid w:val="007B6B21"/>
    <w:rsid w:val="007B7024"/>
    <w:rsid w:val="007B73ED"/>
    <w:rsid w:val="007B7887"/>
    <w:rsid w:val="007B7A60"/>
    <w:rsid w:val="007B7C96"/>
    <w:rsid w:val="007C01DF"/>
    <w:rsid w:val="007C0390"/>
    <w:rsid w:val="007C0494"/>
    <w:rsid w:val="007C0BB1"/>
    <w:rsid w:val="007C123C"/>
    <w:rsid w:val="007C14A2"/>
    <w:rsid w:val="007C2161"/>
    <w:rsid w:val="007C2609"/>
    <w:rsid w:val="007C2617"/>
    <w:rsid w:val="007C263D"/>
    <w:rsid w:val="007C27BF"/>
    <w:rsid w:val="007C2863"/>
    <w:rsid w:val="007C300E"/>
    <w:rsid w:val="007C30F6"/>
    <w:rsid w:val="007C328D"/>
    <w:rsid w:val="007C332E"/>
    <w:rsid w:val="007C336F"/>
    <w:rsid w:val="007C3435"/>
    <w:rsid w:val="007C3972"/>
    <w:rsid w:val="007C41B1"/>
    <w:rsid w:val="007C421A"/>
    <w:rsid w:val="007C4A38"/>
    <w:rsid w:val="007C4C00"/>
    <w:rsid w:val="007C53B3"/>
    <w:rsid w:val="007C65AB"/>
    <w:rsid w:val="007C666F"/>
    <w:rsid w:val="007C6692"/>
    <w:rsid w:val="007C6FC0"/>
    <w:rsid w:val="007C7178"/>
    <w:rsid w:val="007C729A"/>
    <w:rsid w:val="007C7990"/>
    <w:rsid w:val="007C7C61"/>
    <w:rsid w:val="007C7CBD"/>
    <w:rsid w:val="007C7F66"/>
    <w:rsid w:val="007D01E2"/>
    <w:rsid w:val="007D095B"/>
    <w:rsid w:val="007D0B87"/>
    <w:rsid w:val="007D0E24"/>
    <w:rsid w:val="007D1034"/>
    <w:rsid w:val="007D22EB"/>
    <w:rsid w:val="007D2E50"/>
    <w:rsid w:val="007D30B7"/>
    <w:rsid w:val="007D310D"/>
    <w:rsid w:val="007D3CA4"/>
    <w:rsid w:val="007D3DA6"/>
    <w:rsid w:val="007D3DD7"/>
    <w:rsid w:val="007D3FC8"/>
    <w:rsid w:val="007D41C1"/>
    <w:rsid w:val="007D4257"/>
    <w:rsid w:val="007D4AF3"/>
    <w:rsid w:val="007D4B63"/>
    <w:rsid w:val="007D4D62"/>
    <w:rsid w:val="007D4E40"/>
    <w:rsid w:val="007D53B7"/>
    <w:rsid w:val="007D58EE"/>
    <w:rsid w:val="007D5C3A"/>
    <w:rsid w:val="007D6042"/>
    <w:rsid w:val="007D6727"/>
    <w:rsid w:val="007D6EA6"/>
    <w:rsid w:val="007D6F0E"/>
    <w:rsid w:val="007D7269"/>
    <w:rsid w:val="007D7634"/>
    <w:rsid w:val="007D7755"/>
    <w:rsid w:val="007D783B"/>
    <w:rsid w:val="007D7AA0"/>
    <w:rsid w:val="007D7F18"/>
    <w:rsid w:val="007DECA2"/>
    <w:rsid w:val="007E007A"/>
    <w:rsid w:val="007E048C"/>
    <w:rsid w:val="007E0AD9"/>
    <w:rsid w:val="007E0F43"/>
    <w:rsid w:val="007E1007"/>
    <w:rsid w:val="007E15AD"/>
    <w:rsid w:val="007E1651"/>
    <w:rsid w:val="007E17D3"/>
    <w:rsid w:val="007E1DDB"/>
    <w:rsid w:val="007E2231"/>
    <w:rsid w:val="007E23E6"/>
    <w:rsid w:val="007E25ED"/>
    <w:rsid w:val="007E2BC0"/>
    <w:rsid w:val="007E3637"/>
    <w:rsid w:val="007E37B5"/>
    <w:rsid w:val="007E390E"/>
    <w:rsid w:val="007E3A91"/>
    <w:rsid w:val="007E45B7"/>
    <w:rsid w:val="007E5890"/>
    <w:rsid w:val="007E68DE"/>
    <w:rsid w:val="007E6F63"/>
    <w:rsid w:val="007E7011"/>
    <w:rsid w:val="007E761A"/>
    <w:rsid w:val="007E76AB"/>
    <w:rsid w:val="007E7CCA"/>
    <w:rsid w:val="007F0A59"/>
    <w:rsid w:val="007F145F"/>
    <w:rsid w:val="007F1534"/>
    <w:rsid w:val="007F19C6"/>
    <w:rsid w:val="007F21DC"/>
    <w:rsid w:val="007F2BC1"/>
    <w:rsid w:val="007F2CEB"/>
    <w:rsid w:val="007F325D"/>
    <w:rsid w:val="007F3448"/>
    <w:rsid w:val="007F3687"/>
    <w:rsid w:val="007F3A68"/>
    <w:rsid w:val="007F3AB3"/>
    <w:rsid w:val="007F3D37"/>
    <w:rsid w:val="007F43F8"/>
    <w:rsid w:val="007F4C61"/>
    <w:rsid w:val="007F4DB7"/>
    <w:rsid w:val="007F4FA6"/>
    <w:rsid w:val="007F5BD5"/>
    <w:rsid w:val="007F6242"/>
    <w:rsid w:val="007F63E6"/>
    <w:rsid w:val="007F67E9"/>
    <w:rsid w:val="007F7196"/>
    <w:rsid w:val="007F7798"/>
    <w:rsid w:val="007F7C7B"/>
    <w:rsid w:val="0080037A"/>
    <w:rsid w:val="00800C15"/>
    <w:rsid w:val="00800C61"/>
    <w:rsid w:val="008012BE"/>
    <w:rsid w:val="00801494"/>
    <w:rsid w:val="00801C5B"/>
    <w:rsid w:val="00801F21"/>
    <w:rsid w:val="00802175"/>
    <w:rsid w:val="008024DA"/>
    <w:rsid w:val="00802978"/>
    <w:rsid w:val="00803253"/>
    <w:rsid w:val="00803781"/>
    <w:rsid w:val="00803BF2"/>
    <w:rsid w:val="00803CD7"/>
    <w:rsid w:val="00803FCA"/>
    <w:rsid w:val="00804095"/>
    <w:rsid w:val="008040A2"/>
    <w:rsid w:val="00804632"/>
    <w:rsid w:val="008046DF"/>
    <w:rsid w:val="00804AC7"/>
    <w:rsid w:val="0080527C"/>
    <w:rsid w:val="008054D9"/>
    <w:rsid w:val="00805DAF"/>
    <w:rsid w:val="00805DEC"/>
    <w:rsid w:val="00805E07"/>
    <w:rsid w:val="00806688"/>
    <w:rsid w:val="00806FF4"/>
    <w:rsid w:val="00806FFF"/>
    <w:rsid w:val="00807774"/>
    <w:rsid w:val="008079E0"/>
    <w:rsid w:val="00807A3E"/>
    <w:rsid w:val="00807B2F"/>
    <w:rsid w:val="00807BB7"/>
    <w:rsid w:val="00807C94"/>
    <w:rsid w:val="00807D4C"/>
    <w:rsid w:val="008101AC"/>
    <w:rsid w:val="00810338"/>
    <w:rsid w:val="00810555"/>
    <w:rsid w:val="00811540"/>
    <w:rsid w:val="00811993"/>
    <w:rsid w:val="00811C19"/>
    <w:rsid w:val="00811C91"/>
    <w:rsid w:val="00812282"/>
    <w:rsid w:val="00812D2D"/>
    <w:rsid w:val="00813451"/>
    <w:rsid w:val="008134EB"/>
    <w:rsid w:val="00813FDE"/>
    <w:rsid w:val="008142B3"/>
    <w:rsid w:val="0081477B"/>
    <w:rsid w:val="008148E4"/>
    <w:rsid w:val="008150AF"/>
    <w:rsid w:val="008157F1"/>
    <w:rsid w:val="00816EC2"/>
    <w:rsid w:val="00817A88"/>
    <w:rsid w:val="0082083B"/>
    <w:rsid w:val="00820BE5"/>
    <w:rsid w:val="00821003"/>
    <w:rsid w:val="00821062"/>
    <w:rsid w:val="008211F5"/>
    <w:rsid w:val="00821732"/>
    <w:rsid w:val="00822051"/>
    <w:rsid w:val="00822292"/>
    <w:rsid w:val="00822BA5"/>
    <w:rsid w:val="00822D93"/>
    <w:rsid w:val="008236E1"/>
    <w:rsid w:val="008240AE"/>
    <w:rsid w:val="008243AA"/>
    <w:rsid w:val="00824458"/>
    <w:rsid w:val="00824986"/>
    <w:rsid w:val="008249D2"/>
    <w:rsid w:val="008249F7"/>
    <w:rsid w:val="00824A84"/>
    <w:rsid w:val="00824B74"/>
    <w:rsid w:val="00825A42"/>
    <w:rsid w:val="00825CF1"/>
    <w:rsid w:val="00825EE3"/>
    <w:rsid w:val="00826152"/>
    <w:rsid w:val="00826190"/>
    <w:rsid w:val="00826233"/>
    <w:rsid w:val="00826248"/>
    <w:rsid w:val="00826846"/>
    <w:rsid w:val="00826A3C"/>
    <w:rsid w:val="00826A80"/>
    <w:rsid w:val="00826AD2"/>
    <w:rsid w:val="00826C24"/>
    <w:rsid w:val="00826CF2"/>
    <w:rsid w:val="00827027"/>
    <w:rsid w:val="00827F8F"/>
    <w:rsid w:val="008311CF"/>
    <w:rsid w:val="00831594"/>
    <w:rsid w:val="00831C51"/>
    <w:rsid w:val="00832190"/>
    <w:rsid w:val="0083277B"/>
    <w:rsid w:val="008327B2"/>
    <w:rsid w:val="00832852"/>
    <w:rsid w:val="00833030"/>
    <w:rsid w:val="0083374B"/>
    <w:rsid w:val="00833931"/>
    <w:rsid w:val="00833B75"/>
    <w:rsid w:val="00833B7A"/>
    <w:rsid w:val="008342AA"/>
    <w:rsid w:val="0083454C"/>
    <w:rsid w:val="00834937"/>
    <w:rsid w:val="00834DC5"/>
    <w:rsid w:val="00835097"/>
    <w:rsid w:val="0083521E"/>
    <w:rsid w:val="00835EC9"/>
    <w:rsid w:val="00836097"/>
    <w:rsid w:val="00836978"/>
    <w:rsid w:val="00836CB3"/>
    <w:rsid w:val="00840563"/>
    <w:rsid w:val="00840D32"/>
    <w:rsid w:val="00841388"/>
    <w:rsid w:val="008413B8"/>
    <w:rsid w:val="00841DBF"/>
    <w:rsid w:val="00841EFB"/>
    <w:rsid w:val="00841F44"/>
    <w:rsid w:val="0084203C"/>
    <w:rsid w:val="00842386"/>
    <w:rsid w:val="00842A60"/>
    <w:rsid w:val="00842C82"/>
    <w:rsid w:val="00842E5D"/>
    <w:rsid w:val="008430B7"/>
    <w:rsid w:val="008436D7"/>
    <w:rsid w:val="00843C0E"/>
    <w:rsid w:val="00844071"/>
    <w:rsid w:val="008440FE"/>
    <w:rsid w:val="00844D50"/>
    <w:rsid w:val="00844EE2"/>
    <w:rsid w:val="008451F9"/>
    <w:rsid w:val="0084541D"/>
    <w:rsid w:val="0084591F"/>
    <w:rsid w:val="00845F23"/>
    <w:rsid w:val="00846119"/>
    <w:rsid w:val="008462C8"/>
    <w:rsid w:val="0084722A"/>
    <w:rsid w:val="008474E3"/>
    <w:rsid w:val="00847D6A"/>
    <w:rsid w:val="00847F3F"/>
    <w:rsid w:val="00850A36"/>
    <w:rsid w:val="00850C54"/>
    <w:rsid w:val="00851FD4"/>
    <w:rsid w:val="008521AA"/>
    <w:rsid w:val="00852630"/>
    <w:rsid w:val="008527ED"/>
    <w:rsid w:val="00852E75"/>
    <w:rsid w:val="00853464"/>
    <w:rsid w:val="008537F7"/>
    <w:rsid w:val="0085393C"/>
    <w:rsid w:val="00853A47"/>
    <w:rsid w:val="00853F2B"/>
    <w:rsid w:val="008546BE"/>
    <w:rsid w:val="00854917"/>
    <w:rsid w:val="00854B85"/>
    <w:rsid w:val="0085553A"/>
    <w:rsid w:val="0085595F"/>
    <w:rsid w:val="00855C55"/>
    <w:rsid w:val="00855E07"/>
    <w:rsid w:val="00855F63"/>
    <w:rsid w:val="00856074"/>
    <w:rsid w:val="00856225"/>
    <w:rsid w:val="008563DF"/>
    <w:rsid w:val="00856478"/>
    <w:rsid w:val="00856EA6"/>
    <w:rsid w:val="00857167"/>
    <w:rsid w:val="00857949"/>
    <w:rsid w:val="00857D76"/>
    <w:rsid w:val="00860787"/>
    <w:rsid w:val="00860A6C"/>
    <w:rsid w:val="0086238A"/>
    <w:rsid w:val="00862C9A"/>
    <w:rsid w:val="0086354B"/>
    <w:rsid w:val="008635F6"/>
    <w:rsid w:val="00863795"/>
    <w:rsid w:val="00863805"/>
    <w:rsid w:val="00863E6D"/>
    <w:rsid w:val="00863F5F"/>
    <w:rsid w:val="00863F9F"/>
    <w:rsid w:val="008642D7"/>
    <w:rsid w:val="0086436C"/>
    <w:rsid w:val="0086481C"/>
    <w:rsid w:val="00864C21"/>
    <w:rsid w:val="0086539E"/>
    <w:rsid w:val="008658DD"/>
    <w:rsid w:val="00865944"/>
    <w:rsid w:val="00865AB9"/>
    <w:rsid w:val="00865DAC"/>
    <w:rsid w:val="0086779D"/>
    <w:rsid w:val="0087073D"/>
    <w:rsid w:val="00871431"/>
    <w:rsid w:val="008719C2"/>
    <w:rsid w:val="00871B2E"/>
    <w:rsid w:val="00871BC3"/>
    <w:rsid w:val="00872246"/>
    <w:rsid w:val="0087277A"/>
    <w:rsid w:val="00872A47"/>
    <w:rsid w:val="00872BA6"/>
    <w:rsid w:val="00873545"/>
    <w:rsid w:val="008736E2"/>
    <w:rsid w:val="00873D31"/>
    <w:rsid w:val="00873DBF"/>
    <w:rsid w:val="00874565"/>
    <w:rsid w:val="0087483B"/>
    <w:rsid w:val="00874B82"/>
    <w:rsid w:val="00874E21"/>
    <w:rsid w:val="00875470"/>
    <w:rsid w:val="00875AF8"/>
    <w:rsid w:val="00876140"/>
    <w:rsid w:val="00876235"/>
    <w:rsid w:val="00876D62"/>
    <w:rsid w:val="008771A7"/>
    <w:rsid w:val="008771AD"/>
    <w:rsid w:val="00877247"/>
    <w:rsid w:val="00877258"/>
    <w:rsid w:val="00877355"/>
    <w:rsid w:val="008773DA"/>
    <w:rsid w:val="00877B56"/>
    <w:rsid w:val="00877DBF"/>
    <w:rsid w:val="008801AE"/>
    <w:rsid w:val="00880AA3"/>
    <w:rsid w:val="00880F8A"/>
    <w:rsid w:val="008815EF"/>
    <w:rsid w:val="00881A9B"/>
    <w:rsid w:val="0088239D"/>
    <w:rsid w:val="0088270E"/>
    <w:rsid w:val="00882CED"/>
    <w:rsid w:val="00882D0A"/>
    <w:rsid w:val="0088366F"/>
    <w:rsid w:val="00883B28"/>
    <w:rsid w:val="00883DCF"/>
    <w:rsid w:val="00883F42"/>
    <w:rsid w:val="0088421C"/>
    <w:rsid w:val="0088445B"/>
    <w:rsid w:val="00884972"/>
    <w:rsid w:val="00884C4B"/>
    <w:rsid w:val="008852BA"/>
    <w:rsid w:val="008853B7"/>
    <w:rsid w:val="00886098"/>
    <w:rsid w:val="008862DD"/>
    <w:rsid w:val="0088669D"/>
    <w:rsid w:val="00886A70"/>
    <w:rsid w:val="00886DFC"/>
    <w:rsid w:val="00887C42"/>
    <w:rsid w:val="00890217"/>
    <w:rsid w:val="0089026A"/>
    <w:rsid w:val="00890477"/>
    <w:rsid w:val="00890ADA"/>
    <w:rsid w:val="00890FA8"/>
    <w:rsid w:val="00891AF6"/>
    <w:rsid w:val="00891BC3"/>
    <w:rsid w:val="008925DC"/>
    <w:rsid w:val="00892C47"/>
    <w:rsid w:val="00892EDE"/>
    <w:rsid w:val="008937C8"/>
    <w:rsid w:val="00893819"/>
    <w:rsid w:val="00893A03"/>
    <w:rsid w:val="0089410A"/>
    <w:rsid w:val="008965AC"/>
    <w:rsid w:val="008967C4"/>
    <w:rsid w:val="00897CD9"/>
    <w:rsid w:val="008A0933"/>
    <w:rsid w:val="008A0D2A"/>
    <w:rsid w:val="008A1693"/>
    <w:rsid w:val="008A1E91"/>
    <w:rsid w:val="008A23CA"/>
    <w:rsid w:val="008A254F"/>
    <w:rsid w:val="008A2630"/>
    <w:rsid w:val="008A27DB"/>
    <w:rsid w:val="008A2DA6"/>
    <w:rsid w:val="008A2F08"/>
    <w:rsid w:val="008A2F71"/>
    <w:rsid w:val="008A35B8"/>
    <w:rsid w:val="008A3914"/>
    <w:rsid w:val="008A3BDC"/>
    <w:rsid w:val="008A41D8"/>
    <w:rsid w:val="008A4346"/>
    <w:rsid w:val="008A4602"/>
    <w:rsid w:val="008A4C0A"/>
    <w:rsid w:val="008A4DBF"/>
    <w:rsid w:val="008A520E"/>
    <w:rsid w:val="008A5833"/>
    <w:rsid w:val="008A58CE"/>
    <w:rsid w:val="008A5921"/>
    <w:rsid w:val="008A5F17"/>
    <w:rsid w:val="008A6E05"/>
    <w:rsid w:val="008A7D12"/>
    <w:rsid w:val="008B0BD7"/>
    <w:rsid w:val="008B123C"/>
    <w:rsid w:val="008B1752"/>
    <w:rsid w:val="008B187D"/>
    <w:rsid w:val="008B189D"/>
    <w:rsid w:val="008B1E85"/>
    <w:rsid w:val="008B3930"/>
    <w:rsid w:val="008B3A88"/>
    <w:rsid w:val="008B475D"/>
    <w:rsid w:val="008B48DB"/>
    <w:rsid w:val="008B4A04"/>
    <w:rsid w:val="008B4B5D"/>
    <w:rsid w:val="008B4BFC"/>
    <w:rsid w:val="008B51B4"/>
    <w:rsid w:val="008B54F7"/>
    <w:rsid w:val="008B56CD"/>
    <w:rsid w:val="008B5B51"/>
    <w:rsid w:val="008B5B67"/>
    <w:rsid w:val="008B5D7A"/>
    <w:rsid w:val="008B5FA0"/>
    <w:rsid w:val="008B66E3"/>
    <w:rsid w:val="008B6FA1"/>
    <w:rsid w:val="008B73C6"/>
    <w:rsid w:val="008B74A5"/>
    <w:rsid w:val="008B76A8"/>
    <w:rsid w:val="008B7848"/>
    <w:rsid w:val="008B78C9"/>
    <w:rsid w:val="008B7A46"/>
    <w:rsid w:val="008B7DE1"/>
    <w:rsid w:val="008B7EF8"/>
    <w:rsid w:val="008B7F8E"/>
    <w:rsid w:val="008C07AD"/>
    <w:rsid w:val="008C07B4"/>
    <w:rsid w:val="008C07E9"/>
    <w:rsid w:val="008C087E"/>
    <w:rsid w:val="008C10EA"/>
    <w:rsid w:val="008C1351"/>
    <w:rsid w:val="008C1703"/>
    <w:rsid w:val="008C1C0E"/>
    <w:rsid w:val="008C1E05"/>
    <w:rsid w:val="008C1F80"/>
    <w:rsid w:val="008C1FD8"/>
    <w:rsid w:val="008C222A"/>
    <w:rsid w:val="008C2CA7"/>
    <w:rsid w:val="008C2DDA"/>
    <w:rsid w:val="008C2F0C"/>
    <w:rsid w:val="008C338D"/>
    <w:rsid w:val="008C34BB"/>
    <w:rsid w:val="008C3A41"/>
    <w:rsid w:val="008C3D80"/>
    <w:rsid w:val="008C4154"/>
    <w:rsid w:val="008C45E2"/>
    <w:rsid w:val="008C481E"/>
    <w:rsid w:val="008C4F35"/>
    <w:rsid w:val="008C53EA"/>
    <w:rsid w:val="008C58CA"/>
    <w:rsid w:val="008C59CC"/>
    <w:rsid w:val="008C6175"/>
    <w:rsid w:val="008C68C5"/>
    <w:rsid w:val="008C6AE3"/>
    <w:rsid w:val="008C6B37"/>
    <w:rsid w:val="008C73DA"/>
    <w:rsid w:val="008C7AC6"/>
    <w:rsid w:val="008C7BC7"/>
    <w:rsid w:val="008D0606"/>
    <w:rsid w:val="008D0908"/>
    <w:rsid w:val="008D15DD"/>
    <w:rsid w:val="008D1FA1"/>
    <w:rsid w:val="008D2150"/>
    <w:rsid w:val="008D3726"/>
    <w:rsid w:val="008D4CB0"/>
    <w:rsid w:val="008D4F0B"/>
    <w:rsid w:val="008D4F1E"/>
    <w:rsid w:val="008D4FE4"/>
    <w:rsid w:val="008D516A"/>
    <w:rsid w:val="008D5F2E"/>
    <w:rsid w:val="008D5FBC"/>
    <w:rsid w:val="008D6397"/>
    <w:rsid w:val="008D73C9"/>
    <w:rsid w:val="008D755E"/>
    <w:rsid w:val="008D7628"/>
    <w:rsid w:val="008D7B08"/>
    <w:rsid w:val="008E0E33"/>
    <w:rsid w:val="008E0F7C"/>
    <w:rsid w:val="008E0FBB"/>
    <w:rsid w:val="008E1550"/>
    <w:rsid w:val="008E16BF"/>
    <w:rsid w:val="008E1BA7"/>
    <w:rsid w:val="008E29A5"/>
    <w:rsid w:val="008E3049"/>
    <w:rsid w:val="008E35A3"/>
    <w:rsid w:val="008E38C4"/>
    <w:rsid w:val="008E421C"/>
    <w:rsid w:val="008E4BA6"/>
    <w:rsid w:val="008E4E4F"/>
    <w:rsid w:val="008E4E69"/>
    <w:rsid w:val="008E4F31"/>
    <w:rsid w:val="008E5195"/>
    <w:rsid w:val="008E5D37"/>
    <w:rsid w:val="008E5E54"/>
    <w:rsid w:val="008E6191"/>
    <w:rsid w:val="008E66FD"/>
    <w:rsid w:val="008E6DFB"/>
    <w:rsid w:val="008E6FDE"/>
    <w:rsid w:val="008E7274"/>
    <w:rsid w:val="008E7440"/>
    <w:rsid w:val="008E7FCE"/>
    <w:rsid w:val="008F0562"/>
    <w:rsid w:val="008F08BE"/>
    <w:rsid w:val="008F0C54"/>
    <w:rsid w:val="008F1007"/>
    <w:rsid w:val="008F13D5"/>
    <w:rsid w:val="008F17F3"/>
    <w:rsid w:val="008F1DA0"/>
    <w:rsid w:val="008F2336"/>
    <w:rsid w:val="008F260B"/>
    <w:rsid w:val="008F2875"/>
    <w:rsid w:val="008F2FF4"/>
    <w:rsid w:val="008F31C5"/>
    <w:rsid w:val="008F34AA"/>
    <w:rsid w:val="008F36C9"/>
    <w:rsid w:val="008F3EC7"/>
    <w:rsid w:val="008F40C5"/>
    <w:rsid w:val="008F4604"/>
    <w:rsid w:val="008F48DE"/>
    <w:rsid w:val="008F48E6"/>
    <w:rsid w:val="008F4C36"/>
    <w:rsid w:val="008F51A3"/>
    <w:rsid w:val="008F565D"/>
    <w:rsid w:val="008F58EF"/>
    <w:rsid w:val="008F5C8F"/>
    <w:rsid w:val="008F5F3D"/>
    <w:rsid w:val="008F6165"/>
    <w:rsid w:val="008F6322"/>
    <w:rsid w:val="008F64B2"/>
    <w:rsid w:val="008F6742"/>
    <w:rsid w:val="008F6A6D"/>
    <w:rsid w:val="008F7093"/>
    <w:rsid w:val="008F7CBB"/>
    <w:rsid w:val="008F7FFD"/>
    <w:rsid w:val="009001C1"/>
    <w:rsid w:val="00900236"/>
    <w:rsid w:val="00901802"/>
    <w:rsid w:val="00902B4D"/>
    <w:rsid w:val="00902C64"/>
    <w:rsid w:val="00902D5C"/>
    <w:rsid w:val="00902E65"/>
    <w:rsid w:val="009030E6"/>
    <w:rsid w:val="0090318D"/>
    <w:rsid w:val="0090388F"/>
    <w:rsid w:val="00905138"/>
    <w:rsid w:val="00905162"/>
    <w:rsid w:val="00905D62"/>
    <w:rsid w:val="00905FED"/>
    <w:rsid w:val="00906821"/>
    <w:rsid w:val="00906C89"/>
    <w:rsid w:val="00906D17"/>
    <w:rsid w:val="00906E65"/>
    <w:rsid w:val="00906FEF"/>
    <w:rsid w:val="009072C6"/>
    <w:rsid w:val="009073BA"/>
    <w:rsid w:val="00910496"/>
    <w:rsid w:val="00910924"/>
    <w:rsid w:val="0091117A"/>
    <w:rsid w:val="009114C8"/>
    <w:rsid w:val="00912321"/>
    <w:rsid w:val="00912347"/>
    <w:rsid w:val="00912460"/>
    <w:rsid w:val="00912952"/>
    <w:rsid w:val="00912A07"/>
    <w:rsid w:val="00912B11"/>
    <w:rsid w:val="0091303D"/>
    <w:rsid w:val="00913656"/>
    <w:rsid w:val="00913D21"/>
    <w:rsid w:val="00914086"/>
    <w:rsid w:val="009144D5"/>
    <w:rsid w:val="00914A15"/>
    <w:rsid w:val="009150A9"/>
    <w:rsid w:val="009159D7"/>
    <w:rsid w:val="00915C4D"/>
    <w:rsid w:val="00915F98"/>
    <w:rsid w:val="00915FA3"/>
    <w:rsid w:val="0091603E"/>
    <w:rsid w:val="009163A7"/>
    <w:rsid w:val="009175DC"/>
    <w:rsid w:val="009175F7"/>
    <w:rsid w:val="00917A49"/>
    <w:rsid w:val="00917F65"/>
    <w:rsid w:val="009210B0"/>
    <w:rsid w:val="00921414"/>
    <w:rsid w:val="00921768"/>
    <w:rsid w:val="009217F8"/>
    <w:rsid w:val="009218E4"/>
    <w:rsid w:val="009236D0"/>
    <w:rsid w:val="009239CE"/>
    <w:rsid w:val="00923AEF"/>
    <w:rsid w:val="00923C42"/>
    <w:rsid w:val="00923C95"/>
    <w:rsid w:val="009243BE"/>
    <w:rsid w:val="00924428"/>
    <w:rsid w:val="0092470E"/>
    <w:rsid w:val="00924F49"/>
    <w:rsid w:val="00924F7F"/>
    <w:rsid w:val="00925053"/>
    <w:rsid w:val="00925187"/>
    <w:rsid w:val="00925B45"/>
    <w:rsid w:val="00925C4F"/>
    <w:rsid w:val="009266A4"/>
    <w:rsid w:val="00926A76"/>
    <w:rsid w:val="00926D3D"/>
    <w:rsid w:val="0092709C"/>
    <w:rsid w:val="0092717F"/>
    <w:rsid w:val="009273A9"/>
    <w:rsid w:val="00927744"/>
    <w:rsid w:val="009277AB"/>
    <w:rsid w:val="009278EF"/>
    <w:rsid w:val="00927A6B"/>
    <w:rsid w:val="00927B05"/>
    <w:rsid w:val="00927BF3"/>
    <w:rsid w:val="00927F25"/>
    <w:rsid w:val="00927F81"/>
    <w:rsid w:val="009301B2"/>
    <w:rsid w:val="009301E8"/>
    <w:rsid w:val="00930345"/>
    <w:rsid w:val="00930530"/>
    <w:rsid w:val="009305B4"/>
    <w:rsid w:val="009308B3"/>
    <w:rsid w:val="009309D2"/>
    <w:rsid w:val="00930F4E"/>
    <w:rsid w:val="0093112B"/>
    <w:rsid w:val="00931140"/>
    <w:rsid w:val="009313EF"/>
    <w:rsid w:val="00931C75"/>
    <w:rsid w:val="00931E9D"/>
    <w:rsid w:val="00932102"/>
    <w:rsid w:val="0093247F"/>
    <w:rsid w:val="009329EB"/>
    <w:rsid w:val="00932AFB"/>
    <w:rsid w:val="009333CB"/>
    <w:rsid w:val="00933518"/>
    <w:rsid w:val="00933DC7"/>
    <w:rsid w:val="00934655"/>
    <w:rsid w:val="00934AF2"/>
    <w:rsid w:val="009355D7"/>
    <w:rsid w:val="00936062"/>
    <w:rsid w:val="0093658E"/>
    <w:rsid w:val="009377E6"/>
    <w:rsid w:val="00937CBE"/>
    <w:rsid w:val="00937EA7"/>
    <w:rsid w:val="009403A0"/>
    <w:rsid w:val="00940E69"/>
    <w:rsid w:val="009418B1"/>
    <w:rsid w:val="00941D34"/>
    <w:rsid w:val="00941F0B"/>
    <w:rsid w:val="009427BD"/>
    <w:rsid w:val="00942FBD"/>
    <w:rsid w:val="009431B8"/>
    <w:rsid w:val="0094334E"/>
    <w:rsid w:val="009434F8"/>
    <w:rsid w:val="00943C52"/>
    <w:rsid w:val="00943D78"/>
    <w:rsid w:val="00944087"/>
    <w:rsid w:val="00944339"/>
    <w:rsid w:val="00944E74"/>
    <w:rsid w:val="009455BE"/>
    <w:rsid w:val="00946CEB"/>
    <w:rsid w:val="00946D14"/>
    <w:rsid w:val="009474B0"/>
    <w:rsid w:val="009476A6"/>
    <w:rsid w:val="00947C49"/>
    <w:rsid w:val="0095012E"/>
    <w:rsid w:val="00950E24"/>
    <w:rsid w:val="00951196"/>
    <w:rsid w:val="00951198"/>
    <w:rsid w:val="00951281"/>
    <w:rsid w:val="009514EE"/>
    <w:rsid w:val="00951525"/>
    <w:rsid w:val="00951648"/>
    <w:rsid w:val="00951704"/>
    <w:rsid w:val="00951934"/>
    <w:rsid w:val="009519E1"/>
    <w:rsid w:val="00951F7B"/>
    <w:rsid w:val="0095207B"/>
    <w:rsid w:val="00952E63"/>
    <w:rsid w:val="00952E9B"/>
    <w:rsid w:val="009533E3"/>
    <w:rsid w:val="009537C2"/>
    <w:rsid w:val="00954111"/>
    <w:rsid w:val="00954344"/>
    <w:rsid w:val="00954BB9"/>
    <w:rsid w:val="00954C8C"/>
    <w:rsid w:val="00955052"/>
    <w:rsid w:val="009553FC"/>
    <w:rsid w:val="00955515"/>
    <w:rsid w:val="00955A73"/>
    <w:rsid w:val="00955E9A"/>
    <w:rsid w:val="009569FA"/>
    <w:rsid w:val="00956ACE"/>
    <w:rsid w:val="009572A0"/>
    <w:rsid w:val="00957C73"/>
    <w:rsid w:val="00957D24"/>
    <w:rsid w:val="009601F6"/>
    <w:rsid w:val="00960402"/>
    <w:rsid w:val="00960425"/>
    <w:rsid w:val="009605CD"/>
    <w:rsid w:val="00960BCC"/>
    <w:rsid w:val="00960D9E"/>
    <w:rsid w:val="00960DCF"/>
    <w:rsid w:val="009613DE"/>
    <w:rsid w:val="00961630"/>
    <w:rsid w:val="00961B53"/>
    <w:rsid w:val="00961C4E"/>
    <w:rsid w:val="00962717"/>
    <w:rsid w:val="00963264"/>
    <w:rsid w:val="009632A2"/>
    <w:rsid w:val="0096389D"/>
    <w:rsid w:val="00964882"/>
    <w:rsid w:val="009649A7"/>
    <w:rsid w:val="00964F11"/>
    <w:rsid w:val="0096517D"/>
    <w:rsid w:val="00965260"/>
    <w:rsid w:val="00965417"/>
    <w:rsid w:val="00965628"/>
    <w:rsid w:val="0096595D"/>
    <w:rsid w:val="009666C5"/>
    <w:rsid w:val="009669A9"/>
    <w:rsid w:val="00966D6C"/>
    <w:rsid w:val="009676C0"/>
    <w:rsid w:val="009678F5"/>
    <w:rsid w:val="00970403"/>
    <w:rsid w:val="00970ABF"/>
    <w:rsid w:val="00970C21"/>
    <w:rsid w:val="009711C1"/>
    <w:rsid w:val="00971602"/>
    <w:rsid w:val="009716D7"/>
    <w:rsid w:val="009724EC"/>
    <w:rsid w:val="009725F5"/>
    <w:rsid w:val="00973076"/>
    <w:rsid w:val="0097342D"/>
    <w:rsid w:val="00973C96"/>
    <w:rsid w:val="00974056"/>
    <w:rsid w:val="00974931"/>
    <w:rsid w:val="00974933"/>
    <w:rsid w:val="00974FF5"/>
    <w:rsid w:val="00975447"/>
    <w:rsid w:val="0097563D"/>
    <w:rsid w:val="009758BD"/>
    <w:rsid w:val="00975D3C"/>
    <w:rsid w:val="009763C2"/>
    <w:rsid w:val="0097670A"/>
    <w:rsid w:val="00976850"/>
    <w:rsid w:val="00977A19"/>
    <w:rsid w:val="00977C21"/>
    <w:rsid w:val="0098023A"/>
    <w:rsid w:val="009803A9"/>
    <w:rsid w:val="009803CB"/>
    <w:rsid w:val="009803D4"/>
    <w:rsid w:val="00980542"/>
    <w:rsid w:val="009805DF"/>
    <w:rsid w:val="009807A2"/>
    <w:rsid w:val="0098087D"/>
    <w:rsid w:val="00980DAD"/>
    <w:rsid w:val="009818AC"/>
    <w:rsid w:val="0098199C"/>
    <w:rsid w:val="00981B54"/>
    <w:rsid w:val="00981E85"/>
    <w:rsid w:val="0098241C"/>
    <w:rsid w:val="009833C8"/>
    <w:rsid w:val="009835C4"/>
    <w:rsid w:val="009838E3"/>
    <w:rsid w:val="00984C63"/>
    <w:rsid w:val="00985403"/>
    <w:rsid w:val="00985582"/>
    <w:rsid w:val="0098572B"/>
    <w:rsid w:val="00985AC1"/>
    <w:rsid w:val="00985CF6"/>
    <w:rsid w:val="00986825"/>
    <w:rsid w:val="00986E2A"/>
    <w:rsid w:val="009873F3"/>
    <w:rsid w:val="00987B1F"/>
    <w:rsid w:val="00987CFA"/>
    <w:rsid w:val="00987DE0"/>
    <w:rsid w:val="00991E05"/>
    <w:rsid w:val="0099269E"/>
    <w:rsid w:val="00992FC1"/>
    <w:rsid w:val="0099344C"/>
    <w:rsid w:val="00993659"/>
    <w:rsid w:val="00993865"/>
    <w:rsid w:val="00994981"/>
    <w:rsid w:val="00994B43"/>
    <w:rsid w:val="0099503E"/>
    <w:rsid w:val="00995E98"/>
    <w:rsid w:val="00996462"/>
    <w:rsid w:val="009964E9"/>
    <w:rsid w:val="009966C7"/>
    <w:rsid w:val="00996970"/>
    <w:rsid w:val="00996F15"/>
    <w:rsid w:val="009974EF"/>
    <w:rsid w:val="009977CB"/>
    <w:rsid w:val="00997884"/>
    <w:rsid w:val="00997900"/>
    <w:rsid w:val="00997BA8"/>
    <w:rsid w:val="00997EF7"/>
    <w:rsid w:val="009A00CD"/>
    <w:rsid w:val="009A0129"/>
    <w:rsid w:val="009A056E"/>
    <w:rsid w:val="009A05EA"/>
    <w:rsid w:val="009A06F4"/>
    <w:rsid w:val="009A12AF"/>
    <w:rsid w:val="009A1AC9"/>
    <w:rsid w:val="009A1AF3"/>
    <w:rsid w:val="009A215D"/>
    <w:rsid w:val="009A2468"/>
    <w:rsid w:val="009A2805"/>
    <w:rsid w:val="009A3778"/>
    <w:rsid w:val="009A3E2E"/>
    <w:rsid w:val="009A434B"/>
    <w:rsid w:val="009A49A7"/>
    <w:rsid w:val="009A4DD6"/>
    <w:rsid w:val="009A53A4"/>
    <w:rsid w:val="009A5414"/>
    <w:rsid w:val="009A5581"/>
    <w:rsid w:val="009A5D9E"/>
    <w:rsid w:val="009A600A"/>
    <w:rsid w:val="009A604B"/>
    <w:rsid w:val="009A63F7"/>
    <w:rsid w:val="009A64E1"/>
    <w:rsid w:val="009A6DA9"/>
    <w:rsid w:val="009A73E9"/>
    <w:rsid w:val="009A7517"/>
    <w:rsid w:val="009A7736"/>
    <w:rsid w:val="009A7C2C"/>
    <w:rsid w:val="009A7F34"/>
    <w:rsid w:val="009B0BD4"/>
    <w:rsid w:val="009B1B24"/>
    <w:rsid w:val="009B1D23"/>
    <w:rsid w:val="009B2245"/>
    <w:rsid w:val="009B258E"/>
    <w:rsid w:val="009B3308"/>
    <w:rsid w:val="009B3922"/>
    <w:rsid w:val="009B3BA2"/>
    <w:rsid w:val="009B3C65"/>
    <w:rsid w:val="009B3C94"/>
    <w:rsid w:val="009B4895"/>
    <w:rsid w:val="009B5997"/>
    <w:rsid w:val="009B604A"/>
    <w:rsid w:val="009B6B23"/>
    <w:rsid w:val="009B6B69"/>
    <w:rsid w:val="009B727E"/>
    <w:rsid w:val="009B7757"/>
    <w:rsid w:val="009B7ABD"/>
    <w:rsid w:val="009C0047"/>
    <w:rsid w:val="009C009C"/>
    <w:rsid w:val="009C03D6"/>
    <w:rsid w:val="009C0A63"/>
    <w:rsid w:val="009C0B4A"/>
    <w:rsid w:val="009C0FF8"/>
    <w:rsid w:val="009C17D8"/>
    <w:rsid w:val="009C1BC6"/>
    <w:rsid w:val="009C1D27"/>
    <w:rsid w:val="009C1D37"/>
    <w:rsid w:val="009C1EC2"/>
    <w:rsid w:val="009C223A"/>
    <w:rsid w:val="009C2E2E"/>
    <w:rsid w:val="009C2EED"/>
    <w:rsid w:val="009C3BD9"/>
    <w:rsid w:val="009C43FB"/>
    <w:rsid w:val="009C5097"/>
    <w:rsid w:val="009C5B82"/>
    <w:rsid w:val="009C5D8B"/>
    <w:rsid w:val="009C6717"/>
    <w:rsid w:val="009C6851"/>
    <w:rsid w:val="009C6BAE"/>
    <w:rsid w:val="009C6D79"/>
    <w:rsid w:val="009C7184"/>
    <w:rsid w:val="009C74E1"/>
    <w:rsid w:val="009C756E"/>
    <w:rsid w:val="009C7A0D"/>
    <w:rsid w:val="009C7F6B"/>
    <w:rsid w:val="009D023E"/>
    <w:rsid w:val="009D07ED"/>
    <w:rsid w:val="009D08F7"/>
    <w:rsid w:val="009D1F26"/>
    <w:rsid w:val="009D2140"/>
    <w:rsid w:val="009D21BE"/>
    <w:rsid w:val="009D2445"/>
    <w:rsid w:val="009D30D4"/>
    <w:rsid w:val="009D34F5"/>
    <w:rsid w:val="009D376C"/>
    <w:rsid w:val="009D3C3D"/>
    <w:rsid w:val="009D4880"/>
    <w:rsid w:val="009D5288"/>
    <w:rsid w:val="009D5B55"/>
    <w:rsid w:val="009D5D25"/>
    <w:rsid w:val="009D5ED7"/>
    <w:rsid w:val="009D5F5F"/>
    <w:rsid w:val="009D6BCD"/>
    <w:rsid w:val="009D7958"/>
    <w:rsid w:val="009D799B"/>
    <w:rsid w:val="009D7E31"/>
    <w:rsid w:val="009D7F14"/>
    <w:rsid w:val="009D7FBA"/>
    <w:rsid w:val="009E0048"/>
    <w:rsid w:val="009E0089"/>
    <w:rsid w:val="009E0446"/>
    <w:rsid w:val="009E0864"/>
    <w:rsid w:val="009E155A"/>
    <w:rsid w:val="009E1898"/>
    <w:rsid w:val="009E1B58"/>
    <w:rsid w:val="009E20FB"/>
    <w:rsid w:val="009E2A5E"/>
    <w:rsid w:val="009E2A67"/>
    <w:rsid w:val="009E2AD3"/>
    <w:rsid w:val="009E2B3B"/>
    <w:rsid w:val="009E2BBE"/>
    <w:rsid w:val="009E32A4"/>
    <w:rsid w:val="009E42D5"/>
    <w:rsid w:val="009E437A"/>
    <w:rsid w:val="009E47E5"/>
    <w:rsid w:val="009E502C"/>
    <w:rsid w:val="009E60A9"/>
    <w:rsid w:val="009E6344"/>
    <w:rsid w:val="009E63F5"/>
    <w:rsid w:val="009E663C"/>
    <w:rsid w:val="009E6A7F"/>
    <w:rsid w:val="009E733D"/>
    <w:rsid w:val="009E78F4"/>
    <w:rsid w:val="009E7AAA"/>
    <w:rsid w:val="009E7EBB"/>
    <w:rsid w:val="009F03B4"/>
    <w:rsid w:val="009F0619"/>
    <w:rsid w:val="009F0F35"/>
    <w:rsid w:val="009F0F48"/>
    <w:rsid w:val="009F1220"/>
    <w:rsid w:val="009F146F"/>
    <w:rsid w:val="009F16EB"/>
    <w:rsid w:val="009F1FD5"/>
    <w:rsid w:val="009F2637"/>
    <w:rsid w:val="009F28BD"/>
    <w:rsid w:val="009F2CFF"/>
    <w:rsid w:val="009F2D46"/>
    <w:rsid w:val="009F2E14"/>
    <w:rsid w:val="009F3C75"/>
    <w:rsid w:val="009F41BD"/>
    <w:rsid w:val="009F489E"/>
    <w:rsid w:val="009F4AAA"/>
    <w:rsid w:val="009F4E68"/>
    <w:rsid w:val="009F58F5"/>
    <w:rsid w:val="009F5F48"/>
    <w:rsid w:val="009F6175"/>
    <w:rsid w:val="009F6184"/>
    <w:rsid w:val="009F6C98"/>
    <w:rsid w:val="009F6FD6"/>
    <w:rsid w:val="009F7352"/>
    <w:rsid w:val="009F7D91"/>
    <w:rsid w:val="00A00020"/>
    <w:rsid w:val="00A0034D"/>
    <w:rsid w:val="00A0037E"/>
    <w:rsid w:val="00A01048"/>
    <w:rsid w:val="00A01303"/>
    <w:rsid w:val="00A02C2A"/>
    <w:rsid w:val="00A02C4F"/>
    <w:rsid w:val="00A02CE7"/>
    <w:rsid w:val="00A02EA3"/>
    <w:rsid w:val="00A03B57"/>
    <w:rsid w:val="00A03C73"/>
    <w:rsid w:val="00A0422A"/>
    <w:rsid w:val="00A048B0"/>
    <w:rsid w:val="00A04A09"/>
    <w:rsid w:val="00A04D93"/>
    <w:rsid w:val="00A05259"/>
    <w:rsid w:val="00A055C8"/>
    <w:rsid w:val="00A057D8"/>
    <w:rsid w:val="00A05821"/>
    <w:rsid w:val="00A05D1D"/>
    <w:rsid w:val="00A05EA2"/>
    <w:rsid w:val="00A067E2"/>
    <w:rsid w:val="00A06800"/>
    <w:rsid w:val="00A06942"/>
    <w:rsid w:val="00A0759C"/>
    <w:rsid w:val="00A076CC"/>
    <w:rsid w:val="00A07D82"/>
    <w:rsid w:val="00A104DE"/>
    <w:rsid w:val="00A107D6"/>
    <w:rsid w:val="00A10A01"/>
    <w:rsid w:val="00A1165C"/>
    <w:rsid w:val="00A11A76"/>
    <w:rsid w:val="00A1230D"/>
    <w:rsid w:val="00A125D6"/>
    <w:rsid w:val="00A1273D"/>
    <w:rsid w:val="00A13166"/>
    <w:rsid w:val="00A13CE1"/>
    <w:rsid w:val="00A13F11"/>
    <w:rsid w:val="00A14092"/>
    <w:rsid w:val="00A1450A"/>
    <w:rsid w:val="00A14CFA"/>
    <w:rsid w:val="00A14E53"/>
    <w:rsid w:val="00A15332"/>
    <w:rsid w:val="00A15580"/>
    <w:rsid w:val="00A16161"/>
    <w:rsid w:val="00A161B9"/>
    <w:rsid w:val="00A163D2"/>
    <w:rsid w:val="00A16449"/>
    <w:rsid w:val="00A16AFA"/>
    <w:rsid w:val="00A20780"/>
    <w:rsid w:val="00A207FF"/>
    <w:rsid w:val="00A20C4B"/>
    <w:rsid w:val="00A214E1"/>
    <w:rsid w:val="00A216A9"/>
    <w:rsid w:val="00A21D57"/>
    <w:rsid w:val="00A2283F"/>
    <w:rsid w:val="00A229FB"/>
    <w:rsid w:val="00A22B7D"/>
    <w:rsid w:val="00A22CB3"/>
    <w:rsid w:val="00A22EFC"/>
    <w:rsid w:val="00A22FDD"/>
    <w:rsid w:val="00A23094"/>
    <w:rsid w:val="00A231CD"/>
    <w:rsid w:val="00A24224"/>
    <w:rsid w:val="00A24A75"/>
    <w:rsid w:val="00A253A4"/>
    <w:rsid w:val="00A25CF8"/>
    <w:rsid w:val="00A25FF2"/>
    <w:rsid w:val="00A26389"/>
    <w:rsid w:val="00A26524"/>
    <w:rsid w:val="00A2682D"/>
    <w:rsid w:val="00A26D37"/>
    <w:rsid w:val="00A2722B"/>
    <w:rsid w:val="00A272D9"/>
    <w:rsid w:val="00A303B8"/>
    <w:rsid w:val="00A30A99"/>
    <w:rsid w:val="00A31430"/>
    <w:rsid w:val="00A31F82"/>
    <w:rsid w:val="00A31FD2"/>
    <w:rsid w:val="00A322F2"/>
    <w:rsid w:val="00A32665"/>
    <w:rsid w:val="00A3267A"/>
    <w:rsid w:val="00A32A0A"/>
    <w:rsid w:val="00A32DA4"/>
    <w:rsid w:val="00A33FCD"/>
    <w:rsid w:val="00A34604"/>
    <w:rsid w:val="00A34735"/>
    <w:rsid w:val="00A34AC0"/>
    <w:rsid w:val="00A34CF3"/>
    <w:rsid w:val="00A35953"/>
    <w:rsid w:val="00A35C33"/>
    <w:rsid w:val="00A361C3"/>
    <w:rsid w:val="00A367D9"/>
    <w:rsid w:val="00A370A7"/>
    <w:rsid w:val="00A379AD"/>
    <w:rsid w:val="00A405C5"/>
    <w:rsid w:val="00A40A84"/>
    <w:rsid w:val="00A40C33"/>
    <w:rsid w:val="00A411FA"/>
    <w:rsid w:val="00A4125D"/>
    <w:rsid w:val="00A418E7"/>
    <w:rsid w:val="00A428A2"/>
    <w:rsid w:val="00A42983"/>
    <w:rsid w:val="00A429A4"/>
    <w:rsid w:val="00A43755"/>
    <w:rsid w:val="00A43E06"/>
    <w:rsid w:val="00A44025"/>
    <w:rsid w:val="00A44101"/>
    <w:rsid w:val="00A44D7E"/>
    <w:rsid w:val="00A44E0B"/>
    <w:rsid w:val="00A44EC1"/>
    <w:rsid w:val="00A452FE"/>
    <w:rsid w:val="00A4534D"/>
    <w:rsid w:val="00A453B5"/>
    <w:rsid w:val="00A454B3"/>
    <w:rsid w:val="00A454EB"/>
    <w:rsid w:val="00A45E52"/>
    <w:rsid w:val="00A46550"/>
    <w:rsid w:val="00A46652"/>
    <w:rsid w:val="00A46C81"/>
    <w:rsid w:val="00A46D15"/>
    <w:rsid w:val="00A4713D"/>
    <w:rsid w:val="00A477D2"/>
    <w:rsid w:val="00A47D23"/>
    <w:rsid w:val="00A50B57"/>
    <w:rsid w:val="00A50B9A"/>
    <w:rsid w:val="00A50F68"/>
    <w:rsid w:val="00A50FE7"/>
    <w:rsid w:val="00A51425"/>
    <w:rsid w:val="00A517EA"/>
    <w:rsid w:val="00A52F7D"/>
    <w:rsid w:val="00A53002"/>
    <w:rsid w:val="00A5305F"/>
    <w:rsid w:val="00A5318B"/>
    <w:rsid w:val="00A5323B"/>
    <w:rsid w:val="00A53858"/>
    <w:rsid w:val="00A53AF6"/>
    <w:rsid w:val="00A53D3E"/>
    <w:rsid w:val="00A53DB8"/>
    <w:rsid w:val="00A542CC"/>
    <w:rsid w:val="00A5497A"/>
    <w:rsid w:val="00A54C94"/>
    <w:rsid w:val="00A54FB4"/>
    <w:rsid w:val="00A5513B"/>
    <w:rsid w:val="00A5530B"/>
    <w:rsid w:val="00A55519"/>
    <w:rsid w:val="00A55D9C"/>
    <w:rsid w:val="00A55E6E"/>
    <w:rsid w:val="00A5611B"/>
    <w:rsid w:val="00A56174"/>
    <w:rsid w:val="00A566CF"/>
    <w:rsid w:val="00A56A39"/>
    <w:rsid w:val="00A56DE0"/>
    <w:rsid w:val="00A571B9"/>
    <w:rsid w:val="00A5743E"/>
    <w:rsid w:val="00A57BEF"/>
    <w:rsid w:val="00A57C8A"/>
    <w:rsid w:val="00A57D6E"/>
    <w:rsid w:val="00A600D2"/>
    <w:rsid w:val="00A60481"/>
    <w:rsid w:val="00A60AD4"/>
    <w:rsid w:val="00A60C28"/>
    <w:rsid w:val="00A61B47"/>
    <w:rsid w:val="00A62580"/>
    <w:rsid w:val="00A62BFD"/>
    <w:rsid w:val="00A6375F"/>
    <w:rsid w:val="00A638AE"/>
    <w:rsid w:val="00A63C18"/>
    <w:rsid w:val="00A63C3B"/>
    <w:rsid w:val="00A64071"/>
    <w:rsid w:val="00A64CC7"/>
    <w:rsid w:val="00A64CC8"/>
    <w:rsid w:val="00A66137"/>
    <w:rsid w:val="00A662DC"/>
    <w:rsid w:val="00A663F0"/>
    <w:rsid w:val="00A66A2F"/>
    <w:rsid w:val="00A66EFA"/>
    <w:rsid w:val="00A6731D"/>
    <w:rsid w:val="00A6741B"/>
    <w:rsid w:val="00A67458"/>
    <w:rsid w:val="00A67873"/>
    <w:rsid w:val="00A67BA8"/>
    <w:rsid w:val="00A7037E"/>
    <w:rsid w:val="00A705B7"/>
    <w:rsid w:val="00A70881"/>
    <w:rsid w:val="00A7120E"/>
    <w:rsid w:val="00A72413"/>
    <w:rsid w:val="00A72463"/>
    <w:rsid w:val="00A729D0"/>
    <w:rsid w:val="00A72E8B"/>
    <w:rsid w:val="00A73036"/>
    <w:rsid w:val="00A7393C"/>
    <w:rsid w:val="00A73C36"/>
    <w:rsid w:val="00A73D17"/>
    <w:rsid w:val="00A73DE3"/>
    <w:rsid w:val="00A73E31"/>
    <w:rsid w:val="00A73F19"/>
    <w:rsid w:val="00A74226"/>
    <w:rsid w:val="00A7521A"/>
    <w:rsid w:val="00A757B0"/>
    <w:rsid w:val="00A75811"/>
    <w:rsid w:val="00A75F03"/>
    <w:rsid w:val="00A762F5"/>
    <w:rsid w:val="00A76385"/>
    <w:rsid w:val="00A7676F"/>
    <w:rsid w:val="00A76AF4"/>
    <w:rsid w:val="00A76B1E"/>
    <w:rsid w:val="00A76CCD"/>
    <w:rsid w:val="00A776A4"/>
    <w:rsid w:val="00A778D5"/>
    <w:rsid w:val="00A77DBC"/>
    <w:rsid w:val="00A77FC9"/>
    <w:rsid w:val="00A7E170"/>
    <w:rsid w:val="00A80137"/>
    <w:rsid w:val="00A8025D"/>
    <w:rsid w:val="00A8049D"/>
    <w:rsid w:val="00A809DF"/>
    <w:rsid w:val="00A80AA4"/>
    <w:rsid w:val="00A80B3C"/>
    <w:rsid w:val="00A816D1"/>
    <w:rsid w:val="00A822C2"/>
    <w:rsid w:val="00A82770"/>
    <w:rsid w:val="00A82940"/>
    <w:rsid w:val="00A82990"/>
    <w:rsid w:val="00A82C8D"/>
    <w:rsid w:val="00A82F39"/>
    <w:rsid w:val="00A82F42"/>
    <w:rsid w:val="00A83063"/>
    <w:rsid w:val="00A835C9"/>
    <w:rsid w:val="00A8360E"/>
    <w:rsid w:val="00A838F4"/>
    <w:rsid w:val="00A83ED3"/>
    <w:rsid w:val="00A84308"/>
    <w:rsid w:val="00A851A2"/>
    <w:rsid w:val="00A85CFE"/>
    <w:rsid w:val="00A869B7"/>
    <w:rsid w:val="00A87F6E"/>
    <w:rsid w:val="00A90401"/>
    <w:rsid w:val="00A90F8E"/>
    <w:rsid w:val="00A9155A"/>
    <w:rsid w:val="00A91814"/>
    <w:rsid w:val="00A91B24"/>
    <w:rsid w:val="00A920C4"/>
    <w:rsid w:val="00A921E3"/>
    <w:rsid w:val="00A92387"/>
    <w:rsid w:val="00A92BE7"/>
    <w:rsid w:val="00A92CCC"/>
    <w:rsid w:val="00A93059"/>
    <w:rsid w:val="00A93117"/>
    <w:rsid w:val="00A93692"/>
    <w:rsid w:val="00A9388A"/>
    <w:rsid w:val="00A93D64"/>
    <w:rsid w:val="00A941CC"/>
    <w:rsid w:val="00A9499A"/>
    <w:rsid w:val="00A94D20"/>
    <w:rsid w:val="00A95188"/>
    <w:rsid w:val="00A952FC"/>
    <w:rsid w:val="00A969D0"/>
    <w:rsid w:val="00A9752B"/>
    <w:rsid w:val="00A978F3"/>
    <w:rsid w:val="00AA01DD"/>
    <w:rsid w:val="00AA0500"/>
    <w:rsid w:val="00AA0575"/>
    <w:rsid w:val="00AA07E1"/>
    <w:rsid w:val="00AA11D1"/>
    <w:rsid w:val="00AA1400"/>
    <w:rsid w:val="00AA1E78"/>
    <w:rsid w:val="00AA20F7"/>
    <w:rsid w:val="00AA2461"/>
    <w:rsid w:val="00AA2865"/>
    <w:rsid w:val="00AA2BCC"/>
    <w:rsid w:val="00AA2D32"/>
    <w:rsid w:val="00AA3080"/>
    <w:rsid w:val="00AA358F"/>
    <w:rsid w:val="00AA3A9B"/>
    <w:rsid w:val="00AA3BF1"/>
    <w:rsid w:val="00AA4289"/>
    <w:rsid w:val="00AA47A2"/>
    <w:rsid w:val="00AA5410"/>
    <w:rsid w:val="00AA5C15"/>
    <w:rsid w:val="00AA5E0A"/>
    <w:rsid w:val="00AA5F98"/>
    <w:rsid w:val="00AA620D"/>
    <w:rsid w:val="00AA66BD"/>
    <w:rsid w:val="00AA67CC"/>
    <w:rsid w:val="00AA6835"/>
    <w:rsid w:val="00AA6980"/>
    <w:rsid w:val="00AA6CA1"/>
    <w:rsid w:val="00AA6D1B"/>
    <w:rsid w:val="00AA7219"/>
    <w:rsid w:val="00AA7AB6"/>
    <w:rsid w:val="00AA7BD6"/>
    <w:rsid w:val="00AB036F"/>
    <w:rsid w:val="00AB0B87"/>
    <w:rsid w:val="00AB0EEF"/>
    <w:rsid w:val="00AB189E"/>
    <w:rsid w:val="00AB21C6"/>
    <w:rsid w:val="00AB2841"/>
    <w:rsid w:val="00AB2878"/>
    <w:rsid w:val="00AB2BEB"/>
    <w:rsid w:val="00AB34C4"/>
    <w:rsid w:val="00AB35B8"/>
    <w:rsid w:val="00AB3847"/>
    <w:rsid w:val="00AB3B91"/>
    <w:rsid w:val="00AB3C7C"/>
    <w:rsid w:val="00AB4383"/>
    <w:rsid w:val="00AB44F4"/>
    <w:rsid w:val="00AB544D"/>
    <w:rsid w:val="00AB5522"/>
    <w:rsid w:val="00AB58DA"/>
    <w:rsid w:val="00AB5929"/>
    <w:rsid w:val="00AB6152"/>
    <w:rsid w:val="00AB62F6"/>
    <w:rsid w:val="00AB6EB2"/>
    <w:rsid w:val="00AB7670"/>
    <w:rsid w:val="00AC000A"/>
    <w:rsid w:val="00AC0680"/>
    <w:rsid w:val="00AC0DE5"/>
    <w:rsid w:val="00AC0F9C"/>
    <w:rsid w:val="00AC15B3"/>
    <w:rsid w:val="00AC1A1F"/>
    <w:rsid w:val="00AC1CA0"/>
    <w:rsid w:val="00AC1E98"/>
    <w:rsid w:val="00AC214E"/>
    <w:rsid w:val="00AC2214"/>
    <w:rsid w:val="00AC23E2"/>
    <w:rsid w:val="00AC246C"/>
    <w:rsid w:val="00AC28E2"/>
    <w:rsid w:val="00AC2E47"/>
    <w:rsid w:val="00AC31A6"/>
    <w:rsid w:val="00AC31C7"/>
    <w:rsid w:val="00AC36B3"/>
    <w:rsid w:val="00AC39CE"/>
    <w:rsid w:val="00AC3A25"/>
    <w:rsid w:val="00AC3B77"/>
    <w:rsid w:val="00AC3F44"/>
    <w:rsid w:val="00AC4B7E"/>
    <w:rsid w:val="00AC5784"/>
    <w:rsid w:val="00AC58A3"/>
    <w:rsid w:val="00AC5EAB"/>
    <w:rsid w:val="00AC6404"/>
    <w:rsid w:val="00AC64A7"/>
    <w:rsid w:val="00AC65A8"/>
    <w:rsid w:val="00AC6A0D"/>
    <w:rsid w:val="00AC6F7D"/>
    <w:rsid w:val="00AC720A"/>
    <w:rsid w:val="00AC7282"/>
    <w:rsid w:val="00AC72C6"/>
    <w:rsid w:val="00AC7B76"/>
    <w:rsid w:val="00AC7C16"/>
    <w:rsid w:val="00AD0A70"/>
    <w:rsid w:val="00AD0D99"/>
    <w:rsid w:val="00AD1141"/>
    <w:rsid w:val="00AD1A51"/>
    <w:rsid w:val="00AD2620"/>
    <w:rsid w:val="00AD28CB"/>
    <w:rsid w:val="00AD2F3C"/>
    <w:rsid w:val="00AD3763"/>
    <w:rsid w:val="00AD384A"/>
    <w:rsid w:val="00AD43A3"/>
    <w:rsid w:val="00AD4BB5"/>
    <w:rsid w:val="00AD6068"/>
    <w:rsid w:val="00AD60EA"/>
    <w:rsid w:val="00AD647E"/>
    <w:rsid w:val="00AD6614"/>
    <w:rsid w:val="00AD67D4"/>
    <w:rsid w:val="00AD6DBE"/>
    <w:rsid w:val="00AD6FD5"/>
    <w:rsid w:val="00AD72DC"/>
    <w:rsid w:val="00AD77FC"/>
    <w:rsid w:val="00AD79FC"/>
    <w:rsid w:val="00AE03FC"/>
    <w:rsid w:val="00AE0D80"/>
    <w:rsid w:val="00AE1265"/>
    <w:rsid w:val="00AE1352"/>
    <w:rsid w:val="00AE152F"/>
    <w:rsid w:val="00AE1611"/>
    <w:rsid w:val="00AE1ED8"/>
    <w:rsid w:val="00AE22CB"/>
    <w:rsid w:val="00AE2C55"/>
    <w:rsid w:val="00AE3508"/>
    <w:rsid w:val="00AE3634"/>
    <w:rsid w:val="00AE3737"/>
    <w:rsid w:val="00AE3FE1"/>
    <w:rsid w:val="00AE4331"/>
    <w:rsid w:val="00AE4727"/>
    <w:rsid w:val="00AE485F"/>
    <w:rsid w:val="00AE4CAC"/>
    <w:rsid w:val="00AE4E73"/>
    <w:rsid w:val="00AE5923"/>
    <w:rsid w:val="00AE5E11"/>
    <w:rsid w:val="00AE614D"/>
    <w:rsid w:val="00AE6640"/>
    <w:rsid w:val="00AE6B7D"/>
    <w:rsid w:val="00AE7849"/>
    <w:rsid w:val="00AE7977"/>
    <w:rsid w:val="00AE79F6"/>
    <w:rsid w:val="00AF0885"/>
    <w:rsid w:val="00AF0BB1"/>
    <w:rsid w:val="00AF0BE3"/>
    <w:rsid w:val="00AF11EB"/>
    <w:rsid w:val="00AF12E9"/>
    <w:rsid w:val="00AF1AE1"/>
    <w:rsid w:val="00AF1F10"/>
    <w:rsid w:val="00AF2A99"/>
    <w:rsid w:val="00AF33B9"/>
    <w:rsid w:val="00AF375D"/>
    <w:rsid w:val="00AF3770"/>
    <w:rsid w:val="00AF3D39"/>
    <w:rsid w:val="00AF456F"/>
    <w:rsid w:val="00AF497B"/>
    <w:rsid w:val="00AF50DC"/>
    <w:rsid w:val="00AF5399"/>
    <w:rsid w:val="00AF642B"/>
    <w:rsid w:val="00AF6480"/>
    <w:rsid w:val="00AF65B9"/>
    <w:rsid w:val="00AF6A4C"/>
    <w:rsid w:val="00AF6FA0"/>
    <w:rsid w:val="00AF7108"/>
    <w:rsid w:val="00AF727D"/>
    <w:rsid w:val="00AF736A"/>
    <w:rsid w:val="00AF74D8"/>
    <w:rsid w:val="00AF79C7"/>
    <w:rsid w:val="00AF7B78"/>
    <w:rsid w:val="00AF7D34"/>
    <w:rsid w:val="00AF7F9C"/>
    <w:rsid w:val="00AFB815"/>
    <w:rsid w:val="00B0004D"/>
    <w:rsid w:val="00B0049E"/>
    <w:rsid w:val="00B009CC"/>
    <w:rsid w:val="00B00D21"/>
    <w:rsid w:val="00B015F8"/>
    <w:rsid w:val="00B019F3"/>
    <w:rsid w:val="00B01DAA"/>
    <w:rsid w:val="00B02183"/>
    <w:rsid w:val="00B02477"/>
    <w:rsid w:val="00B02583"/>
    <w:rsid w:val="00B0299B"/>
    <w:rsid w:val="00B029B6"/>
    <w:rsid w:val="00B03A14"/>
    <w:rsid w:val="00B041D6"/>
    <w:rsid w:val="00B04266"/>
    <w:rsid w:val="00B045B1"/>
    <w:rsid w:val="00B047C2"/>
    <w:rsid w:val="00B04CB1"/>
    <w:rsid w:val="00B04D39"/>
    <w:rsid w:val="00B04F6E"/>
    <w:rsid w:val="00B0529F"/>
    <w:rsid w:val="00B05405"/>
    <w:rsid w:val="00B05635"/>
    <w:rsid w:val="00B05ACE"/>
    <w:rsid w:val="00B06089"/>
    <w:rsid w:val="00B069BD"/>
    <w:rsid w:val="00B06E7F"/>
    <w:rsid w:val="00B07504"/>
    <w:rsid w:val="00B07620"/>
    <w:rsid w:val="00B076BA"/>
    <w:rsid w:val="00B0C2EB"/>
    <w:rsid w:val="00B101DF"/>
    <w:rsid w:val="00B10531"/>
    <w:rsid w:val="00B10978"/>
    <w:rsid w:val="00B10A29"/>
    <w:rsid w:val="00B10B6C"/>
    <w:rsid w:val="00B10BF1"/>
    <w:rsid w:val="00B110B7"/>
    <w:rsid w:val="00B11203"/>
    <w:rsid w:val="00B112CF"/>
    <w:rsid w:val="00B1151C"/>
    <w:rsid w:val="00B11AA4"/>
    <w:rsid w:val="00B11E1A"/>
    <w:rsid w:val="00B12512"/>
    <w:rsid w:val="00B125B3"/>
    <w:rsid w:val="00B12BC2"/>
    <w:rsid w:val="00B1300C"/>
    <w:rsid w:val="00B1314F"/>
    <w:rsid w:val="00B1343F"/>
    <w:rsid w:val="00B13A76"/>
    <w:rsid w:val="00B13C9E"/>
    <w:rsid w:val="00B13FCE"/>
    <w:rsid w:val="00B151CF"/>
    <w:rsid w:val="00B163D0"/>
    <w:rsid w:val="00B16865"/>
    <w:rsid w:val="00B16B7E"/>
    <w:rsid w:val="00B16BFA"/>
    <w:rsid w:val="00B16F36"/>
    <w:rsid w:val="00B1752E"/>
    <w:rsid w:val="00B17B21"/>
    <w:rsid w:val="00B20445"/>
    <w:rsid w:val="00B20882"/>
    <w:rsid w:val="00B20BA6"/>
    <w:rsid w:val="00B22294"/>
    <w:rsid w:val="00B22FC3"/>
    <w:rsid w:val="00B230B4"/>
    <w:rsid w:val="00B237AC"/>
    <w:rsid w:val="00B23FE5"/>
    <w:rsid w:val="00B23FEB"/>
    <w:rsid w:val="00B24233"/>
    <w:rsid w:val="00B2438F"/>
    <w:rsid w:val="00B243A2"/>
    <w:rsid w:val="00B247AD"/>
    <w:rsid w:val="00B2483B"/>
    <w:rsid w:val="00B24FD0"/>
    <w:rsid w:val="00B25217"/>
    <w:rsid w:val="00B25D05"/>
    <w:rsid w:val="00B25DD2"/>
    <w:rsid w:val="00B26286"/>
    <w:rsid w:val="00B26622"/>
    <w:rsid w:val="00B26669"/>
    <w:rsid w:val="00B26C71"/>
    <w:rsid w:val="00B26DD6"/>
    <w:rsid w:val="00B26F68"/>
    <w:rsid w:val="00B26FA3"/>
    <w:rsid w:val="00B26FFB"/>
    <w:rsid w:val="00B2746A"/>
    <w:rsid w:val="00B276B4"/>
    <w:rsid w:val="00B27795"/>
    <w:rsid w:val="00B279B9"/>
    <w:rsid w:val="00B27CAC"/>
    <w:rsid w:val="00B303F6"/>
    <w:rsid w:val="00B30674"/>
    <w:rsid w:val="00B307B7"/>
    <w:rsid w:val="00B30DE2"/>
    <w:rsid w:val="00B31A80"/>
    <w:rsid w:val="00B31E2E"/>
    <w:rsid w:val="00B323C8"/>
    <w:rsid w:val="00B324D8"/>
    <w:rsid w:val="00B3273D"/>
    <w:rsid w:val="00B32B09"/>
    <w:rsid w:val="00B33124"/>
    <w:rsid w:val="00B3351C"/>
    <w:rsid w:val="00B336EC"/>
    <w:rsid w:val="00B33B91"/>
    <w:rsid w:val="00B34358"/>
    <w:rsid w:val="00B347E1"/>
    <w:rsid w:val="00B35D1C"/>
    <w:rsid w:val="00B35FD7"/>
    <w:rsid w:val="00B36028"/>
    <w:rsid w:val="00B3606D"/>
    <w:rsid w:val="00B3636C"/>
    <w:rsid w:val="00B363EB"/>
    <w:rsid w:val="00B36652"/>
    <w:rsid w:val="00B3760D"/>
    <w:rsid w:val="00B40064"/>
    <w:rsid w:val="00B401A5"/>
    <w:rsid w:val="00B401BE"/>
    <w:rsid w:val="00B40A49"/>
    <w:rsid w:val="00B40BBA"/>
    <w:rsid w:val="00B4173A"/>
    <w:rsid w:val="00B42046"/>
    <w:rsid w:val="00B43631"/>
    <w:rsid w:val="00B439FF"/>
    <w:rsid w:val="00B43A82"/>
    <w:rsid w:val="00B43E8D"/>
    <w:rsid w:val="00B444B1"/>
    <w:rsid w:val="00B44F1A"/>
    <w:rsid w:val="00B45859"/>
    <w:rsid w:val="00B46E90"/>
    <w:rsid w:val="00B472F9"/>
    <w:rsid w:val="00B47C1B"/>
    <w:rsid w:val="00B501E1"/>
    <w:rsid w:val="00B50A44"/>
    <w:rsid w:val="00B50BDD"/>
    <w:rsid w:val="00B51182"/>
    <w:rsid w:val="00B511BC"/>
    <w:rsid w:val="00B518DF"/>
    <w:rsid w:val="00B51D1F"/>
    <w:rsid w:val="00B523BB"/>
    <w:rsid w:val="00B5286A"/>
    <w:rsid w:val="00B52ABB"/>
    <w:rsid w:val="00B53256"/>
    <w:rsid w:val="00B533C6"/>
    <w:rsid w:val="00B53689"/>
    <w:rsid w:val="00B53847"/>
    <w:rsid w:val="00B541A5"/>
    <w:rsid w:val="00B541A9"/>
    <w:rsid w:val="00B543E0"/>
    <w:rsid w:val="00B54501"/>
    <w:rsid w:val="00B547FA"/>
    <w:rsid w:val="00B55306"/>
    <w:rsid w:val="00B554DE"/>
    <w:rsid w:val="00B55524"/>
    <w:rsid w:val="00B55833"/>
    <w:rsid w:val="00B55E5F"/>
    <w:rsid w:val="00B575BF"/>
    <w:rsid w:val="00B5778C"/>
    <w:rsid w:val="00B577DC"/>
    <w:rsid w:val="00B603A5"/>
    <w:rsid w:val="00B60794"/>
    <w:rsid w:val="00B61084"/>
    <w:rsid w:val="00B612EA"/>
    <w:rsid w:val="00B61C66"/>
    <w:rsid w:val="00B61C98"/>
    <w:rsid w:val="00B62233"/>
    <w:rsid w:val="00B6236C"/>
    <w:rsid w:val="00B624F9"/>
    <w:rsid w:val="00B62604"/>
    <w:rsid w:val="00B62620"/>
    <w:rsid w:val="00B62DF2"/>
    <w:rsid w:val="00B6401E"/>
    <w:rsid w:val="00B64044"/>
    <w:rsid w:val="00B6485F"/>
    <w:rsid w:val="00B654B5"/>
    <w:rsid w:val="00B65800"/>
    <w:rsid w:val="00B65ADC"/>
    <w:rsid w:val="00B669CC"/>
    <w:rsid w:val="00B66A87"/>
    <w:rsid w:val="00B66D25"/>
    <w:rsid w:val="00B671AE"/>
    <w:rsid w:val="00B67454"/>
    <w:rsid w:val="00B70179"/>
    <w:rsid w:val="00B70948"/>
    <w:rsid w:val="00B70F0D"/>
    <w:rsid w:val="00B711AF"/>
    <w:rsid w:val="00B712D0"/>
    <w:rsid w:val="00B717C4"/>
    <w:rsid w:val="00B72301"/>
    <w:rsid w:val="00B72F5C"/>
    <w:rsid w:val="00B73671"/>
    <w:rsid w:val="00B73785"/>
    <w:rsid w:val="00B739D3"/>
    <w:rsid w:val="00B74156"/>
    <w:rsid w:val="00B7454F"/>
    <w:rsid w:val="00B74A38"/>
    <w:rsid w:val="00B74CE2"/>
    <w:rsid w:val="00B751BF"/>
    <w:rsid w:val="00B75531"/>
    <w:rsid w:val="00B757E5"/>
    <w:rsid w:val="00B75AAC"/>
    <w:rsid w:val="00B75BB7"/>
    <w:rsid w:val="00B75F67"/>
    <w:rsid w:val="00B760E6"/>
    <w:rsid w:val="00B76FE2"/>
    <w:rsid w:val="00B811E9"/>
    <w:rsid w:val="00B8174C"/>
    <w:rsid w:val="00B81F38"/>
    <w:rsid w:val="00B822CD"/>
    <w:rsid w:val="00B823F2"/>
    <w:rsid w:val="00B827B1"/>
    <w:rsid w:val="00B837B2"/>
    <w:rsid w:val="00B83B62"/>
    <w:rsid w:val="00B83D28"/>
    <w:rsid w:val="00B83E4E"/>
    <w:rsid w:val="00B846EB"/>
    <w:rsid w:val="00B84A4A"/>
    <w:rsid w:val="00B84D36"/>
    <w:rsid w:val="00B8535F"/>
    <w:rsid w:val="00B85843"/>
    <w:rsid w:val="00B8662C"/>
    <w:rsid w:val="00B8682E"/>
    <w:rsid w:val="00B87079"/>
    <w:rsid w:val="00B87290"/>
    <w:rsid w:val="00B87521"/>
    <w:rsid w:val="00B87622"/>
    <w:rsid w:val="00B877AB"/>
    <w:rsid w:val="00B878CD"/>
    <w:rsid w:val="00B87A32"/>
    <w:rsid w:val="00B87E70"/>
    <w:rsid w:val="00B90446"/>
    <w:rsid w:val="00B905D6"/>
    <w:rsid w:val="00B91CB1"/>
    <w:rsid w:val="00B92244"/>
    <w:rsid w:val="00B92278"/>
    <w:rsid w:val="00B9249B"/>
    <w:rsid w:val="00B92DAF"/>
    <w:rsid w:val="00B92EF7"/>
    <w:rsid w:val="00B933E5"/>
    <w:rsid w:val="00B93806"/>
    <w:rsid w:val="00B93B0A"/>
    <w:rsid w:val="00B93B9F"/>
    <w:rsid w:val="00B93BDE"/>
    <w:rsid w:val="00B94898"/>
    <w:rsid w:val="00B94AEC"/>
    <w:rsid w:val="00B94B6D"/>
    <w:rsid w:val="00B94CF8"/>
    <w:rsid w:val="00B94E11"/>
    <w:rsid w:val="00B9536C"/>
    <w:rsid w:val="00B9551A"/>
    <w:rsid w:val="00B95E75"/>
    <w:rsid w:val="00B97159"/>
    <w:rsid w:val="00B9747C"/>
    <w:rsid w:val="00B97C7E"/>
    <w:rsid w:val="00BA0248"/>
    <w:rsid w:val="00BA0722"/>
    <w:rsid w:val="00BA0836"/>
    <w:rsid w:val="00BA1298"/>
    <w:rsid w:val="00BA1FFB"/>
    <w:rsid w:val="00BA21B2"/>
    <w:rsid w:val="00BA239D"/>
    <w:rsid w:val="00BA2B3F"/>
    <w:rsid w:val="00BA39B5"/>
    <w:rsid w:val="00BA4385"/>
    <w:rsid w:val="00BA43B4"/>
    <w:rsid w:val="00BA4E45"/>
    <w:rsid w:val="00BA5674"/>
    <w:rsid w:val="00BA56B7"/>
    <w:rsid w:val="00BA59FB"/>
    <w:rsid w:val="00BA6396"/>
    <w:rsid w:val="00BA6BC4"/>
    <w:rsid w:val="00BA77CC"/>
    <w:rsid w:val="00BB0DAB"/>
    <w:rsid w:val="00BB14A3"/>
    <w:rsid w:val="00BB177C"/>
    <w:rsid w:val="00BB1DA0"/>
    <w:rsid w:val="00BB21DE"/>
    <w:rsid w:val="00BB28DB"/>
    <w:rsid w:val="00BB2D5E"/>
    <w:rsid w:val="00BB303F"/>
    <w:rsid w:val="00BB384F"/>
    <w:rsid w:val="00BB4227"/>
    <w:rsid w:val="00BB42C0"/>
    <w:rsid w:val="00BB4372"/>
    <w:rsid w:val="00BB4712"/>
    <w:rsid w:val="00BB4C36"/>
    <w:rsid w:val="00BB4E3F"/>
    <w:rsid w:val="00BB539C"/>
    <w:rsid w:val="00BB54E7"/>
    <w:rsid w:val="00BB5BE8"/>
    <w:rsid w:val="00BB63A6"/>
    <w:rsid w:val="00BB64CB"/>
    <w:rsid w:val="00BB6D0D"/>
    <w:rsid w:val="00BB7D1A"/>
    <w:rsid w:val="00BC0051"/>
    <w:rsid w:val="00BC036D"/>
    <w:rsid w:val="00BC03C8"/>
    <w:rsid w:val="00BC0571"/>
    <w:rsid w:val="00BC1001"/>
    <w:rsid w:val="00BC15DE"/>
    <w:rsid w:val="00BC17C8"/>
    <w:rsid w:val="00BC1F77"/>
    <w:rsid w:val="00BC2032"/>
    <w:rsid w:val="00BC2412"/>
    <w:rsid w:val="00BC369C"/>
    <w:rsid w:val="00BC3738"/>
    <w:rsid w:val="00BC3B59"/>
    <w:rsid w:val="00BC3CC9"/>
    <w:rsid w:val="00BC4390"/>
    <w:rsid w:val="00BC449D"/>
    <w:rsid w:val="00BC4972"/>
    <w:rsid w:val="00BC4AC1"/>
    <w:rsid w:val="00BC4F09"/>
    <w:rsid w:val="00BC53E4"/>
    <w:rsid w:val="00BC57B8"/>
    <w:rsid w:val="00BC5F50"/>
    <w:rsid w:val="00BC6897"/>
    <w:rsid w:val="00BC6B88"/>
    <w:rsid w:val="00BD04F3"/>
    <w:rsid w:val="00BD10A2"/>
    <w:rsid w:val="00BD1960"/>
    <w:rsid w:val="00BD1B8D"/>
    <w:rsid w:val="00BD1D23"/>
    <w:rsid w:val="00BD33D4"/>
    <w:rsid w:val="00BD40B1"/>
    <w:rsid w:val="00BD41B4"/>
    <w:rsid w:val="00BD42D1"/>
    <w:rsid w:val="00BD5BC7"/>
    <w:rsid w:val="00BD6CFB"/>
    <w:rsid w:val="00BD7827"/>
    <w:rsid w:val="00BD7C65"/>
    <w:rsid w:val="00BE01CC"/>
    <w:rsid w:val="00BE01E2"/>
    <w:rsid w:val="00BE0A21"/>
    <w:rsid w:val="00BE0AD5"/>
    <w:rsid w:val="00BE0BF3"/>
    <w:rsid w:val="00BE1811"/>
    <w:rsid w:val="00BE1CB9"/>
    <w:rsid w:val="00BE1FB1"/>
    <w:rsid w:val="00BE20EE"/>
    <w:rsid w:val="00BE21BE"/>
    <w:rsid w:val="00BE28EF"/>
    <w:rsid w:val="00BE2A68"/>
    <w:rsid w:val="00BE3036"/>
    <w:rsid w:val="00BE3720"/>
    <w:rsid w:val="00BE3DE2"/>
    <w:rsid w:val="00BE4073"/>
    <w:rsid w:val="00BE47BF"/>
    <w:rsid w:val="00BE491C"/>
    <w:rsid w:val="00BE5374"/>
    <w:rsid w:val="00BE577B"/>
    <w:rsid w:val="00BE627A"/>
    <w:rsid w:val="00BE6317"/>
    <w:rsid w:val="00BE642D"/>
    <w:rsid w:val="00BE6CE8"/>
    <w:rsid w:val="00BE726A"/>
    <w:rsid w:val="00BE72B5"/>
    <w:rsid w:val="00BE73A5"/>
    <w:rsid w:val="00BE7815"/>
    <w:rsid w:val="00BE7B4D"/>
    <w:rsid w:val="00BE7EC3"/>
    <w:rsid w:val="00BF04B8"/>
    <w:rsid w:val="00BF05FE"/>
    <w:rsid w:val="00BF09D6"/>
    <w:rsid w:val="00BF196B"/>
    <w:rsid w:val="00BF1A44"/>
    <w:rsid w:val="00BF1A8B"/>
    <w:rsid w:val="00BF1C87"/>
    <w:rsid w:val="00BF2799"/>
    <w:rsid w:val="00BF338E"/>
    <w:rsid w:val="00BF34E8"/>
    <w:rsid w:val="00BF36AB"/>
    <w:rsid w:val="00BF39FF"/>
    <w:rsid w:val="00BF4174"/>
    <w:rsid w:val="00BF502F"/>
    <w:rsid w:val="00BF5466"/>
    <w:rsid w:val="00BF5843"/>
    <w:rsid w:val="00BF5A06"/>
    <w:rsid w:val="00BF5B67"/>
    <w:rsid w:val="00BF6CAF"/>
    <w:rsid w:val="00BF6EC6"/>
    <w:rsid w:val="00BF6F3D"/>
    <w:rsid w:val="00BF734F"/>
    <w:rsid w:val="00BF7755"/>
    <w:rsid w:val="00BF793A"/>
    <w:rsid w:val="00BF7C54"/>
    <w:rsid w:val="00BF7FBD"/>
    <w:rsid w:val="00C0034C"/>
    <w:rsid w:val="00C003D0"/>
    <w:rsid w:val="00C007D3"/>
    <w:rsid w:val="00C00D6E"/>
    <w:rsid w:val="00C01878"/>
    <w:rsid w:val="00C01986"/>
    <w:rsid w:val="00C01D5F"/>
    <w:rsid w:val="00C02443"/>
    <w:rsid w:val="00C0247E"/>
    <w:rsid w:val="00C024B5"/>
    <w:rsid w:val="00C02DEF"/>
    <w:rsid w:val="00C03088"/>
    <w:rsid w:val="00C031B2"/>
    <w:rsid w:val="00C0326B"/>
    <w:rsid w:val="00C0345A"/>
    <w:rsid w:val="00C034A5"/>
    <w:rsid w:val="00C03511"/>
    <w:rsid w:val="00C03B8E"/>
    <w:rsid w:val="00C042EF"/>
    <w:rsid w:val="00C042F1"/>
    <w:rsid w:val="00C0431C"/>
    <w:rsid w:val="00C04AB3"/>
    <w:rsid w:val="00C04C3A"/>
    <w:rsid w:val="00C0501D"/>
    <w:rsid w:val="00C055E3"/>
    <w:rsid w:val="00C05700"/>
    <w:rsid w:val="00C05AAD"/>
    <w:rsid w:val="00C05AE1"/>
    <w:rsid w:val="00C05CF1"/>
    <w:rsid w:val="00C06702"/>
    <w:rsid w:val="00C068F7"/>
    <w:rsid w:val="00C06B64"/>
    <w:rsid w:val="00C06F5E"/>
    <w:rsid w:val="00C0714B"/>
    <w:rsid w:val="00C071B5"/>
    <w:rsid w:val="00C071C2"/>
    <w:rsid w:val="00C074CD"/>
    <w:rsid w:val="00C0787A"/>
    <w:rsid w:val="00C1071C"/>
    <w:rsid w:val="00C107C3"/>
    <w:rsid w:val="00C10F9D"/>
    <w:rsid w:val="00C1145F"/>
    <w:rsid w:val="00C1177B"/>
    <w:rsid w:val="00C11D9A"/>
    <w:rsid w:val="00C11F3A"/>
    <w:rsid w:val="00C11FFB"/>
    <w:rsid w:val="00C12362"/>
    <w:rsid w:val="00C125EB"/>
    <w:rsid w:val="00C1285F"/>
    <w:rsid w:val="00C12D06"/>
    <w:rsid w:val="00C12E5F"/>
    <w:rsid w:val="00C13377"/>
    <w:rsid w:val="00C13520"/>
    <w:rsid w:val="00C13977"/>
    <w:rsid w:val="00C139AB"/>
    <w:rsid w:val="00C13F81"/>
    <w:rsid w:val="00C143B7"/>
    <w:rsid w:val="00C1450D"/>
    <w:rsid w:val="00C14593"/>
    <w:rsid w:val="00C1479F"/>
    <w:rsid w:val="00C1498F"/>
    <w:rsid w:val="00C14F9B"/>
    <w:rsid w:val="00C14FAB"/>
    <w:rsid w:val="00C15097"/>
    <w:rsid w:val="00C150D9"/>
    <w:rsid w:val="00C15F42"/>
    <w:rsid w:val="00C1610B"/>
    <w:rsid w:val="00C1611D"/>
    <w:rsid w:val="00C16C9A"/>
    <w:rsid w:val="00C17211"/>
    <w:rsid w:val="00C175C9"/>
    <w:rsid w:val="00C175E4"/>
    <w:rsid w:val="00C17908"/>
    <w:rsid w:val="00C17EF1"/>
    <w:rsid w:val="00C18E41"/>
    <w:rsid w:val="00C20F2E"/>
    <w:rsid w:val="00C21362"/>
    <w:rsid w:val="00C21407"/>
    <w:rsid w:val="00C21D06"/>
    <w:rsid w:val="00C22716"/>
    <w:rsid w:val="00C22D76"/>
    <w:rsid w:val="00C22FE5"/>
    <w:rsid w:val="00C232B5"/>
    <w:rsid w:val="00C232E0"/>
    <w:rsid w:val="00C23813"/>
    <w:rsid w:val="00C23D44"/>
    <w:rsid w:val="00C24040"/>
    <w:rsid w:val="00C2426D"/>
    <w:rsid w:val="00C24B5E"/>
    <w:rsid w:val="00C24D3D"/>
    <w:rsid w:val="00C2534F"/>
    <w:rsid w:val="00C25786"/>
    <w:rsid w:val="00C25851"/>
    <w:rsid w:val="00C25863"/>
    <w:rsid w:val="00C25D7B"/>
    <w:rsid w:val="00C26445"/>
    <w:rsid w:val="00C2659B"/>
    <w:rsid w:val="00C2758F"/>
    <w:rsid w:val="00C27749"/>
    <w:rsid w:val="00C27751"/>
    <w:rsid w:val="00C27772"/>
    <w:rsid w:val="00C279FE"/>
    <w:rsid w:val="00C30058"/>
    <w:rsid w:val="00C300AD"/>
    <w:rsid w:val="00C30282"/>
    <w:rsid w:val="00C30875"/>
    <w:rsid w:val="00C30CFA"/>
    <w:rsid w:val="00C31075"/>
    <w:rsid w:val="00C31492"/>
    <w:rsid w:val="00C317A2"/>
    <w:rsid w:val="00C32593"/>
    <w:rsid w:val="00C32834"/>
    <w:rsid w:val="00C32FFA"/>
    <w:rsid w:val="00C33989"/>
    <w:rsid w:val="00C33D23"/>
    <w:rsid w:val="00C33FE2"/>
    <w:rsid w:val="00C343FC"/>
    <w:rsid w:val="00C355AB"/>
    <w:rsid w:val="00C355BC"/>
    <w:rsid w:val="00C35871"/>
    <w:rsid w:val="00C35F29"/>
    <w:rsid w:val="00C35FF3"/>
    <w:rsid w:val="00C3651F"/>
    <w:rsid w:val="00C36633"/>
    <w:rsid w:val="00C36E5E"/>
    <w:rsid w:val="00C36E9D"/>
    <w:rsid w:val="00C36EF7"/>
    <w:rsid w:val="00C37540"/>
    <w:rsid w:val="00C3760C"/>
    <w:rsid w:val="00C3781A"/>
    <w:rsid w:val="00C3796F"/>
    <w:rsid w:val="00C37A2F"/>
    <w:rsid w:val="00C37AE7"/>
    <w:rsid w:val="00C37BA3"/>
    <w:rsid w:val="00C37C86"/>
    <w:rsid w:val="00C400A4"/>
    <w:rsid w:val="00C40353"/>
    <w:rsid w:val="00C40456"/>
    <w:rsid w:val="00C40724"/>
    <w:rsid w:val="00C40FFB"/>
    <w:rsid w:val="00C41077"/>
    <w:rsid w:val="00C410CB"/>
    <w:rsid w:val="00C412B1"/>
    <w:rsid w:val="00C41579"/>
    <w:rsid w:val="00C41953"/>
    <w:rsid w:val="00C41FD5"/>
    <w:rsid w:val="00C42271"/>
    <w:rsid w:val="00C42761"/>
    <w:rsid w:val="00C43135"/>
    <w:rsid w:val="00C43393"/>
    <w:rsid w:val="00C4436C"/>
    <w:rsid w:val="00C444DC"/>
    <w:rsid w:val="00C44D61"/>
    <w:rsid w:val="00C45628"/>
    <w:rsid w:val="00C45A01"/>
    <w:rsid w:val="00C4606B"/>
    <w:rsid w:val="00C461B2"/>
    <w:rsid w:val="00C47C8E"/>
    <w:rsid w:val="00C5080B"/>
    <w:rsid w:val="00C50ACE"/>
    <w:rsid w:val="00C513F1"/>
    <w:rsid w:val="00C51B43"/>
    <w:rsid w:val="00C5240A"/>
    <w:rsid w:val="00C52AC0"/>
    <w:rsid w:val="00C52B3F"/>
    <w:rsid w:val="00C52F5F"/>
    <w:rsid w:val="00C52FD1"/>
    <w:rsid w:val="00C534CD"/>
    <w:rsid w:val="00C5359B"/>
    <w:rsid w:val="00C5362E"/>
    <w:rsid w:val="00C539A5"/>
    <w:rsid w:val="00C53AF7"/>
    <w:rsid w:val="00C53EA3"/>
    <w:rsid w:val="00C54006"/>
    <w:rsid w:val="00C540B6"/>
    <w:rsid w:val="00C54137"/>
    <w:rsid w:val="00C543DD"/>
    <w:rsid w:val="00C54ACA"/>
    <w:rsid w:val="00C54CED"/>
    <w:rsid w:val="00C55113"/>
    <w:rsid w:val="00C55138"/>
    <w:rsid w:val="00C55373"/>
    <w:rsid w:val="00C554B5"/>
    <w:rsid w:val="00C55DCB"/>
    <w:rsid w:val="00C5631E"/>
    <w:rsid w:val="00C56BD0"/>
    <w:rsid w:val="00C56E3E"/>
    <w:rsid w:val="00C56EF2"/>
    <w:rsid w:val="00C570A6"/>
    <w:rsid w:val="00C57131"/>
    <w:rsid w:val="00C571F2"/>
    <w:rsid w:val="00C5723F"/>
    <w:rsid w:val="00C579F3"/>
    <w:rsid w:val="00C57AB1"/>
    <w:rsid w:val="00C57B90"/>
    <w:rsid w:val="00C57F69"/>
    <w:rsid w:val="00C600B3"/>
    <w:rsid w:val="00C600E9"/>
    <w:rsid w:val="00C607CF"/>
    <w:rsid w:val="00C6088F"/>
    <w:rsid w:val="00C60DE1"/>
    <w:rsid w:val="00C60F85"/>
    <w:rsid w:val="00C61464"/>
    <w:rsid w:val="00C61505"/>
    <w:rsid w:val="00C61542"/>
    <w:rsid w:val="00C61701"/>
    <w:rsid w:val="00C61948"/>
    <w:rsid w:val="00C61FB5"/>
    <w:rsid w:val="00C6212C"/>
    <w:rsid w:val="00C625BF"/>
    <w:rsid w:val="00C6287F"/>
    <w:rsid w:val="00C63796"/>
    <w:rsid w:val="00C639F2"/>
    <w:rsid w:val="00C63C50"/>
    <w:rsid w:val="00C63DEB"/>
    <w:rsid w:val="00C63EFF"/>
    <w:rsid w:val="00C6477B"/>
    <w:rsid w:val="00C65649"/>
    <w:rsid w:val="00C656DC"/>
    <w:rsid w:val="00C66350"/>
    <w:rsid w:val="00C676C9"/>
    <w:rsid w:val="00C67A60"/>
    <w:rsid w:val="00C67C07"/>
    <w:rsid w:val="00C67E8E"/>
    <w:rsid w:val="00C7048C"/>
    <w:rsid w:val="00C7063D"/>
    <w:rsid w:val="00C70C2B"/>
    <w:rsid w:val="00C71180"/>
    <w:rsid w:val="00C7158E"/>
    <w:rsid w:val="00C71994"/>
    <w:rsid w:val="00C71A35"/>
    <w:rsid w:val="00C71C9B"/>
    <w:rsid w:val="00C72177"/>
    <w:rsid w:val="00C731FF"/>
    <w:rsid w:val="00C7365B"/>
    <w:rsid w:val="00C73BBD"/>
    <w:rsid w:val="00C73D3F"/>
    <w:rsid w:val="00C7406D"/>
    <w:rsid w:val="00C74A89"/>
    <w:rsid w:val="00C74B8C"/>
    <w:rsid w:val="00C7600F"/>
    <w:rsid w:val="00C76090"/>
    <w:rsid w:val="00C7762D"/>
    <w:rsid w:val="00C77B0D"/>
    <w:rsid w:val="00C80315"/>
    <w:rsid w:val="00C80FB2"/>
    <w:rsid w:val="00C81545"/>
    <w:rsid w:val="00C820DA"/>
    <w:rsid w:val="00C8268F"/>
    <w:rsid w:val="00C82A00"/>
    <w:rsid w:val="00C830EF"/>
    <w:rsid w:val="00C83535"/>
    <w:rsid w:val="00C8372D"/>
    <w:rsid w:val="00C83D84"/>
    <w:rsid w:val="00C84078"/>
    <w:rsid w:val="00C847C4"/>
    <w:rsid w:val="00C85694"/>
    <w:rsid w:val="00C86612"/>
    <w:rsid w:val="00C87436"/>
    <w:rsid w:val="00C874EA"/>
    <w:rsid w:val="00C87AEC"/>
    <w:rsid w:val="00C903DD"/>
    <w:rsid w:val="00C903F9"/>
    <w:rsid w:val="00C90CA1"/>
    <w:rsid w:val="00C9105B"/>
    <w:rsid w:val="00C91225"/>
    <w:rsid w:val="00C91651"/>
    <w:rsid w:val="00C917A4"/>
    <w:rsid w:val="00C91EBF"/>
    <w:rsid w:val="00C922A2"/>
    <w:rsid w:val="00C926B9"/>
    <w:rsid w:val="00C92916"/>
    <w:rsid w:val="00C92C97"/>
    <w:rsid w:val="00C92D4F"/>
    <w:rsid w:val="00C9376E"/>
    <w:rsid w:val="00C939A0"/>
    <w:rsid w:val="00C93DC6"/>
    <w:rsid w:val="00C940B0"/>
    <w:rsid w:val="00C94525"/>
    <w:rsid w:val="00C94BA3"/>
    <w:rsid w:val="00C94CDA"/>
    <w:rsid w:val="00C94DE1"/>
    <w:rsid w:val="00C95623"/>
    <w:rsid w:val="00C9567F"/>
    <w:rsid w:val="00C95AA4"/>
    <w:rsid w:val="00C95B38"/>
    <w:rsid w:val="00C95CCE"/>
    <w:rsid w:val="00C96A32"/>
    <w:rsid w:val="00C96A86"/>
    <w:rsid w:val="00C9708E"/>
    <w:rsid w:val="00C97188"/>
    <w:rsid w:val="00C97541"/>
    <w:rsid w:val="00C97675"/>
    <w:rsid w:val="00C97CEE"/>
    <w:rsid w:val="00C97DBA"/>
    <w:rsid w:val="00CA01F3"/>
    <w:rsid w:val="00CA0201"/>
    <w:rsid w:val="00CA0673"/>
    <w:rsid w:val="00CA091E"/>
    <w:rsid w:val="00CA0A9F"/>
    <w:rsid w:val="00CA0F37"/>
    <w:rsid w:val="00CA1057"/>
    <w:rsid w:val="00CA16D9"/>
    <w:rsid w:val="00CA1723"/>
    <w:rsid w:val="00CA194A"/>
    <w:rsid w:val="00CA22D1"/>
    <w:rsid w:val="00CA234A"/>
    <w:rsid w:val="00CA26EA"/>
    <w:rsid w:val="00CA298E"/>
    <w:rsid w:val="00CA2E89"/>
    <w:rsid w:val="00CA2FB2"/>
    <w:rsid w:val="00CA3178"/>
    <w:rsid w:val="00CA3209"/>
    <w:rsid w:val="00CA341A"/>
    <w:rsid w:val="00CA34E5"/>
    <w:rsid w:val="00CA38C7"/>
    <w:rsid w:val="00CA3A7A"/>
    <w:rsid w:val="00CA3BFC"/>
    <w:rsid w:val="00CA3D3A"/>
    <w:rsid w:val="00CA3DB9"/>
    <w:rsid w:val="00CA42D6"/>
    <w:rsid w:val="00CA4301"/>
    <w:rsid w:val="00CA4838"/>
    <w:rsid w:val="00CA51EE"/>
    <w:rsid w:val="00CA528A"/>
    <w:rsid w:val="00CA56E0"/>
    <w:rsid w:val="00CA589B"/>
    <w:rsid w:val="00CA5BFF"/>
    <w:rsid w:val="00CA5EDC"/>
    <w:rsid w:val="00CA653B"/>
    <w:rsid w:val="00CA71D7"/>
    <w:rsid w:val="00CA725E"/>
    <w:rsid w:val="00CA761D"/>
    <w:rsid w:val="00CB0845"/>
    <w:rsid w:val="00CB1020"/>
    <w:rsid w:val="00CB10C4"/>
    <w:rsid w:val="00CB121B"/>
    <w:rsid w:val="00CB15E9"/>
    <w:rsid w:val="00CB230E"/>
    <w:rsid w:val="00CB294C"/>
    <w:rsid w:val="00CB2BD5"/>
    <w:rsid w:val="00CB3155"/>
    <w:rsid w:val="00CB3BD4"/>
    <w:rsid w:val="00CB3DAB"/>
    <w:rsid w:val="00CB3E81"/>
    <w:rsid w:val="00CB3E8C"/>
    <w:rsid w:val="00CB445E"/>
    <w:rsid w:val="00CB4599"/>
    <w:rsid w:val="00CB47AD"/>
    <w:rsid w:val="00CB48A1"/>
    <w:rsid w:val="00CB58DB"/>
    <w:rsid w:val="00CB5937"/>
    <w:rsid w:val="00CB5A87"/>
    <w:rsid w:val="00CB5C55"/>
    <w:rsid w:val="00CB6D7A"/>
    <w:rsid w:val="00CB7BA3"/>
    <w:rsid w:val="00CC0030"/>
    <w:rsid w:val="00CC031B"/>
    <w:rsid w:val="00CC039A"/>
    <w:rsid w:val="00CC06D4"/>
    <w:rsid w:val="00CC0C65"/>
    <w:rsid w:val="00CC0E7B"/>
    <w:rsid w:val="00CC14E2"/>
    <w:rsid w:val="00CC170F"/>
    <w:rsid w:val="00CC1945"/>
    <w:rsid w:val="00CC1A1E"/>
    <w:rsid w:val="00CC1B02"/>
    <w:rsid w:val="00CC1D1A"/>
    <w:rsid w:val="00CC21E9"/>
    <w:rsid w:val="00CC2C23"/>
    <w:rsid w:val="00CC2E65"/>
    <w:rsid w:val="00CC2EC3"/>
    <w:rsid w:val="00CC39A5"/>
    <w:rsid w:val="00CC406C"/>
    <w:rsid w:val="00CC4074"/>
    <w:rsid w:val="00CC4378"/>
    <w:rsid w:val="00CC4BCA"/>
    <w:rsid w:val="00CC5956"/>
    <w:rsid w:val="00CC5A06"/>
    <w:rsid w:val="00CC6260"/>
    <w:rsid w:val="00CC6661"/>
    <w:rsid w:val="00CC6914"/>
    <w:rsid w:val="00CC6ADB"/>
    <w:rsid w:val="00CC6DD3"/>
    <w:rsid w:val="00CC6F18"/>
    <w:rsid w:val="00CC711C"/>
    <w:rsid w:val="00CC737B"/>
    <w:rsid w:val="00CC7634"/>
    <w:rsid w:val="00CC7729"/>
    <w:rsid w:val="00CC7818"/>
    <w:rsid w:val="00CD00AE"/>
    <w:rsid w:val="00CD038D"/>
    <w:rsid w:val="00CD06DD"/>
    <w:rsid w:val="00CD06FD"/>
    <w:rsid w:val="00CD093D"/>
    <w:rsid w:val="00CD095B"/>
    <w:rsid w:val="00CD0A2E"/>
    <w:rsid w:val="00CD0F7B"/>
    <w:rsid w:val="00CD1404"/>
    <w:rsid w:val="00CD1690"/>
    <w:rsid w:val="00CD1C68"/>
    <w:rsid w:val="00CD1E24"/>
    <w:rsid w:val="00CD1F2C"/>
    <w:rsid w:val="00CD2287"/>
    <w:rsid w:val="00CD24A0"/>
    <w:rsid w:val="00CD256D"/>
    <w:rsid w:val="00CD2C58"/>
    <w:rsid w:val="00CD2E09"/>
    <w:rsid w:val="00CD3285"/>
    <w:rsid w:val="00CD3D10"/>
    <w:rsid w:val="00CD449F"/>
    <w:rsid w:val="00CD4E34"/>
    <w:rsid w:val="00CD5E2F"/>
    <w:rsid w:val="00CD6457"/>
    <w:rsid w:val="00CD6475"/>
    <w:rsid w:val="00CD6CEB"/>
    <w:rsid w:val="00CD7347"/>
    <w:rsid w:val="00CD7585"/>
    <w:rsid w:val="00CD75D6"/>
    <w:rsid w:val="00CD7C14"/>
    <w:rsid w:val="00CE0BF5"/>
    <w:rsid w:val="00CE0C77"/>
    <w:rsid w:val="00CE129F"/>
    <w:rsid w:val="00CE1310"/>
    <w:rsid w:val="00CE1474"/>
    <w:rsid w:val="00CE1FB6"/>
    <w:rsid w:val="00CE2164"/>
    <w:rsid w:val="00CE28E3"/>
    <w:rsid w:val="00CE2904"/>
    <w:rsid w:val="00CE29BA"/>
    <w:rsid w:val="00CE2D9E"/>
    <w:rsid w:val="00CE348E"/>
    <w:rsid w:val="00CE353D"/>
    <w:rsid w:val="00CE3721"/>
    <w:rsid w:val="00CE3752"/>
    <w:rsid w:val="00CE403D"/>
    <w:rsid w:val="00CE40CC"/>
    <w:rsid w:val="00CE452F"/>
    <w:rsid w:val="00CE48C8"/>
    <w:rsid w:val="00CE4969"/>
    <w:rsid w:val="00CE499E"/>
    <w:rsid w:val="00CE4B44"/>
    <w:rsid w:val="00CE4FB4"/>
    <w:rsid w:val="00CE5471"/>
    <w:rsid w:val="00CE5F66"/>
    <w:rsid w:val="00CE78EF"/>
    <w:rsid w:val="00CE7D8C"/>
    <w:rsid w:val="00CE7DE0"/>
    <w:rsid w:val="00CE7E81"/>
    <w:rsid w:val="00CF0750"/>
    <w:rsid w:val="00CF0ED8"/>
    <w:rsid w:val="00CF1195"/>
    <w:rsid w:val="00CF135C"/>
    <w:rsid w:val="00CF19DC"/>
    <w:rsid w:val="00CF1A2D"/>
    <w:rsid w:val="00CF1DBA"/>
    <w:rsid w:val="00CF283C"/>
    <w:rsid w:val="00CF2913"/>
    <w:rsid w:val="00CF29FD"/>
    <w:rsid w:val="00CF2B4D"/>
    <w:rsid w:val="00CF3145"/>
    <w:rsid w:val="00CF38B1"/>
    <w:rsid w:val="00CF3908"/>
    <w:rsid w:val="00CF4077"/>
    <w:rsid w:val="00CF439F"/>
    <w:rsid w:val="00CF4A5C"/>
    <w:rsid w:val="00CF5273"/>
    <w:rsid w:val="00CF5CD7"/>
    <w:rsid w:val="00CF5E07"/>
    <w:rsid w:val="00CF5F52"/>
    <w:rsid w:val="00CF5FEE"/>
    <w:rsid w:val="00CF631C"/>
    <w:rsid w:val="00CF67B7"/>
    <w:rsid w:val="00CF6AB7"/>
    <w:rsid w:val="00CF6E93"/>
    <w:rsid w:val="00CF7120"/>
    <w:rsid w:val="00CF724C"/>
    <w:rsid w:val="00CF7C89"/>
    <w:rsid w:val="00CF7D86"/>
    <w:rsid w:val="00D001B4"/>
    <w:rsid w:val="00D001CD"/>
    <w:rsid w:val="00D00383"/>
    <w:rsid w:val="00D003B7"/>
    <w:rsid w:val="00D005BE"/>
    <w:rsid w:val="00D00CF3"/>
    <w:rsid w:val="00D00E36"/>
    <w:rsid w:val="00D00EB8"/>
    <w:rsid w:val="00D017E1"/>
    <w:rsid w:val="00D01897"/>
    <w:rsid w:val="00D02356"/>
    <w:rsid w:val="00D0279B"/>
    <w:rsid w:val="00D028BF"/>
    <w:rsid w:val="00D02F4F"/>
    <w:rsid w:val="00D03450"/>
    <w:rsid w:val="00D041AE"/>
    <w:rsid w:val="00D04A8A"/>
    <w:rsid w:val="00D04CB3"/>
    <w:rsid w:val="00D05178"/>
    <w:rsid w:val="00D05641"/>
    <w:rsid w:val="00D05CA8"/>
    <w:rsid w:val="00D05CAE"/>
    <w:rsid w:val="00D05D23"/>
    <w:rsid w:val="00D06207"/>
    <w:rsid w:val="00D06962"/>
    <w:rsid w:val="00D06F13"/>
    <w:rsid w:val="00D07CD3"/>
    <w:rsid w:val="00D07E87"/>
    <w:rsid w:val="00D104DE"/>
    <w:rsid w:val="00D10D0A"/>
    <w:rsid w:val="00D116D2"/>
    <w:rsid w:val="00D12500"/>
    <w:rsid w:val="00D12BD1"/>
    <w:rsid w:val="00D1362F"/>
    <w:rsid w:val="00D140F9"/>
    <w:rsid w:val="00D14C37"/>
    <w:rsid w:val="00D14E59"/>
    <w:rsid w:val="00D14F90"/>
    <w:rsid w:val="00D1508C"/>
    <w:rsid w:val="00D151B2"/>
    <w:rsid w:val="00D158CF"/>
    <w:rsid w:val="00D15CC0"/>
    <w:rsid w:val="00D16CD5"/>
    <w:rsid w:val="00D173AD"/>
    <w:rsid w:val="00D1764D"/>
    <w:rsid w:val="00D1773D"/>
    <w:rsid w:val="00D17883"/>
    <w:rsid w:val="00D20031"/>
    <w:rsid w:val="00D2010B"/>
    <w:rsid w:val="00D20A4B"/>
    <w:rsid w:val="00D20C0D"/>
    <w:rsid w:val="00D20C12"/>
    <w:rsid w:val="00D21008"/>
    <w:rsid w:val="00D212BF"/>
    <w:rsid w:val="00D21968"/>
    <w:rsid w:val="00D2219B"/>
    <w:rsid w:val="00D2276C"/>
    <w:rsid w:val="00D22823"/>
    <w:rsid w:val="00D22B67"/>
    <w:rsid w:val="00D233A2"/>
    <w:rsid w:val="00D23EA1"/>
    <w:rsid w:val="00D24B2A"/>
    <w:rsid w:val="00D24CF2"/>
    <w:rsid w:val="00D24DC4"/>
    <w:rsid w:val="00D24E45"/>
    <w:rsid w:val="00D252FE"/>
    <w:rsid w:val="00D254E3"/>
    <w:rsid w:val="00D26145"/>
    <w:rsid w:val="00D26D01"/>
    <w:rsid w:val="00D26DEC"/>
    <w:rsid w:val="00D27366"/>
    <w:rsid w:val="00D30944"/>
    <w:rsid w:val="00D310C3"/>
    <w:rsid w:val="00D313B3"/>
    <w:rsid w:val="00D3143C"/>
    <w:rsid w:val="00D319CF"/>
    <w:rsid w:val="00D3270D"/>
    <w:rsid w:val="00D3292B"/>
    <w:rsid w:val="00D32A48"/>
    <w:rsid w:val="00D33097"/>
    <w:rsid w:val="00D33F02"/>
    <w:rsid w:val="00D34A74"/>
    <w:rsid w:val="00D34AD8"/>
    <w:rsid w:val="00D34C52"/>
    <w:rsid w:val="00D34D1B"/>
    <w:rsid w:val="00D350F4"/>
    <w:rsid w:val="00D358F7"/>
    <w:rsid w:val="00D35C57"/>
    <w:rsid w:val="00D35CD3"/>
    <w:rsid w:val="00D36376"/>
    <w:rsid w:val="00D3690A"/>
    <w:rsid w:val="00D3693A"/>
    <w:rsid w:val="00D36D4D"/>
    <w:rsid w:val="00D36E67"/>
    <w:rsid w:val="00D37394"/>
    <w:rsid w:val="00D379E1"/>
    <w:rsid w:val="00D37EF5"/>
    <w:rsid w:val="00D40C21"/>
    <w:rsid w:val="00D40E98"/>
    <w:rsid w:val="00D41388"/>
    <w:rsid w:val="00D413D7"/>
    <w:rsid w:val="00D415A3"/>
    <w:rsid w:val="00D419C9"/>
    <w:rsid w:val="00D41FB8"/>
    <w:rsid w:val="00D425E2"/>
    <w:rsid w:val="00D428B9"/>
    <w:rsid w:val="00D42F0A"/>
    <w:rsid w:val="00D431EA"/>
    <w:rsid w:val="00D43246"/>
    <w:rsid w:val="00D436C5"/>
    <w:rsid w:val="00D4390F"/>
    <w:rsid w:val="00D44E7B"/>
    <w:rsid w:val="00D45750"/>
    <w:rsid w:val="00D457EA"/>
    <w:rsid w:val="00D45C42"/>
    <w:rsid w:val="00D46294"/>
    <w:rsid w:val="00D4636E"/>
    <w:rsid w:val="00D466CA"/>
    <w:rsid w:val="00D469DB"/>
    <w:rsid w:val="00D47CEC"/>
    <w:rsid w:val="00D47E55"/>
    <w:rsid w:val="00D47F32"/>
    <w:rsid w:val="00D505C4"/>
    <w:rsid w:val="00D50E05"/>
    <w:rsid w:val="00D51077"/>
    <w:rsid w:val="00D511CC"/>
    <w:rsid w:val="00D51559"/>
    <w:rsid w:val="00D5199F"/>
    <w:rsid w:val="00D51AF2"/>
    <w:rsid w:val="00D51D7D"/>
    <w:rsid w:val="00D51FCD"/>
    <w:rsid w:val="00D52035"/>
    <w:rsid w:val="00D52045"/>
    <w:rsid w:val="00D5207D"/>
    <w:rsid w:val="00D524A8"/>
    <w:rsid w:val="00D52772"/>
    <w:rsid w:val="00D5285D"/>
    <w:rsid w:val="00D52876"/>
    <w:rsid w:val="00D52E54"/>
    <w:rsid w:val="00D52FB2"/>
    <w:rsid w:val="00D52FF5"/>
    <w:rsid w:val="00D5301A"/>
    <w:rsid w:val="00D53060"/>
    <w:rsid w:val="00D539C7"/>
    <w:rsid w:val="00D53C0B"/>
    <w:rsid w:val="00D53D15"/>
    <w:rsid w:val="00D5440D"/>
    <w:rsid w:val="00D54613"/>
    <w:rsid w:val="00D547D6"/>
    <w:rsid w:val="00D554D8"/>
    <w:rsid w:val="00D5562F"/>
    <w:rsid w:val="00D55718"/>
    <w:rsid w:val="00D557A9"/>
    <w:rsid w:val="00D56007"/>
    <w:rsid w:val="00D562D0"/>
    <w:rsid w:val="00D5666D"/>
    <w:rsid w:val="00D566BE"/>
    <w:rsid w:val="00D5689F"/>
    <w:rsid w:val="00D56DFA"/>
    <w:rsid w:val="00D57190"/>
    <w:rsid w:val="00D5725A"/>
    <w:rsid w:val="00D573AA"/>
    <w:rsid w:val="00D57A67"/>
    <w:rsid w:val="00D601BE"/>
    <w:rsid w:val="00D603E5"/>
    <w:rsid w:val="00D60E22"/>
    <w:rsid w:val="00D61004"/>
    <w:rsid w:val="00D61302"/>
    <w:rsid w:val="00D6207F"/>
    <w:rsid w:val="00D62389"/>
    <w:rsid w:val="00D62609"/>
    <w:rsid w:val="00D62F4D"/>
    <w:rsid w:val="00D62FD4"/>
    <w:rsid w:val="00D63363"/>
    <w:rsid w:val="00D64906"/>
    <w:rsid w:val="00D64C85"/>
    <w:rsid w:val="00D64EE8"/>
    <w:rsid w:val="00D652D9"/>
    <w:rsid w:val="00D66673"/>
    <w:rsid w:val="00D67F82"/>
    <w:rsid w:val="00D70854"/>
    <w:rsid w:val="00D70DDA"/>
    <w:rsid w:val="00D71213"/>
    <w:rsid w:val="00D71230"/>
    <w:rsid w:val="00D72712"/>
    <w:rsid w:val="00D730C3"/>
    <w:rsid w:val="00D732FB"/>
    <w:rsid w:val="00D73786"/>
    <w:rsid w:val="00D73881"/>
    <w:rsid w:val="00D73AD9"/>
    <w:rsid w:val="00D73C6B"/>
    <w:rsid w:val="00D74336"/>
    <w:rsid w:val="00D74965"/>
    <w:rsid w:val="00D75617"/>
    <w:rsid w:val="00D756D6"/>
    <w:rsid w:val="00D759C2"/>
    <w:rsid w:val="00D75F7D"/>
    <w:rsid w:val="00D7677D"/>
    <w:rsid w:val="00D768E1"/>
    <w:rsid w:val="00D76EAB"/>
    <w:rsid w:val="00D77509"/>
    <w:rsid w:val="00D77B20"/>
    <w:rsid w:val="00D77DA8"/>
    <w:rsid w:val="00D77E2D"/>
    <w:rsid w:val="00D80208"/>
    <w:rsid w:val="00D80C29"/>
    <w:rsid w:val="00D811ED"/>
    <w:rsid w:val="00D81B2D"/>
    <w:rsid w:val="00D82C83"/>
    <w:rsid w:val="00D830E4"/>
    <w:rsid w:val="00D8316D"/>
    <w:rsid w:val="00D83B51"/>
    <w:rsid w:val="00D83BC2"/>
    <w:rsid w:val="00D8408C"/>
    <w:rsid w:val="00D8439F"/>
    <w:rsid w:val="00D8497B"/>
    <w:rsid w:val="00D84ACD"/>
    <w:rsid w:val="00D84ECA"/>
    <w:rsid w:val="00D8525E"/>
    <w:rsid w:val="00D8576A"/>
    <w:rsid w:val="00D863D0"/>
    <w:rsid w:val="00D86424"/>
    <w:rsid w:val="00D8693B"/>
    <w:rsid w:val="00D86CA3"/>
    <w:rsid w:val="00D86D71"/>
    <w:rsid w:val="00D86DA6"/>
    <w:rsid w:val="00D86E94"/>
    <w:rsid w:val="00D87175"/>
    <w:rsid w:val="00D87D1B"/>
    <w:rsid w:val="00D9019E"/>
    <w:rsid w:val="00D9041B"/>
    <w:rsid w:val="00D906AB"/>
    <w:rsid w:val="00D90DBB"/>
    <w:rsid w:val="00D90E1A"/>
    <w:rsid w:val="00D90F46"/>
    <w:rsid w:val="00D911CC"/>
    <w:rsid w:val="00D9141D"/>
    <w:rsid w:val="00D916A4"/>
    <w:rsid w:val="00D9213E"/>
    <w:rsid w:val="00D9264C"/>
    <w:rsid w:val="00D92710"/>
    <w:rsid w:val="00D929BD"/>
    <w:rsid w:val="00D935EB"/>
    <w:rsid w:val="00D946C9"/>
    <w:rsid w:val="00D94829"/>
    <w:rsid w:val="00D94B54"/>
    <w:rsid w:val="00D94CF3"/>
    <w:rsid w:val="00D95709"/>
    <w:rsid w:val="00D95B8E"/>
    <w:rsid w:val="00D95C13"/>
    <w:rsid w:val="00D95CF5"/>
    <w:rsid w:val="00D95CFC"/>
    <w:rsid w:val="00D95F72"/>
    <w:rsid w:val="00D96463"/>
    <w:rsid w:val="00D967A8"/>
    <w:rsid w:val="00DA058E"/>
    <w:rsid w:val="00DA1031"/>
    <w:rsid w:val="00DA11DE"/>
    <w:rsid w:val="00DA177C"/>
    <w:rsid w:val="00DA17E6"/>
    <w:rsid w:val="00DA1D30"/>
    <w:rsid w:val="00DA270D"/>
    <w:rsid w:val="00DA2FFF"/>
    <w:rsid w:val="00DA3ACD"/>
    <w:rsid w:val="00DA4E28"/>
    <w:rsid w:val="00DA512C"/>
    <w:rsid w:val="00DA53E5"/>
    <w:rsid w:val="00DA559B"/>
    <w:rsid w:val="00DA5A64"/>
    <w:rsid w:val="00DA607B"/>
    <w:rsid w:val="00DA632A"/>
    <w:rsid w:val="00DA6765"/>
    <w:rsid w:val="00DA7015"/>
    <w:rsid w:val="00DA7461"/>
    <w:rsid w:val="00DA7A93"/>
    <w:rsid w:val="00DB003C"/>
    <w:rsid w:val="00DB071F"/>
    <w:rsid w:val="00DB0CD2"/>
    <w:rsid w:val="00DB0D2A"/>
    <w:rsid w:val="00DB1409"/>
    <w:rsid w:val="00DB1508"/>
    <w:rsid w:val="00DB1537"/>
    <w:rsid w:val="00DB1972"/>
    <w:rsid w:val="00DB1E91"/>
    <w:rsid w:val="00DB2837"/>
    <w:rsid w:val="00DB2C9E"/>
    <w:rsid w:val="00DB3EE2"/>
    <w:rsid w:val="00DB4410"/>
    <w:rsid w:val="00DB5117"/>
    <w:rsid w:val="00DB53DD"/>
    <w:rsid w:val="00DB576F"/>
    <w:rsid w:val="00DB58D9"/>
    <w:rsid w:val="00DB6031"/>
    <w:rsid w:val="00DB622B"/>
    <w:rsid w:val="00DB6237"/>
    <w:rsid w:val="00DB62C2"/>
    <w:rsid w:val="00DB664A"/>
    <w:rsid w:val="00DB6F4A"/>
    <w:rsid w:val="00DB7258"/>
    <w:rsid w:val="00DB7463"/>
    <w:rsid w:val="00DB752C"/>
    <w:rsid w:val="00DB79E4"/>
    <w:rsid w:val="00DB7CB3"/>
    <w:rsid w:val="00DC02A7"/>
    <w:rsid w:val="00DC08D0"/>
    <w:rsid w:val="00DC0FAE"/>
    <w:rsid w:val="00DC115C"/>
    <w:rsid w:val="00DC1248"/>
    <w:rsid w:val="00DC1451"/>
    <w:rsid w:val="00DC14AF"/>
    <w:rsid w:val="00DC1720"/>
    <w:rsid w:val="00DC1A43"/>
    <w:rsid w:val="00DC28CE"/>
    <w:rsid w:val="00DC29B1"/>
    <w:rsid w:val="00DC2E01"/>
    <w:rsid w:val="00DC32C6"/>
    <w:rsid w:val="00DC3633"/>
    <w:rsid w:val="00DC3896"/>
    <w:rsid w:val="00DC3E5D"/>
    <w:rsid w:val="00DC3EC7"/>
    <w:rsid w:val="00DC3ECD"/>
    <w:rsid w:val="00DC4108"/>
    <w:rsid w:val="00DC4151"/>
    <w:rsid w:val="00DC478A"/>
    <w:rsid w:val="00DC48C0"/>
    <w:rsid w:val="00DC4D5B"/>
    <w:rsid w:val="00DC4EC7"/>
    <w:rsid w:val="00DC4F16"/>
    <w:rsid w:val="00DC4F64"/>
    <w:rsid w:val="00DC50C5"/>
    <w:rsid w:val="00DC5DFB"/>
    <w:rsid w:val="00DC64A7"/>
    <w:rsid w:val="00DC6B93"/>
    <w:rsid w:val="00DC7630"/>
    <w:rsid w:val="00DC7DA1"/>
    <w:rsid w:val="00DD0953"/>
    <w:rsid w:val="00DD11B8"/>
    <w:rsid w:val="00DD12B6"/>
    <w:rsid w:val="00DD1336"/>
    <w:rsid w:val="00DD170E"/>
    <w:rsid w:val="00DD185C"/>
    <w:rsid w:val="00DD1A95"/>
    <w:rsid w:val="00DD1DFD"/>
    <w:rsid w:val="00DD1FDF"/>
    <w:rsid w:val="00DD221D"/>
    <w:rsid w:val="00DD239D"/>
    <w:rsid w:val="00DD26A8"/>
    <w:rsid w:val="00DD2C81"/>
    <w:rsid w:val="00DD34B1"/>
    <w:rsid w:val="00DD5E23"/>
    <w:rsid w:val="00DD6586"/>
    <w:rsid w:val="00DD6F30"/>
    <w:rsid w:val="00DD7AD3"/>
    <w:rsid w:val="00DD7CB9"/>
    <w:rsid w:val="00DE067C"/>
    <w:rsid w:val="00DE0F1C"/>
    <w:rsid w:val="00DE0F68"/>
    <w:rsid w:val="00DE1491"/>
    <w:rsid w:val="00DE151C"/>
    <w:rsid w:val="00DE1839"/>
    <w:rsid w:val="00DE1860"/>
    <w:rsid w:val="00DE19C8"/>
    <w:rsid w:val="00DE23DA"/>
    <w:rsid w:val="00DE2496"/>
    <w:rsid w:val="00DE25BF"/>
    <w:rsid w:val="00DE26D4"/>
    <w:rsid w:val="00DE288E"/>
    <w:rsid w:val="00DE2F15"/>
    <w:rsid w:val="00DE3457"/>
    <w:rsid w:val="00DE3624"/>
    <w:rsid w:val="00DE3683"/>
    <w:rsid w:val="00DE39E2"/>
    <w:rsid w:val="00DE3E98"/>
    <w:rsid w:val="00DE420D"/>
    <w:rsid w:val="00DE45AD"/>
    <w:rsid w:val="00DE4BBD"/>
    <w:rsid w:val="00DE4D6C"/>
    <w:rsid w:val="00DE5372"/>
    <w:rsid w:val="00DE5CC1"/>
    <w:rsid w:val="00DE6ADA"/>
    <w:rsid w:val="00DE6F87"/>
    <w:rsid w:val="00DE7099"/>
    <w:rsid w:val="00DE716C"/>
    <w:rsid w:val="00DE7B3D"/>
    <w:rsid w:val="00DE7CD9"/>
    <w:rsid w:val="00DE7CDE"/>
    <w:rsid w:val="00DF067A"/>
    <w:rsid w:val="00DF0FAA"/>
    <w:rsid w:val="00DF1013"/>
    <w:rsid w:val="00DF1628"/>
    <w:rsid w:val="00DF1914"/>
    <w:rsid w:val="00DF1DE9"/>
    <w:rsid w:val="00DF1F1D"/>
    <w:rsid w:val="00DF219B"/>
    <w:rsid w:val="00DF2679"/>
    <w:rsid w:val="00DF2736"/>
    <w:rsid w:val="00DF29CD"/>
    <w:rsid w:val="00DF313E"/>
    <w:rsid w:val="00DF341B"/>
    <w:rsid w:val="00DF348B"/>
    <w:rsid w:val="00DF39E9"/>
    <w:rsid w:val="00DF3E78"/>
    <w:rsid w:val="00DF3F5C"/>
    <w:rsid w:val="00DF3F5F"/>
    <w:rsid w:val="00DF3F94"/>
    <w:rsid w:val="00DF431B"/>
    <w:rsid w:val="00DF461D"/>
    <w:rsid w:val="00DF48FC"/>
    <w:rsid w:val="00DF56E2"/>
    <w:rsid w:val="00DF5CB3"/>
    <w:rsid w:val="00DF60B4"/>
    <w:rsid w:val="00DF6664"/>
    <w:rsid w:val="00DF74D9"/>
    <w:rsid w:val="00DF7840"/>
    <w:rsid w:val="00E0135D"/>
    <w:rsid w:val="00E01526"/>
    <w:rsid w:val="00E01813"/>
    <w:rsid w:val="00E01D0B"/>
    <w:rsid w:val="00E01D4E"/>
    <w:rsid w:val="00E021F1"/>
    <w:rsid w:val="00E023B9"/>
    <w:rsid w:val="00E03064"/>
    <w:rsid w:val="00E03192"/>
    <w:rsid w:val="00E03319"/>
    <w:rsid w:val="00E0360B"/>
    <w:rsid w:val="00E037BD"/>
    <w:rsid w:val="00E03827"/>
    <w:rsid w:val="00E038E8"/>
    <w:rsid w:val="00E03A96"/>
    <w:rsid w:val="00E0485F"/>
    <w:rsid w:val="00E048B1"/>
    <w:rsid w:val="00E048DB"/>
    <w:rsid w:val="00E04AB0"/>
    <w:rsid w:val="00E05130"/>
    <w:rsid w:val="00E05526"/>
    <w:rsid w:val="00E05C1D"/>
    <w:rsid w:val="00E05D56"/>
    <w:rsid w:val="00E05E8D"/>
    <w:rsid w:val="00E063D4"/>
    <w:rsid w:val="00E06527"/>
    <w:rsid w:val="00E06823"/>
    <w:rsid w:val="00E06945"/>
    <w:rsid w:val="00E072C1"/>
    <w:rsid w:val="00E07940"/>
    <w:rsid w:val="00E079B8"/>
    <w:rsid w:val="00E102CA"/>
    <w:rsid w:val="00E103B2"/>
    <w:rsid w:val="00E105A9"/>
    <w:rsid w:val="00E10D36"/>
    <w:rsid w:val="00E11A0D"/>
    <w:rsid w:val="00E11E5E"/>
    <w:rsid w:val="00E123CD"/>
    <w:rsid w:val="00E12472"/>
    <w:rsid w:val="00E12B0F"/>
    <w:rsid w:val="00E12D1D"/>
    <w:rsid w:val="00E12F15"/>
    <w:rsid w:val="00E1307A"/>
    <w:rsid w:val="00E13A9E"/>
    <w:rsid w:val="00E13E1A"/>
    <w:rsid w:val="00E13ED3"/>
    <w:rsid w:val="00E148F7"/>
    <w:rsid w:val="00E14EE0"/>
    <w:rsid w:val="00E15056"/>
    <w:rsid w:val="00E15387"/>
    <w:rsid w:val="00E155A0"/>
    <w:rsid w:val="00E15791"/>
    <w:rsid w:val="00E157C5"/>
    <w:rsid w:val="00E159EE"/>
    <w:rsid w:val="00E15DB1"/>
    <w:rsid w:val="00E16B91"/>
    <w:rsid w:val="00E16CC4"/>
    <w:rsid w:val="00E171ED"/>
    <w:rsid w:val="00E17552"/>
    <w:rsid w:val="00E17985"/>
    <w:rsid w:val="00E20E58"/>
    <w:rsid w:val="00E219C5"/>
    <w:rsid w:val="00E21B03"/>
    <w:rsid w:val="00E21E0B"/>
    <w:rsid w:val="00E2204D"/>
    <w:rsid w:val="00E22445"/>
    <w:rsid w:val="00E2253E"/>
    <w:rsid w:val="00E22FC1"/>
    <w:rsid w:val="00E236FC"/>
    <w:rsid w:val="00E23E4D"/>
    <w:rsid w:val="00E2433E"/>
    <w:rsid w:val="00E246AD"/>
    <w:rsid w:val="00E24B2F"/>
    <w:rsid w:val="00E24E79"/>
    <w:rsid w:val="00E2584D"/>
    <w:rsid w:val="00E25A8E"/>
    <w:rsid w:val="00E25C70"/>
    <w:rsid w:val="00E260A3"/>
    <w:rsid w:val="00E26612"/>
    <w:rsid w:val="00E2677D"/>
    <w:rsid w:val="00E26D15"/>
    <w:rsid w:val="00E27164"/>
    <w:rsid w:val="00E275FE"/>
    <w:rsid w:val="00E27D68"/>
    <w:rsid w:val="00E27DDB"/>
    <w:rsid w:val="00E30333"/>
    <w:rsid w:val="00E30A16"/>
    <w:rsid w:val="00E30CBE"/>
    <w:rsid w:val="00E31702"/>
    <w:rsid w:val="00E31B75"/>
    <w:rsid w:val="00E31E39"/>
    <w:rsid w:val="00E3242E"/>
    <w:rsid w:val="00E32648"/>
    <w:rsid w:val="00E330C9"/>
    <w:rsid w:val="00E332F9"/>
    <w:rsid w:val="00E3330E"/>
    <w:rsid w:val="00E3351F"/>
    <w:rsid w:val="00E33992"/>
    <w:rsid w:val="00E35637"/>
    <w:rsid w:val="00E360A3"/>
    <w:rsid w:val="00E3679E"/>
    <w:rsid w:val="00E376BF"/>
    <w:rsid w:val="00E4016C"/>
    <w:rsid w:val="00E40425"/>
    <w:rsid w:val="00E408B0"/>
    <w:rsid w:val="00E40DAE"/>
    <w:rsid w:val="00E40F62"/>
    <w:rsid w:val="00E4172C"/>
    <w:rsid w:val="00E41C3A"/>
    <w:rsid w:val="00E41E5A"/>
    <w:rsid w:val="00E420FD"/>
    <w:rsid w:val="00E42470"/>
    <w:rsid w:val="00E42632"/>
    <w:rsid w:val="00E428F2"/>
    <w:rsid w:val="00E429AD"/>
    <w:rsid w:val="00E43249"/>
    <w:rsid w:val="00E436A2"/>
    <w:rsid w:val="00E436A6"/>
    <w:rsid w:val="00E4394D"/>
    <w:rsid w:val="00E44452"/>
    <w:rsid w:val="00E44583"/>
    <w:rsid w:val="00E44AB1"/>
    <w:rsid w:val="00E45297"/>
    <w:rsid w:val="00E45510"/>
    <w:rsid w:val="00E458D8"/>
    <w:rsid w:val="00E45BD7"/>
    <w:rsid w:val="00E45C26"/>
    <w:rsid w:val="00E4695F"/>
    <w:rsid w:val="00E46EAF"/>
    <w:rsid w:val="00E47428"/>
    <w:rsid w:val="00E47771"/>
    <w:rsid w:val="00E47C12"/>
    <w:rsid w:val="00E47DC3"/>
    <w:rsid w:val="00E504DE"/>
    <w:rsid w:val="00E50E8B"/>
    <w:rsid w:val="00E51606"/>
    <w:rsid w:val="00E518A7"/>
    <w:rsid w:val="00E5212F"/>
    <w:rsid w:val="00E524E0"/>
    <w:rsid w:val="00E529F5"/>
    <w:rsid w:val="00E52D44"/>
    <w:rsid w:val="00E5356B"/>
    <w:rsid w:val="00E53E00"/>
    <w:rsid w:val="00E53E12"/>
    <w:rsid w:val="00E53F61"/>
    <w:rsid w:val="00E54221"/>
    <w:rsid w:val="00E54602"/>
    <w:rsid w:val="00E5484F"/>
    <w:rsid w:val="00E55963"/>
    <w:rsid w:val="00E55BC6"/>
    <w:rsid w:val="00E55F09"/>
    <w:rsid w:val="00E55F2F"/>
    <w:rsid w:val="00E55FF6"/>
    <w:rsid w:val="00E5650A"/>
    <w:rsid w:val="00E5660E"/>
    <w:rsid w:val="00E56887"/>
    <w:rsid w:val="00E574EC"/>
    <w:rsid w:val="00E576E3"/>
    <w:rsid w:val="00E57AAF"/>
    <w:rsid w:val="00E57E93"/>
    <w:rsid w:val="00E57F9C"/>
    <w:rsid w:val="00E5C7B1"/>
    <w:rsid w:val="00E60D1D"/>
    <w:rsid w:val="00E61554"/>
    <w:rsid w:val="00E615F9"/>
    <w:rsid w:val="00E6170D"/>
    <w:rsid w:val="00E618F7"/>
    <w:rsid w:val="00E6193C"/>
    <w:rsid w:val="00E61A49"/>
    <w:rsid w:val="00E61D6B"/>
    <w:rsid w:val="00E61FF4"/>
    <w:rsid w:val="00E621B6"/>
    <w:rsid w:val="00E6226D"/>
    <w:rsid w:val="00E625FB"/>
    <w:rsid w:val="00E62BC2"/>
    <w:rsid w:val="00E62C8C"/>
    <w:rsid w:val="00E63035"/>
    <w:rsid w:val="00E63A46"/>
    <w:rsid w:val="00E63D88"/>
    <w:rsid w:val="00E63DAA"/>
    <w:rsid w:val="00E648E0"/>
    <w:rsid w:val="00E64ABC"/>
    <w:rsid w:val="00E65F3C"/>
    <w:rsid w:val="00E6669F"/>
    <w:rsid w:val="00E66741"/>
    <w:rsid w:val="00E66AB6"/>
    <w:rsid w:val="00E66CA6"/>
    <w:rsid w:val="00E66D1D"/>
    <w:rsid w:val="00E676E2"/>
    <w:rsid w:val="00E6785F"/>
    <w:rsid w:val="00E67907"/>
    <w:rsid w:val="00E67AAC"/>
    <w:rsid w:val="00E67B52"/>
    <w:rsid w:val="00E67FD2"/>
    <w:rsid w:val="00E700F8"/>
    <w:rsid w:val="00E709F2"/>
    <w:rsid w:val="00E70ADE"/>
    <w:rsid w:val="00E71BE3"/>
    <w:rsid w:val="00E71D2B"/>
    <w:rsid w:val="00E71DF0"/>
    <w:rsid w:val="00E71EA4"/>
    <w:rsid w:val="00E7221D"/>
    <w:rsid w:val="00E72942"/>
    <w:rsid w:val="00E7296E"/>
    <w:rsid w:val="00E731BC"/>
    <w:rsid w:val="00E73BC0"/>
    <w:rsid w:val="00E74207"/>
    <w:rsid w:val="00E756EC"/>
    <w:rsid w:val="00E7581B"/>
    <w:rsid w:val="00E75AA6"/>
    <w:rsid w:val="00E7615D"/>
    <w:rsid w:val="00E7615F"/>
    <w:rsid w:val="00E76AE0"/>
    <w:rsid w:val="00E776A0"/>
    <w:rsid w:val="00E80290"/>
    <w:rsid w:val="00E80936"/>
    <w:rsid w:val="00E80B37"/>
    <w:rsid w:val="00E8123B"/>
    <w:rsid w:val="00E81556"/>
    <w:rsid w:val="00E81A87"/>
    <w:rsid w:val="00E81BE5"/>
    <w:rsid w:val="00E81CEE"/>
    <w:rsid w:val="00E81F6E"/>
    <w:rsid w:val="00E82348"/>
    <w:rsid w:val="00E82973"/>
    <w:rsid w:val="00E830E6"/>
    <w:rsid w:val="00E83948"/>
    <w:rsid w:val="00E83CF9"/>
    <w:rsid w:val="00E84019"/>
    <w:rsid w:val="00E84580"/>
    <w:rsid w:val="00E8478E"/>
    <w:rsid w:val="00E8527C"/>
    <w:rsid w:val="00E8585F"/>
    <w:rsid w:val="00E85976"/>
    <w:rsid w:val="00E85AB5"/>
    <w:rsid w:val="00E85DF5"/>
    <w:rsid w:val="00E8667B"/>
    <w:rsid w:val="00E86780"/>
    <w:rsid w:val="00E86C64"/>
    <w:rsid w:val="00E870B5"/>
    <w:rsid w:val="00E8736A"/>
    <w:rsid w:val="00E9031A"/>
    <w:rsid w:val="00E90CA7"/>
    <w:rsid w:val="00E91EA1"/>
    <w:rsid w:val="00E92371"/>
    <w:rsid w:val="00E9284E"/>
    <w:rsid w:val="00E92974"/>
    <w:rsid w:val="00E92F98"/>
    <w:rsid w:val="00E9331D"/>
    <w:rsid w:val="00E9473B"/>
    <w:rsid w:val="00E94B1D"/>
    <w:rsid w:val="00E94CF5"/>
    <w:rsid w:val="00E94D28"/>
    <w:rsid w:val="00E94E3E"/>
    <w:rsid w:val="00E94E49"/>
    <w:rsid w:val="00E95322"/>
    <w:rsid w:val="00E95490"/>
    <w:rsid w:val="00E95AC1"/>
    <w:rsid w:val="00E95C16"/>
    <w:rsid w:val="00E9602E"/>
    <w:rsid w:val="00E96532"/>
    <w:rsid w:val="00E968C1"/>
    <w:rsid w:val="00E971F6"/>
    <w:rsid w:val="00E97EF6"/>
    <w:rsid w:val="00EA0A58"/>
    <w:rsid w:val="00EA0E4A"/>
    <w:rsid w:val="00EA0E54"/>
    <w:rsid w:val="00EA1289"/>
    <w:rsid w:val="00EA1656"/>
    <w:rsid w:val="00EA1769"/>
    <w:rsid w:val="00EA1A52"/>
    <w:rsid w:val="00EA1C77"/>
    <w:rsid w:val="00EA1CF7"/>
    <w:rsid w:val="00EA23CD"/>
    <w:rsid w:val="00EA34D0"/>
    <w:rsid w:val="00EA3671"/>
    <w:rsid w:val="00EA3F1D"/>
    <w:rsid w:val="00EA403A"/>
    <w:rsid w:val="00EA4547"/>
    <w:rsid w:val="00EA4714"/>
    <w:rsid w:val="00EA4AD3"/>
    <w:rsid w:val="00EA4CB8"/>
    <w:rsid w:val="00EA51CA"/>
    <w:rsid w:val="00EA5379"/>
    <w:rsid w:val="00EA554E"/>
    <w:rsid w:val="00EA56A4"/>
    <w:rsid w:val="00EA5C1A"/>
    <w:rsid w:val="00EA5E44"/>
    <w:rsid w:val="00EA6DFE"/>
    <w:rsid w:val="00EA76B2"/>
    <w:rsid w:val="00EA7875"/>
    <w:rsid w:val="00EA7893"/>
    <w:rsid w:val="00EA794D"/>
    <w:rsid w:val="00EB0029"/>
    <w:rsid w:val="00EB0084"/>
    <w:rsid w:val="00EB031A"/>
    <w:rsid w:val="00EB0DEA"/>
    <w:rsid w:val="00EB0ECD"/>
    <w:rsid w:val="00EB102D"/>
    <w:rsid w:val="00EB19EB"/>
    <w:rsid w:val="00EB1CFA"/>
    <w:rsid w:val="00EB1F63"/>
    <w:rsid w:val="00EB27BC"/>
    <w:rsid w:val="00EB2FBE"/>
    <w:rsid w:val="00EB3A21"/>
    <w:rsid w:val="00EB3F1C"/>
    <w:rsid w:val="00EB3F73"/>
    <w:rsid w:val="00EB42EF"/>
    <w:rsid w:val="00EB4675"/>
    <w:rsid w:val="00EB4C23"/>
    <w:rsid w:val="00EB4FAA"/>
    <w:rsid w:val="00EB5070"/>
    <w:rsid w:val="00EB5191"/>
    <w:rsid w:val="00EB591C"/>
    <w:rsid w:val="00EB5C82"/>
    <w:rsid w:val="00EB6287"/>
    <w:rsid w:val="00EB6986"/>
    <w:rsid w:val="00EB6A32"/>
    <w:rsid w:val="00EB6B5E"/>
    <w:rsid w:val="00EB785E"/>
    <w:rsid w:val="00EB789B"/>
    <w:rsid w:val="00EB7955"/>
    <w:rsid w:val="00EB7AF9"/>
    <w:rsid w:val="00EC0296"/>
    <w:rsid w:val="00EC078B"/>
    <w:rsid w:val="00EC08B9"/>
    <w:rsid w:val="00EC0C39"/>
    <w:rsid w:val="00EC326F"/>
    <w:rsid w:val="00EC334F"/>
    <w:rsid w:val="00EC33A0"/>
    <w:rsid w:val="00EC362E"/>
    <w:rsid w:val="00EC447C"/>
    <w:rsid w:val="00EC4836"/>
    <w:rsid w:val="00EC5088"/>
    <w:rsid w:val="00EC62DC"/>
    <w:rsid w:val="00EC6705"/>
    <w:rsid w:val="00EC6D48"/>
    <w:rsid w:val="00EC6FB6"/>
    <w:rsid w:val="00EC7A7F"/>
    <w:rsid w:val="00ED0042"/>
    <w:rsid w:val="00ED00F6"/>
    <w:rsid w:val="00ED1A0F"/>
    <w:rsid w:val="00ED1B23"/>
    <w:rsid w:val="00ED1E47"/>
    <w:rsid w:val="00ED219F"/>
    <w:rsid w:val="00ED3762"/>
    <w:rsid w:val="00ED3CF6"/>
    <w:rsid w:val="00ED3F1B"/>
    <w:rsid w:val="00ED52E8"/>
    <w:rsid w:val="00ED5317"/>
    <w:rsid w:val="00ED5910"/>
    <w:rsid w:val="00ED5E38"/>
    <w:rsid w:val="00ED6264"/>
    <w:rsid w:val="00ED638F"/>
    <w:rsid w:val="00ED6475"/>
    <w:rsid w:val="00ED72C1"/>
    <w:rsid w:val="00ED72EE"/>
    <w:rsid w:val="00ED7626"/>
    <w:rsid w:val="00ED7671"/>
    <w:rsid w:val="00ED7A0C"/>
    <w:rsid w:val="00ED7C05"/>
    <w:rsid w:val="00ED7D5F"/>
    <w:rsid w:val="00EE0679"/>
    <w:rsid w:val="00EE0BA4"/>
    <w:rsid w:val="00EE0E57"/>
    <w:rsid w:val="00EE1B0B"/>
    <w:rsid w:val="00EE1BB8"/>
    <w:rsid w:val="00EE20B6"/>
    <w:rsid w:val="00EE2398"/>
    <w:rsid w:val="00EE27D4"/>
    <w:rsid w:val="00EE2B66"/>
    <w:rsid w:val="00EE2C5A"/>
    <w:rsid w:val="00EE2F57"/>
    <w:rsid w:val="00EE3B48"/>
    <w:rsid w:val="00EE4490"/>
    <w:rsid w:val="00EE47DD"/>
    <w:rsid w:val="00EE4882"/>
    <w:rsid w:val="00EE4E3C"/>
    <w:rsid w:val="00EE4EEF"/>
    <w:rsid w:val="00EE4F57"/>
    <w:rsid w:val="00EE5150"/>
    <w:rsid w:val="00EE5305"/>
    <w:rsid w:val="00EE56F6"/>
    <w:rsid w:val="00EE57C0"/>
    <w:rsid w:val="00EE5886"/>
    <w:rsid w:val="00EE5B8C"/>
    <w:rsid w:val="00EE63DA"/>
    <w:rsid w:val="00EE6832"/>
    <w:rsid w:val="00EE6A5E"/>
    <w:rsid w:val="00EE6A7B"/>
    <w:rsid w:val="00EE6E87"/>
    <w:rsid w:val="00EE6FEB"/>
    <w:rsid w:val="00EE75D0"/>
    <w:rsid w:val="00EE7F68"/>
    <w:rsid w:val="00EF03CB"/>
    <w:rsid w:val="00EF0447"/>
    <w:rsid w:val="00EF0850"/>
    <w:rsid w:val="00EF0C97"/>
    <w:rsid w:val="00EF1755"/>
    <w:rsid w:val="00EF267A"/>
    <w:rsid w:val="00EF271F"/>
    <w:rsid w:val="00EF2C21"/>
    <w:rsid w:val="00EF3835"/>
    <w:rsid w:val="00EF3D58"/>
    <w:rsid w:val="00EF40B3"/>
    <w:rsid w:val="00EF4660"/>
    <w:rsid w:val="00EF49A9"/>
    <w:rsid w:val="00EF508C"/>
    <w:rsid w:val="00EF55DE"/>
    <w:rsid w:val="00EF5D30"/>
    <w:rsid w:val="00EF5EEA"/>
    <w:rsid w:val="00EF6347"/>
    <w:rsid w:val="00EF6885"/>
    <w:rsid w:val="00EF6D40"/>
    <w:rsid w:val="00EF6F3E"/>
    <w:rsid w:val="00EF7063"/>
    <w:rsid w:val="00EF7084"/>
    <w:rsid w:val="00EF750C"/>
    <w:rsid w:val="00EF7B44"/>
    <w:rsid w:val="00EF7E60"/>
    <w:rsid w:val="00F00611"/>
    <w:rsid w:val="00F00941"/>
    <w:rsid w:val="00F01015"/>
    <w:rsid w:val="00F01414"/>
    <w:rsid w:val="00F01580"/>
    <w:rsid w:val="00F015C0"/>
    <w:rsid w:val="00F016BE"/>
    <w:rsid w:val="00F020CF"/>
    <w:rsid w:val="00F02131"/>
    <w:rsid w:val="00F027FC"/>
    <w:rsid w:val="00F02F83"/>
    <w:rsid w:val="00F030B3"/>
    <w:rsid w:val="00F0336A"/>
    <w:rsid w:val="00F03395"/>
    <w:rsid w:val="00F03B39"/>
    <w:rsid w:val="00F04052"/>
    <w:rsid w:val="00F04227"/>
    <w:rsid w:val="00F0441C"/>
    <w:rsid w:val="00F04614"/>
    <w:rsid w:val="00F04999"/>
    <w:rsid w:val="00F04CA3"/>
    <w:rsid w:val="00F04FED"/>
    <w:rsid w:val="00F05924"/>
    <w:rsid w:val="00F05E19"/>
    <w:rsid w:val="00F061DA"/>
    <w:rsid w:val="00F06673"/>
    <w:rsid w:val="00F0674E"/>
    <w:rsid w:val="00F06961"/>
    <w:rsid w:val="00F069E2"/>
    <w:rsid w:val="00F06A2C"/>
    <w:rsid w:val="00F070FB"/>
    <w:rsid w:val="00F073E0"/>
    <w:rsid w:val="00F07488"/>
    <w:rsid w:val="00F074F9"/>
    <w:rsid w:val="00F07A3F"/>
    <w:rsid w:val="00F1066F"/>
    <w:rsid w:val="00F119F2"/>
    <w:rsid w:val="00F11B41"/>
    <w:rsid w:val="00F11C1C"/>
    <w:rsid w:val="00F120B9"/>
    <w:rsid w:val="00F125E0"/>
    <w:rsid w:val="00F13361"/>
    <w:rsid w:val="00F1382B"/>
    <w:rsid w:val="00F1388D"/>
    <w:rsid w:val="00F1415F"/>
    <w:rsid w:val="00F14201"/>
    <w:rsid w:val="00F148CA"/>
    <w:rsid w:val="00F148E9"/>
    <w:rsid w:val="00F14A8E"/>
    <w:rsid w:val="00F14DFF"/>
    <w:rsid w:val="00F1508C"/>
    <w:rsid w:val="00F1554A"/>
    <w:rsid w:val="00F15707"/>
    <w:rsid w:val="00F1578E"/>
    <w:rsid w:val="00F15908"/>
    <w:rsid w:val="00F1612F"/>
    <w:rsid w:val="00F162BE"/>
    <w:rsid w:val="00F164E3"/>
    <w:rsid w:val="00F16819"/>
    <w:rsid w:val="00F17DEF"/>
    <w:rsid w:val="00F20708"/>
    <w:rsid w:val="00F20763"/>
    <w:rsid w:val="00F20A21"/>
    <w:rsid w:val="00F20DAA"/>
    <w:rsid w:val="00F2135E"/>
    <w:rsid w:val="00F21392"/>
    <w:rsid w:val="00F217BD"/>
    <w:rsid w:val="00F21EB8"/>
    <w:rsid w:val="00F22147"/>
    <w:rsid w:val="00F227C8"/>
    <w:rsid w:val="00F22A7D"/>
    <w:rsid w:val="00F23BAA"/>
    <w:rsid w:val="00F23CB7"/>
    <w:rsid w:val="00F23EA7"/>
    <w:rsid w:val="00F24565"/>
    <w:rsid w:val="00F257B5"/>
    <w:rsid w:val="00F2720E"/>
    <w:rsid w:val="00F2776D"/>
    <w:rsid w:val="00F27E7C"/>
    <w:rsid w:val="00F30690"/>
    <w:rsid w:val="00F30F28"/>
    <w:rsid w:val="00F31C94"/>
    <w:rsid w:val="00F329BF"/>
    <w:rsid w:val="00F32FAA"/>
    <w:rsid w:val="00F333EE"/>
    <w:rsid w:val="00F334CF"/>
    <w:rsid w:val="00F33D42"/>
    <w:rsid w:val="00F33FD5"/>
    <w:rsid w:val="00F346E6"/>
    <w:rsid w:val="00F348F0"/>
    <w:rsid w:val="00F350D8"/>
    <w:rsid w:val="00F35276"/>
    <w:rsid w:val="00F3547F"/>
    <w:rsid w:val="00F354D1"/>
    <w:rsid w:val="00F3572C"/>
    <w:rsid w:val="00F363DD"/>
    <w:rsid w:val="00F3670E"/>
    <w:rsid w:val="00F36FDE"/>
    <w:rsid w:val="00F37017"/>
    <w:rsid w:val="00F3767C"/>
    <w:rsid w:val="00F37ABF"/>
    <w:rsid w:val="00F37AFE"/>
    <w:rsid w:val="00F40005"/>
    <w:rsid w:val="00F400EA"/>
    <w:rsid w:val="00F403B3"/>
    <w:rsid w:val="00F4047C"/>
    <w:rsid w:val="00F40864"/>
    <w:rsid w:val="00F41054"/>
    <w:rsid w:val="00F41580"/>
    <w:rsid w:val="00F4175A"/>
    <w:rsid w:val="00F41C3A"/>
    <w:rsid w:val="00F41FE4"/>
    <w:rsid w:val="00F42114"/>
    <w:rsid w:val="00F426BA"/>
    <w:rsid w:val="00F429C9"/>
    <w:rsid w:val="00F43353"/>
    <w:rsid w:val="00F43365"/>
    <w:rsid w:val="00F44198"/>
    <w:rsid w:val="00F446B4"/>
    <w:rsid w:val="00F44852"/>
    <w:rsid w:val="00F44895"/>
    <w:rsid w:val="00F448D1"/>
    <w:rsid w:val="00F44CD2"/>
    <w:rsid w:val="00F452D4"/>
    <w:rsid w:val="00F45AA7"/>
    <w:rsid w:val="00F460D3"/>
    <w:rsid w:val="00F46277"/>
    <w:rsid w:val="00F4696E"/>
    <w:rsid w:val="00F4697E"/>
    <w:rsid w:val="00F46F5C"/>
    <w:rsid w:val="00F473A4"/>
    <w:rsid w:val="00F501A1"/>
    <w:rsid w:val="00F503F0"/>
    <w:rsid w:val="00F50585"/>
    <w:rsid w:val="00F50AC0"/>
    <w:rsid w:val="00F50F25"/>
    <w:rsid w:val="00F516E3"/>
    <w:rsid w:val="00F51BD3"/>
    <w:rsid w:val="00F52941"/>
    <w:rsid w:val="00F53EDE"/>
    <w:rsid w:val="00F53FE3"/>
    <w:rsid w:val="00F54832"/>
    <w:rsid w:val="00F55A0B"/>
    <w:rsid w:val="00F5621B"/>
    <w:rsid w:val="00F5643A"/>
    <w:rsid w:val="00F57885"/>
    <w:rsid w:val="00F600AA"/>
    <w:rsid w:val="00F6115F"/>
    <w:rsid w:val="00F6194D"/>
    <w:rsid w:val="00F61A6D"/>
    <w:rsid w:val="00F61DA7"/>
    <w:rsid w:val="00F622C7"/>
    <w:rsid w:val="00F62426"/>
    <w:rsid w:val="00F62CA7"/>
    <w:rsid w:val="00F62D5D"/>
    <w:rsid w:val="00F62E9F"/>
    <w:rsid w:val="00F635D6"/>
    <w:rsid w:val="00F6394D"/>
    <w:rsid w:val="00F63ECE"/>
    <w:rsid w:val="00F64009"/>
    <w:rsid w:val="00F64436"/>
    <w:rsid w:val="00F64608"/>
    <w:rsid w:val="00F649DF"/>
    <w:rsid w:val="00F65139"/>
    <w:rsid w:val="00F66144"/>
    <w:rsid w:val="00F66E54"/>
    <w:rsid w:val="00F6713F"/>
    <w:rsid w:val="00F675C4"/>
    <w:rsid w:val="00F67932"/>
    <w:rsid w:val="00F70637"/>
    <w:rsid w:val="00F70842"/>
    <w:rsid w:val="00F708EA"/>
    <w:rsid w:val="00F709C3"/>
    <w:rsid w:val="00F70B27"/>
    <w:rsid w:val="00F712A0"/>
    <w:rsid w:val="00F71842"/>
    <w:rsid w:val="00F72137"/>
    <w:rsid w:val="00F73111"/>
    <w:rsid w:val="00F733E4"/>
    <w:rsid w:val="00F73574"/>
    <w:rsid w:val="00F739BD"/>
    <w:rsid w:val="00F73DE4"/>
    <w:rsid w:val="00F74538"/>
    <w:rsid w:val="00F74B51"/>
    <w:rsid w:val="00F74BFE"/>
    <w:rsid w:val="00F75004"/>
    <w:rsid w:val="00F751DB"/>
    <w:rsid w:val="00F759ED"/>
    <w:rsid w:val="00F75F8B"/>
    <w:rsid w:val="00F76462"/>
    <w:rsid w:val="00F76537"/>
    <w:rsid w:val="00F77202"/>
    <w:rsid w:val="00F77582"/>
    <w:rsid w:val="00F776B4"/>
    <w:rsid w:val="00F777E8"/>
    <w:rsid w:val="00F7780E"/>
    <w:rsid w:val="00F77DED"/>
    <w:rsid w:val="00F77F5C"/>
    <w:rsid w:val="00F80E4C"/>
    <w:rsid w:val="00F80F50"/>
    <w:rsid w:val="00F81362"/>
    <w:rsid w:val="00F81552"/>
    <w:rsid w:val="00F819D8"/>
    <w:rsid w:val="00F81E68"/>
    <w:rsid w:val="00F82047"/>
    <w:rsid w:val="00F821AB"/>
    <w:rsid w:val="00F82549"/>
    <w:rsid w:val="00F83720"/>
    <w:rsid w:val="00F83C1C"/>
    <w:rsid w:val="00F844FA"/>
    <w:rsid w:val="00F84B69"/>
    <w:rsid w:val="00F84C7B"/>
    <w:rsid w:val="00F85128"/>
    <w:rsid w:val="00F851A7"/>
    <w:rsid w:val="00F853A1"/>
    <w:rsid w:val="00F854EE"/>
    <w:rsid w:val="00F85D32"/>
    <w:rsid w:val="00F86134"/>
    <w:rsid w:val="00F8700E"/>
    <w:rsid w:val="00F879C6"/>
    <w:rsid w:val="00F9004B"/>
    <w:rsid w:val="00F903D4"/>
    <w:rsid w:val="00F90647"/>
    <w:rsid w:val="00F90918"/>
    <w:rsid w:val="00F90B64"/>
    <w:rsid w:val="00F90D24"/>
    <w:rsid w:val="00F911DA"/>
    <w:rsid w:val="00F91353"/>
    <w:rsid w:val="00F92166"/>
    <w:rsid w:val="00F9226F"/>
    <w:rsid w:val="00F92278"/>
    <w:rsid w:val="00F924C6"/>
    <w:rsid w:val="00F9259E"/>
    <w:rsid w:val="00F92781"/>
    <w:rsid w:val="00F92B3D"/>
    <w:rsid w:val="00F9313F"/>
    <w:rsid w:val="00F938F4"/>
    <w:rsid w:val="00F95398"/>
    <w:rsid w:val="00F95648"/>
    <w:rsid w:val="00F95B3A"/>
    <w:rsid w:val="00F95BA1"/>
    <w:rsid w:val="00F96381"/>
    <w:rsid w:val="00F9684A"/>
    <w:rsid w:val="00F976B1"/>
    <w:rsid w:val="00F97B8E"/>
    <w:rsid w:val="00F97C2A"/>
    <w:rsid w:val="00F97D65"/>
    <w:rsid w:val="00FA0825"/>
    <w:rsid w:val="00FA08AD"/>
    <w:rsid w:val="00FA0B0E"/>
    <w:rsid w:val="00FA0C32"/>
    <w:rsid w:val="00FA0C58"/>
    <w:rsid w:val="00FA0D6D"/>
    <w:rsid w:val="00FA1437"/>
    <w:rsid w:val="00FA198C"/>
    <w:rsid w:val="00FA1F81"/>
    <w:rsid w:val="00FA24DD"/>
    <w:rsid w:val="00FA250C"/>
    <w:rsid w:val="00FA2F27"/>
    <w:rsid w:val="00FA351F"/>
    <w:rsid w:val="00FA3A7D"/>
    <w:rsid w:val="00FA3DAF"/>
    <w:rsid w:val="00FA401C"/>
    <w:rsid w:val="00FA4150"/>
    <w:rsid w:val="00FA48DE"/>
    <w:rsid w:val="00FA500F"/>
    <w:rsid w:val="00FA5289"/>
    <w:rsid w:val="00FA52BE"/>
    <w:rsid w:val="00FA5766"/>
    <w:rsid w:val="00FA5889"/>
    <w:rsid w:val="00FA6256"/>
    <w:rsid w:val="00FA646D"/>
    <w:rsid w:val="00FA6B08"/>
    <w:rsid w:val="00FA6C82"/>
    <w:rsid w:val="00FA7762"/>
    <w:rsid w:val="00FA7D7D"/>
    <w:rsid w:val="00FB0693"/>
    <w:rsid w:val="00FB19A0"/>
    <w:rsid w:val="00FB1A91"/>
    <w:rsid w:val="00FB1E8C"/>
    <w:rsid w:val="00FB246F"/>
    <w:rsid w:val="00FB27CB"/>
    <w:rsid w:val="00FB2A25"/>
    <w:rsid w:val="00FB2E9A"/>
    <w:rsid w:val="00FB316D"/>
    <w:rsid w:val="00FB32DC"/>
    <w:rsid w:val="00FB330C"/>
    <w:rsid w:val="00FB343E"/>
    <w:rsid w:val="00FB376A"/>
    <w:rsid w:val="00FB42D8"/>
    <w:rsid w:val="00FB4606"/>
    <w:rsid w:val="00FB4D3A"/>
    <w:rsid w:val="00FB4E1A"/>
    <w:rsid w:val="00FB518A"/>
    <w:rsid w:val="00FB52E7"/>
    <w:rsid w:val="00FB544A"/>
    <w:rsid w:val="00FB547E"/>
    <w:rsid w:val="00FB59DB"/>
    <w:rsid w:val="00FB620D"/>
    <w:rsid w:val="00FB67DA"/>
    <w:rsid w:val="00FB6F67"/>
    <w:rsid w:val="00FB73C0"/>
    <w:rsid w:val="00FB74AF"/>
    <w:rsid w:val="00FB7BED"/>
    <w:rsid w:val="00FB7E73"/>
    <w:rsid w:val="00FC0AD7"/>
    <w:rsid w:val="00FC0B78"/>
    <w:rsid w:val="00FC10DE"/>
    <w:rsid w:val="00FC15B5"/>
    <w:rsid w:val="00FC1C07"/>
    <w:rsid w:val="00FC1CF8"/>
    <w:rsid w:val="00FC2C99"/>
    <w:rsid w:val="00FC2D5F"/>
    <w:rsid w:val="00FC2E70"/>
    <w:rsid w:val="00FC2EF8"/>
    <w:rsid w:val="00FC3E4A"/>
    <w:rsid w:val="00FC402D"/>
    <w:rsid w:val="00FC417A"/>
    <w:rsid w:val="00FC43B3"/>
    <w:rsid w:val="00FC43EA"/>
    <w:rsid w:val="00FC5583"/>
    <w:rsid w:val="00FC5603"/>
    <w:rsid w:val="00FC5613"/>
    <w:rsid w:val="00FC57DB"/>
    <w:rsid w:val="00FC64F5"/>
    <w:rsid w:val="00FC7192"/>
    <w:rsid w:val="00FC725E"/>
    <w:rsid w:val="00FC741B"/>
    <w:rsid w:val="00FC7647"/>
    <w:rsid w:val="00FC797C"/>
    <w:rsid w:val="00FC7FA5"/>
    <w:rsid w:val="00FD05F4"/>
    <w:rsid w:val="00FD080A"/>
    <w:rsid w:val="00FD0B28"/>
    <w:rsid w:val="00FD0F44"/>
    <w:rsid w:val="00FD121A"/>
    <w:rsid w:val="00FD17BA"/>
    <w:rsid w:val="00FD17E6"/>
    <w:rsid w:val="00FD1C68"/>
    <w:rsid w:val="00FD1C88"/>
    <w:rsid w:val="00FD2C9D"/>
    <w:rsid w:val="00FD2DC0"/>
    <w:rsid w:val="00FD2F74"/>
    <w:rsid w:val="00FD3472"/>
    <w:rsid w:val="00FD3A8D"/>
    <w:rsid w:val="00FD3B94"/>
    <w:rsid w:val="00FD3DB0"/>
    <w:rsid w:val="00FD40DD"/>
    <w:rsid w:val="00FD43B3"/>
    <w:rsid w:val="00FD44BE"/>
    <w:rsid w:val="00FD461B"/>
    <w:rsid w:val="00FD5A64"/>
    <w:rsid w:val="00FD6295"/>
    <w:rsid w:val="00FD6524"/>
    <w:rsid w:val="00FD6938"/>
    <w:rsid w:val="00FD77D3"/>
    <w:rsid w:val="00FD7DBD"/>
    <w:rsid w:val="00FE05A6"/>
    <w:rsid w:val="00FE0DA2"/>
    <w:rsid w:val="00FE108F"/>
    <w:rsid w:val="00FE1118"/>
    <w:rsid w:val="00FE1413"/>
    <w:rsid w:val="00FE14F8"/>
    <w:rsid w:val="00FE17EA"/>
    <w:rsid w:val="00FE1CE1"/>
    <w:rsid w:val="00FE29B0"/>
    <w:rsid w:val="00FE2A52"/>
    <w:rsid w:val="00FE30B9"/>
    <w:rsid w:val="00FE3755"/>
    <w:rsid w:val="00FE3893"/>
    <w:rsid w:val="00FE40E5"/>
    <w:rsid w:val="00FE4739"/>
    <w:rsid w:val="00FE4DB2"/>
    <w:rsid w:val="00FE55A9"/>
    <w:rsid w:val="00FE57C1"/>
    <w:rsid w:val="00FE64C3"/>
    <w:rsid w:val="00FE6587"/>
    <w:rsid w:val="00FE681D"/>
    <w:rsid w:val="00FE6F43"/>
    <w:rsid w:val="00FE71FA"/>
    <w:rsid w:val="00FE74DF"/>
    <w:rsid w:val="00FE785C"/>
    <w:rsid w:val="00FE7D65"/>
    <w:rsid w:val="00FF0DBD"/>
    <w:rsid w:val="00FF1736"/>
    <w:rsid w:val="00FF1788"/>
    <w:rsid w:val="00FF1E47"/>
    <w:rsid w:val="00FF2100"/>
    <w:rsid w:val="00FF22B5"/>
    <w:rsid w:val="00FF2994"/>
    <w:rsid w:val="00FF2A8D"/>
    <w:rsid w:val="00FF2D7E"/>
    <w:rsid w:val="00FF33A0"/>
    <w:rsid w:val="00FF366E"/>
    <w:rsid w:val="00FF3A07"/>
    <w:rsid w:val="00FF3F72"/>
    <w:rsid w:val="00FF3FC2"/>
    <w:rsid w:val="00FF3FEA"/>
    <w:rsid w:val="00FF402D"/>
    <w:rsid w:val="00FF4181"/>
    <w:rsid w:val="00FF48FA"/>
    <w:rsid w:val="00FF49F2"/>
    <w:rsid w:val="00FF4C68"/>
    <w:rsid w:val="00FF4E8A"/>
    <w:rsid w:val="00FF51AF"/>
    <w:rsid w:val="00FF52C9"/>
    <w:rsid w:val="00FF5730"/>
    <w:rsid w:val="00FF5842"/>
    <w:rsid w:val="00FF5B79"/>
    <w:rsid w:val="00FF5FB8"/>
    <w:rsid w:val="00FF6FD2"/>
    <w:rsid w:val="00FF70A2"/>
    <w:rsid w:val="00FF7171"/>
    <w:rsid w:val="00FF796B"/>
    <w:rsid w:val="00FF7BDB"/>
    <w:rsid w:val="00FF7CBE"/>
    <w:rsid w:val="0115AB23"/>
    <w:rsid w:val="0128F4F7"/>
    <w:rsid w:val="012D26F8"/>
    <w:rsid w:val="013357B1"/>
    <w:rsid w:val="013D41B8"/>
    <w:rsid w:val="013ECBD8"/>
    <w:rsid w:val="015E83DB"/>
    <w:rsid w:val="015ECD92"/>
    <w:rsid w:val="0160A74F"/>
    <w:rsid w:val="0165685E"/>
    <w:rsid w:val="016B9E0C"/>
    <w:rsid w:val="016E0E29"/>
    <w:rsid w:val="01726BA6"/>
    <w:rsid w:val="017871DC"/>
    <w:rsid w:val="017C8533"/>
    <w:rsid w:val="0181E0FC"/>
    <w:rsid w:val="018703C5"/>
    <w:rsid w:val="019F8417"/>
    <w:rsid w:val="01A28E93"/>
    <w:rsid w:val="01ADDFC9"/>
    <w:rsid w:val="01C3FE16"/>
    <w:rsid w:val="01D2D28E"/>
    <w:rsid w:val="01D6820F"/>
    <w:rsid w:val="01D6DF49"/>
    <w:rsid w:val="01D7304D"/>
    <w:rsid w:val="01F4D4A0"/>
    <w:rsid w:val="0207C467"/>
    <w:rsid w:val="020DB220"/>
    <w:rsid w:val="02112668"/>
    <w:rsid w:val="02156E33"/>
    <w:rsid w:val="02162FEF"/>
    <w:rsid w:val="022ED7E0"/>
    <w:rsid w:val="023228FC"/>
    <w:rsid w:val="02482FD7"/>
    <w:rsid w:val="024FF167"/>
    <w:rsid w:val="026AEB29"/>
    <w:rsid w:val="027979D2"/>
    <w:rsid w:val="027EE216"/>
    <w:rsid w:val="029606B6"/>
    <w:rsid w:val="0296C051"/>
    <w:rsid w:val="02A534D0"/>
    <w:rsid w:val="02A74CB9"/>
    <w:rsid w:val="02BD02FE"/>
    <w:rsid w:val="02C8738D"/>
    <w:rsid w:val="02DD5D17"/>
    <w:rsid w:val="02E898C0"/>
    <w:rsid w:val="02ECFEAA"/>
    <w:rsid w:val="02F5A82D"/>
    <w:rsid w:val="02F63A24"/>
    <w:rsid w:val="02FE8757"/>
    <w:rsid w:val="032530DD"/>
    <w:rsid w:val="0326C788"/>
    <w:rsid w:val="032730F8"/>
    <w:rsid w:val="03290EF7"/>
    <w:rsid w:val="03388F7F"/>
    <w:rsid w:val="033F0D21"/>
    <w:rsid w:val="034DFC5A"/>
    <w:rsid w:val="03584CBD"/>
    <w:rsid w:val="036E738A"/>
    <w:rsid w:val="03715F94"/>
    <w:rsid w:val="0372D24B"/>
    <w:rsid w:val="0384927D"/>
    <w:rsid w:val="03870CB4"/>
    <w:rsid w:val="0399730C"/>
    <w:rsid w:val="03A6925A"/>
    <w:rsid w:val="03C3E322"/>
    <w:rsid w:val="03D5B1F1"/>
    <w:rsid w:val="03EB639D"/>
    <w:rsid w:val="03EFD7A1"/>
    <w:rsid w:val="03F21CB5"/>
    <w:rsid w:val="0412EB7F"/>
    <w:rsid w:val="04283174"/>
    <w:rsid w:val="042A1BC2"/>
    <w:rsid w:val="0446428A"/>
    <w:rsid w:val="0448DC5A"/>
    <w:rsid w:val="046000CB"/>
    <w:rsid w:val="0467D0BA"/>
    <w:rsid w:val="046A1948"/>
    <w:rsid w:val="0478A271"/>
    <w:rsid w:val="047A21FD"/>
    <w:rsid w:val="048A9D91"/>
    <w:rsid w:val="049BAF8C"/>
    <w:rsid w:val="04C22266"/>
    <w:rsid w:val="04CC5727"/>
    <w:rsid w:val="04FE8051"/>
    <w:rsid w:val="050321C5"/>
    <w:rsid w:val="05094213"/>
    <w:rsid w:val="050CAC33"/>
    <w:rsid w:val="051AEAE1"/>
    <w:rsid w:val="0534A57F"/>
    <w:rsid w:val="05411900"/>
    <w:rsid w:val="0549DFA1"/>
    <w:rsid w:val="0550C604"/>
    <w:rsid w:val="05752370"/>
    <w:rsid w:val="05887486"/>
    <w:rsid w:val="058E75DD"/>
    <w:rsid w:val="05902854"/>
    <w:rsid w:val="059C0815"/>
    <w:rsid w:val="05CCAAAD"/>
    <w:rsid w:val="05DE7098"/>
    <w:rsid w:val="05E356A2"/>
    <w:rsid w:val="05E5200F"/>
    <w:rsid w:val="05F8943A"/>
    <w:rsid w:val="0601CC9A"/>
    <w:rsid w:val="060DFCB1"/>
    <w:rsid w:val="06198B37"/>
    <w:rsid w:val="06281282"/>
    <w:rsid w:val="062AA461"/>
    <w:rsid w:val="062E6EDE"/>
    <w:rsid w:val="0630406D"/>
    <w:rsid w:val="0640362B"/>
    <w:rsid w:val="06488ACF"/>
    <w:rsid w:val="0655F70D"/>
    <w:rsid w:val="06563A68"/>
    <w:rsid w:val="06666FD1"/>
    <w:rsid w:val="0666CE50"/>
    <w:rsid w:val="0667D9DE"/>
    <w:rsid w:val="066974D8"/>
    <w:rsid w:val="066BAA7A"/>
    <w:rsid w:val="066C0FA0"/>
    <w:rsid w:val="067118FB"/>
    <w:rsid w:val="067149FB"/>
    <w:rsid w:val="067B4FC0"/>
    <w:rsid w:val="068D5ED5"/>
    <w:rsid w:val="06926B32"/>
    <w:rsid w:val="0699B834"/>
    <w:rsid w:val="069ABD97"/>
    <w:rsid w:val="06A114A5"/>
    <w:rsid w:val="06A45076"/>
    <w:rsid w:val="06BE380B"/>
    <w:rsid w:val="06C36791"/>
    <w:rsid w:val="06C8E975"/>
    <w:rsid w:val="06E77A6A"/>
    <w:rsid w:val="06EF9F59"/>
    <w:rsid w:val="06FFBF79"/>
    <w:rsid w:val="0709298D"/>
    <w:rsid w:val="0716D697"/>
    <w:rsid w:val="072E239B"/>
    <w:rsid w:val="072EC722"/>
    <w:rsid w:val="073E7E68"/>
    <w:rsid w:val="0740C88D"/>
    <w:rsid w:val="074F63CF"/>
    <w:rsid w:val="0751BF0C"/>
    <w:rsid w:val="078B92A6"/>
    <w:rsid w:val="078BF977"/>
    <w:rsid w:val="0793F676"/>
    <w:rsid w:val="07981DF3"/>
    <w:rsid w:val="079926B1"/>
    <w:rsid w:val="07AC1E95"/>
    <w:rsid w:val="07D06EA2"/>
    <w:rsid w:val="07DC9D0E"/>
    <w:rsid w:val="080E07C2"/>
    <w:rsid w:val="081D436D"/>
    <w:rsid w:val="0829B25A"/>
    <w:rsid w:val="084AD389"/>
    <w:rsid w:val="0856C362"/>
    <w:rsid w:val="08586DBF"/>
    <w:rsid w:val="08588A4D"/>
    <w:rsid w:val="0858AE2D"/>
    <w:rsid w:val="085F9865"/>
    <w:rsid w:val="086B9A2E"/>
    <w:rsid w:val="086D304F"/>
    <w:rsid w:val="088013EA"/>
    <w:rsid w:val="0899D6FF"/>
    <w:rsid w:val="08B646F8"/>
    <w:rsid w:val="08BE6EC4"/>
    <w:rsid w:val="08CAF448"/>
    <w:rsid w:val="08D08E11"/>
    <w:rsid w:val="08D18AA5"/>
    <w:rsid w:val="08D43112"/>
    <w:rsid w:val="08D8A1F0"/>
    <w:rsid w:val="08FD198B"/>
    <w:rsid w:val="0910E339"/>
    <w:rsid w:val="091DFEE0"/>
    <w:rsid w:val="09210A00"/>
    <w:rsid w:val="093482F7"/>
    <w:rsid w:val="0938993C"/>
    <w:rsid w:val="093C7D5A"/>
    <w:rsid w:val="09404EAF"/>
    <w:rsid w:val="094675FC"/>
    <w:rsid w:val="0946EB6F"/>
    <w:rsid w:val="09484AF1"/>
    <w:rsid w:val="09492705"/>
    <w:rsid w:val="095BD9AD"/>
    <w:rsid w:val="09BA94BC"/>
    <w:rsid w:val="09C77C3E"/>
    <w:rsid w:val="09E018D5"/>
    <w:rsid w:val="09EA7A8F"/>
    <w:rsid w:val="0A0407C9"/>
    <w:rsid w:val="0A064D8B"/>
    <w:rsid w:val="0A0EA7D3"/>
    <w:rsid w:val="0A23098A"/>
    <w:rsid w:val="0A45AB90"/>
    <w:rsid w:val="0A5AA8F3"/>
    <w:rsid w:val="0A6465DF"/>
    <w:rsid w:val="0A911516"/>
    <w:rsid w:val="0A93DD22"/>
    <w:rsid w:val="0A976C45"/>
    <w:rsid w:val="0A9790DB"/>
    <w:rsid w:val="0AA15EF7"/>
    <w:rsid w:val="0AA1F4A3"/>
    <w:rsid w:val="0AA208C8"/>
    <w:rsid w:val="0AA5C233"/>
    <w:rsid w:val="0ADA50CB"/>
    <w:rsid w:val="0ADFE24B"/>
    <w:rsid w:val="0AE2A7E0"/>
    <w:rsid w:val="0AE72ED1"/>
    <w:rsid w:val="0AF9F259"/>
    <w:rsid w:val="0B0D231F"/>
    <w:rsid w:val="0B10E10F"/>
    <w:rsid w:val="0B1F5432"/>
    <w:rsid w:val="0B3A55F0"/>
    <w:rsid w:val="0B5BA256"/>
    <w:rsid w:val="0B611982"/>
    <w:rsid w:val="0B66DC96"/>
    <w:rsid w:val="0B70D209"/>
    <w:rsid w:val="0B8ED0EC"/>
    <w:rsid w:val="0B9A0D0C"/>
    <w:rsid w:val="0BAC6D34"/>
    <w:rsid w:val="0BB2EF09"/>
    <w:rsid w:val="0BC30DD4"/>
    <w:rsid w:val="0BC7CEFC"/>
    <w:rsid w:val="0BC87F91"/>
    <w:rsid w:val="0BD384F0"/>
    <w:rsid w:val="0BD82C25"/>
    <w:rsid w:val="0BF8568C"/>
    <w:rsid w:val="0BFD8B92"/>
    <w:rsid w:val="0BFEDE2C"/>
    <w:rsid w:val="0C0B96E6"/>
    <w:rsid w:val="0C1BBA72"/>
    <w:rsid w:val="0C4CC7C8"/>
    <w:rsid w:val="0C5043BC"/>
    <w:rsid w:val="0C553254"/>
    <w:rsid w:val="0C84B85E"/>
    <w:rsid w:val="0C86C8F2"/>
    <w:rsid w:val="0C894FAD"/>
    <w:rsid w:val="0CAA9245"/>
    <w:rsid w:val="0CAFFF4D"/>
    <w:rsid w:val="0CBE58CE"/>
    <w:rsid w:val="0CC4B91E"/>
    <w:rsid w:val="0CC5B535"/>
    <w:rsid w:val="0CEA5AAA"/>
    <w:rsid w:val="0CFD6F73"/>
    <w:rsid w:val="0D111904"/>
    <w:rsid w:val="0D1B88C7"/>
    <w:rsid w:val="0D315939"/>
    <w:rsid w:val="0D4616A7"/>
    <w:rsid w:val="0D4B6CAF"/>
    <w:rsid w:val="0D4FD725"/>
    <w:rsid w:val="0D51D823"/>
    <w:rsid w:val="0D56DDBC"/>
    <w:rsid w:val="0D74B7BD"/>
    <w:rsid w:val="0D76E10F"/>
    <w:rsid w:val="0D787978"/>
    <w:rsid w:val="0D7AE17C"/>
    <w:rsid w:val="0D8A59A8"/>
    <w:rsid w:val="0D9037C4"/>
    <w:rsid w:val="0DC4791A"/>
    <w:rsid w:val="0DCCDF97"/>
    <w:rsid w:val="0DD5638E"/>
    <w:rsid w:val="0DD7411E"/>
    <w:rsid w:val="0E02AADA"/>
    <w:rsid w:val="0E061FD4"/>
    <w:rsid w:val="0E0D1545"/>
    <w:rsid w:val="0E1335D9"/>
    <w:rsid w:val="0E4B7DA8"/>
    <w:rsid w:val="0E5DAF20"/>
    <w:rsid w:val="0E7677FC"/>
    <w:rsid w:val="0E97A85E"/>
    <w:rsid w:val="0EA09D84"/>
    <w:rsid w:val="0EB1E2AD"/>
    <w:rsid w:val="0EEAEFBE"/>
    <w:rsid w:val="0EEFEAEB"/>
    <w:rsid w:val="0EF9A8EE"/>
    <w:rsid w:val="0F0B3072"/>
    <w:rsid w:val="0F0E9958"/>
    <w:rsid w:val="0F1383E6"/>
    <w:rsid w:val="0F274615"/>
    <w:rsid w:val="0F29D3BD"/>
    <w:rsid w:val="0F3B1B0A"/>
    <w:rsid w:val="0F62908C"/>
    <w:rsid w:val="0F65D217"/>
    <w:rsid w:val="0F6FE8C0"/>
    <w:rsid w:val="0F7DE668"/>
    <w:rsid w:val="0FC0D153"/>
    <w:rsid w:val="0FC5DE2D"/>
    <w:rsid w:val="0FE0C2AC"/>
    <w:rsid w:val="0FF7C24B"/>
    <w:rsid w:val="1031F0FF"/>
    <w:rsid w:val="10331BFB"/>
    <w:rsid w:val="10496B9A"/>
    <w:rsid w:val="1055A9C3"/>
    <w:rsid w:val="105B943F"/>
    <w:rsid w:val="10692061"/>
    <w:rsid w:val="106C5C86"/>
    <w:rsid w:val="1072F95D"/>
    <w:rsid w:val="1085567E"/>
    <w:rsid w:val="108F7F66"/>
    <w:rsid w:val="10975AAE"/>
    <w:rsid w:val="1099F232"/>
    <w:rsid w:val="10A131EC"/>
    <w:rsid w:val="10A267E7"/>
    <w:rsid w:val="10A3B1B7"/>
    <w:rsid w:val="10A52090"/>
    <w:rsid w:val="10AE8BD7"/>
    <w:rsid w:val="10B9E223"/>
    <w:rsid w:val="10C137D7"/>
    <w:rsid w:val="10C755A0"/>
    <w:rsid w:val="10D5448F"/>
    <w:rsid w:val="10DFF480"/>
    <w:rsid w:val="10E23419"/>
    <w:rsid w:val="10E46985"/>
    <w:rsid w:val="10F10C70"/>
    <w:rsid w:val="10FE0D32"/>
    <w:rsid w:val="11140BA3"/>
    <w:rsid w:val="1124905C"/>
    <w:rsid w:val="112FA661"/>
    <w:rsid w:val="11376056"/>
    <w:rsid w:val="113F15DD"/>
    <w:rsid w:val="114C81C7"/>
    <w:rsid w:val="115D4542"/>
    <w:rsid w:val="11768D3B"/>
    <w:rsid w:val="118296E2"/>
    <w:rsid w:val="11909F65"/>
    <w:rsid w:val="11AA9EED"/>
    <w:rsid w:val="11CF36AA"/>
    <w:rsid w:val="11E04235"/>
    <w:rsid w:val="120658FC"/>
    <w:rsid w:val="120A995F"/>
    <w:rsid w:val="1212E5BB"/>
    <w:rsid w:val="122A2884"/>
    <w:rsid w:val="122C110A"/>
    <w:rsid w:val="123287F2"/>
    <w:rsid w:val="124C9E2C"/>
    <w:rsid w:val="12570D3F"/>
    <w:rsid w:val="12596869"/>
    <w:rsid w:val="125EA795"/>
    <w:rsid w:val="127BF0EF"/>
    <w:rsid w:val="127DC246"/>
    <w:rsid w:val="12A635EA"/>
    <w:rsid w:val="12E63377"/>
    <w:rsid w:val="13156100"/>
    <w:rsid w:val="131D7B2A"/>
    <w:rsid w:val="132E0B0E"/>
    <w:rsid w:val="1336484A"/>
    <w:rsid w:val="13422F53"/>
    <w:rsid w:val="1346AA90"/>
    <w:rsid w:val="134EFBF6"/>
    <w:rsid w:val="135E11AB"/>
    <w:rsid w:val="137B2E96"/>
    <w:rsid w:val="137CFB75"/>
    <w:rsid w:val="13820BDF"/>
    <w:rsid w:val="13A71AA8"/>
    <w:rsid w:val="13A8A525"/>
    <w:rsid w:val="13AB5FD1"/>
    <w:rsid w:val="13B10A28"/>
    <w:rsid w:val="13B10CDC"/>
    <w:rsid w:val="13B3795C"/>
    <w:rsid w:val="13B8A419"/>
    <w:rsid w:val="13C51DA8"/>
    <w:rsid w:val="13C553A5"/>
    <w:rsid w:val="13D446AF"/>
    <w:rsid w:val="13EA1552"/>
    <w:rsid w:val="13EE31FB"/>
    <w:rsid w:val="13FA037C"/>
    <w:rsid w:val="1403E6D2"/>
    <w:rsid w:val="1404469A"/>
    <w:rsid w:val="1419B9AE"/>
    <w:rsid w:val="1424DA0A"/>
    <w:rsid w:val="1432AA1D"/>
    <w:rsid w:val="145C9EB6"/>
    <w:rsid w:val="145E7E46"/>
    <w:rsid w:val="14611B8C"/>
    <w:rsid w:val="1468C43E"/>
    <w:rsid w:val="1485CC3E"/>
    <w:rsid w:val="148A7A0C"/>
    <w:rsid w:val="148D6B4E"/>
    <w:rsid w:val="148EA7FF"/>
    <w:rsid w:val="14915C81"/>
    <w:rsid w:val="14BD5280"/>
    <w:rsid w:val="14BE7E78"/>
    <w:rsid w:val="14BEF87C"/>
    <w:rsid w:val="14C0C89B"/>
    <w:rsid w:val="14CFA579"/>
    <w:rsid w:val="14D3E570"/>
    <w:rsid w:val="14D83E36"/>
    <w:rsid w:val="14EC647B"/>
    <w:rsid w:val="14EF2AA6"/>
    <w:rsid w:val="14FCCC6A"/>
    <w:rsid w:val="150EA9DF"/>
    <w:rsid w:val="1516B9AB"/>
    <w:rsid w:val="15180AF7"/>
    <w:rsid w:val="151DD839"/>
    <w:rsid w:val="152AC19B"/>
    <w:rsid w:val="152B6760"/>
    <w:rsid w:val="152C91E5"/>
    <w:rsid w:val="1531214D"/>
    <w:rsid w:val="15346E41"/>
    <w:rsid w:val="15346F25"/>
    <w:rsid w:val="153F10BE"/>
    <w:rsid w:val="1547594E"/>
    <w:rsid w:val="155941BD"/>
    <w:rsid w:val="155F83A0"/>
    <w:rsid w:val="156A4F70"/>
    <w:rsid w:val="156C7ECD"/>
    <w:rsid w:val="1580E0D5"/>
    <w:rsid w:val="15909F73"/>
    <w:rsid w:val="1597C4EA"/>
    <w:rsid w:val="15A4BF26"/>
    <w:rsid w:val="15A93CAD"/>
    <w:rsid w:val="15C16E7F"/>
    <w:rsid w:val="15C436FC"/>
    <w:rsid w:val="15CA7F94"/>
    <w:rsid w:val="15D2E308"/>
    <w:rsid w:val="15E45902"/>
    <w:rsid w:val="15F679D2"/>
    <w:rsid w:val="16032CBC"/>
    <w:rsid w:val="16043DBE"/>
    <w:rsid w:val="1604A7BF"/>
    <w:rsid w:val="161049DA"/>
    <w:rsid w:val="1627F1B4"/>
    <w:rsid w:val="1628DC8A"/>
    <w:rsid w:val="16352BEB"/>
    <w:rsid w:val="1639C73E"/>
    <w:rsid w:val="163C65A9"/>
    <w:rsid w:val="16428FD7"/>
    <w:rsid w:val="164454FF"/>
    <w:rsid w:val="165B728B"/>
    <w:rsid w:val="1663EF11"/>
    <w:rsid w:val="166863D6"/>
    <w:rsid w:val="166D2E8B"/>
    <w:rsid w:val="1676F55C"/>
    <w:rsid w:val="16784CC6"/>
    <w:rsid w:val="168110BE"/>
    <w:rsid w:val="16826B5F"/>
    <w:rsid w:val="168CBEBB"/>
    <w:rsid w:val="168D800D"/>
    <w:rsid w:val="16AB09B5"/>
    <w:rsid w:val="16AC9DF2"/>
    <w:rsid w:val="16AD79CE"/>
    <w:rsid w:val="16DDC6E3"/>
    <w:rsid w:val="16E6E6B4"/>
    <w:rsid w:val="16EA384F"/>
    <w:rsid w:val="16F2A476"/>
    <w:rsid w:val="16F57584"/>
    <w:rsid w:val="16FD1968"/>
    <w:rsid w:val="1712AECD"/>
    <w:rsid w:val="171F1946"/>
    <w:rsid w:val="1756C817"/>
    <w:rsid w:val="175E98EA"/>
    <w:rsid w:val="177B82A6"/>
    <w:rsid w:val="177BA037"/>
    <w:rsid w:val="178732C9"/>
    <w:rsid w:val="17916591"/>
    <w:rsid w:val="17A1895C"/>
    <w:rsid w:val="17A326DD"/>
    <w:rsid w:val="17A73F4F"/>
    <w:rsid w:val="17C0FC50"/>
    <w:rsid w:val="17C21F21"/>
    <w:rsid w:val="17C4A2C0"/>
    <w:rsid w:val="17C64404"/>
    <w:rsid w:val="17CB5C32"/>
    <w:rsid w:val="17E6B32F"/>
    <w:rsid w:val="18030215"/>
    <w:rsid w:val="18060412"/>
    <w:rsid w:val="180752B8"/>
    <w:rsid w:val="18097620"/>
    <w:rsid w:val="180B2673"/>
    <w:rsid w:val="1818B1CA"/>
    <w:rsid w:val="18193F37"/>
    <w:rsid w:val="18241634"/>
    <w:rsid w:val="18311D55"/>
    <w:rsid w:val="18448A6A"/>
    <w:rsid w:val="184FD744"/>
    <w:rsid w:val="18580B3B"/>
    <w:rsid w:val="185937F6"/>
    <w:rsid w:val="187377C4"/>
    <w:rsid w:val="1890C308"/>
    <w:rsid w:val="18AD02C4"/>
    <w:rsid w:val="18B46D08"/>
    <w:rsid w:val="18C153A1"/>
    <w:rsid w:val="18D5C98B"/>
    <w:rsid w:val="18DD20F4"/>
    <w:rsid w:val="18DE108B"/>
    <w:rsid w:val="18E08C54"/>
    <w:rsid w:val="18E24C74"/>
    <w:rsid w:val="18E5D983"/>
    <w:rsid w:val="18FCA0B5"/>
    <w:rsid w:val="191222D8"/>
    <w:rsid w:val="1913742C"/>
    <w:rsid w:val="19218192"/>
    <w:rsid w:val="1939E806"/>
    <w:rsid w:val="193F2747"/>
    <w:rsid w:val="19441FE9"/>
    <w:rsid w:val="1947E899"/>
    <w:rsid w:val="195EE5A7"/>
    <w:rsid w:val="19642895"/>
    <w:rsid w:val="196B8CCB"/>
    <w:rsid w:val="19725F9F"/>
    <w:rsid w:val="197C0343"/>
    <w:rsid w:val="197E3BC2"/>
    <w:rsid w:val="1993421B"/>
    <w:rsid w:val="199735F0"/>
    <w:rsid w:val="1997BA99"/>
    <w:rsid w:val="199EB767"/>
    <w:rsid w:val="19A1F57D"/>
    <w:rsid w:val="19B5896D"/>
    <w:rsid w:val="19B6FDCE"/>
    <w:rsid w:val="19C711BB"/>
    <w:rsid w:val="19C7AD49"/>
    <w:rsid w:val="19DB4539"/>
    <w:rsid w:val="19DD3B95"/>
    <w:rsid w:val="19FC46B2"/>
    <w:rsid w:val="1A0FB877"/>
    <w:rsid w:val="1A18EE70"/>
    <w:rsid w:val="1A207A7C"/>
    <w:rsid w:val="1A2D100F"/>
    <w:rsid w:val="1A32B3BF"/>
    <w:rsid w:val="1A5622E9"/>
    <w:rsid w:val="1A581E94"/>
    <w:rsid w:val="1A628604"/>
    <w:rsid w:val="1A6BC897"/>
    <w:rsid w:val="1A7B8DB7"/>
    <w:rsid w:val="1A7D00FC"/>
    <w:rsid w:val="1A7D5E71"/>
    <w:rsid w:val="1A829142"/>
    <w:rsid w:val="1A9B89EF"/>
    <w:rsid w:val="1AA0A46B"/>
    <w:rsid w:val="1ABEE18A"/>
    <w:rsid w:val="1ABF1D40"/>
    <w:rsid w:val="1AD0B592"/>
    <w:rsid w:val="1AD71734"/>
    <w:rsid w:val="1ADCD59A"/>
    <w:rsid w:val="1AE73CDA"/>
    <w:rsid w:val="1AF71F1E"/>
    <w:rsid w:val="1AF72458"/>
    <w:rsid w:val="1B0AE3AF"/>
    <w:rsid w:val="1B2A36F3"/>
    <w:rsid w:val="1B303D6B"/>
    <w:rsid w:val="1B573A47"/>
    <w:rsid w:val="1B6C8D99"/>
    <w:rsid w:val="1B6F60C8"/>
    <w:rsid w:val="1B78BA48"/>
    <w:rsid w:val="1B881A66"/>
    <w:rsid w:val="1B8C2EE5"/>
    <w:rsid w:val="1B8D270D"/>
    <w:rsid w:val="1BAA8DA1"/>
    <w:rsid w:val="1BAC5A6B"/>
    <w:rsid w:val="1BAFA8F0"/>
    <w:rsid w:val="1BB6ED2F"/>
    <w:rsid w:val="1BB98482"/>
    <w:rsid w:val="1BB9DC28"/>
    <w:rsid w:val="1BCC4EF7"/>
    <w:rsid w:val="1BCDDF16"/>
    <w:rsid w:val="1BD57B20"/>
    <w:rsid w:val="1BD60E3C"/>
    <w:rsid w:val="1BE88F0C"/>
    <w:rsid w:val="1BF33502"/>
    <w:rsid w:val="1BF55A21"/>
    <w:rsid w:val="1BF7DD16"/>
    <w:rsid w:val="1C27665A"/>
    <w:rsid w:val="1C2782FD"/>
    <w:rsid w:val="1C2CB03B"/>
    <w:rsid w:val="1C2E5FFF"/>
    <w:rsid w:val="1C37E470"/>
    <w:rsid w:val="1C3FF7DF"/>
    <w:rsid w:val="1C50C9EB"/>
    <w:rsid w:val="1C515123"/>
    <w:rsid w:val="1C56A06A"/>
    <w:rsid w:val="1C6240D0"/>
    <w:rsid w:val="1C65CBF6"/>
    <w:rsid w:val="1C68693A"/>
    <w:rsid w:val="1C7130C7"/>
    <w:rsid w:val="1C7586A7"/>
    <w:rsid w:val="1C98E2AE"/>
    <w:rsid w:val="1CA31C6C"/>
    <w:rsid w:val="1CC0D600"/>
    <w:rsid w:val="1CD8D6C9"/>
    <w:rsid w:val="1CDEA74E"/>
    <w:rsid w:val="1D0A9439"/>
    <w:rsid w:val="1D19E07D"/>
    <w:rsid w:val="1D1B8D01"/>
    <w:rsid w:val="1D27F224"/>
    <w:rsid w:val="1D360C4C"/>
    <w:rsid w:val="1D3C3B61"/>
    <w:rsid w:val="1D3ED81A"/>
    <w:rsid w:val="1D448376"/>
    <w:rsid w:val="1D660DD5"/>
    <w:rsid w:val="1D83EBE3"/>
    <w:rsid w:val="1D84A972"/>
    <w:rsid w:val="1D87F273"/>
    <w:rsid w:val="1D8B66A4"/>
    <w:rsid w:val="1D8EE9A5"/>
    <w:rsid w:val="1D930DEE"/>
    <w:rsid w:val="1D999034"/>
    <w:rsid w:val="1D9F7D21"/>
    <w:rsid w:val="1DA39D4F"/>
    <w:rsid w:val="1DB04CF4"/>
    <w:rsid w:val="1DB9ADCD"/>
    <w:rsid w:val="1DD1D788"/>
    <w:rsid w:val="1DDBE111"/>
    <w:rsid w:val="1DDD51DE"/>
    <w:rsid w:val="1E035B0C"/>
    <w:rsid w:val="1E0C6DF2"/>
    <w:rsid w:val="1E24365C"/>
    <w:rsid w:val="1E317D13"/>
    <w:rsid w:val="1E6000E2"/>
    <w:rsid w:val="1E7E917F"/>
    <w:rsid w:val="1E988EDE"/>
    <w:rsid w:val="1EA065EA"/>
    <w:rsid w:val="1EA1B15E"/>
    <w:rsid w:val="1EA35927"/>
    <w:rsid w:val="1EB3D503"/>
    <w:rsid w:val="1EC47E0E"/>
    <w:rsid w:val="1ED98CA7"/>
    <w:rsid w:val="1EE3BBF3"/>
    <w:rsid w:val="1EF63E83"/>
    <w:rsid w:val="1F1FD2E4"/>
    <w:rsid w:val="1F230BBD"/>
    <w:rsid w:val="1F2A54ED"/>
    <w:rsid w:val="1F3F685B"/>
    <w:rsid w:val="1F4E876E"/>
    <w:rsid w:val="1F6455C2"/>
    <w:rsid w:val="1F6DD684"/>
    <w:rsid w:val="1F73AC24"/>
    <w:rsid w:val="1F79D51B"/>
    <w:rsid w:val="1FBF020B"/>
    <w:rsid w:val="1FC90853"/>
    <w:rsid w:val="1FD3E329"/>
    <w:rsid w:val="1FDE73A2"/>
    <w:rsid w:val="1FE291C1"/>
    <w:rsid w:val="1FE95BEC"/>
    <w:rsid w:val="1FF3D55A"/>
    <w:rsid w:val="1FF98BDC"/>
    <w:rsid w:val="20201A1E"/>
    <w:rsid w:val="202C2099"/>
    <w:rsid w:val="2051F712"/>
    <w:rsid w:val="206D22D9"/>
    <w:rsid w:val="207A33F7"/>
    <w:rsid w:val="208D9CE5"/>
    <w:rsid w:val="20BDA50D"/>
    <w:rsid w:val="20BDC54B"/>
    <w:rsid w:val="210551D0"/>
    <w:rsid w:val="210CDD6F"/>
    <w:rsid w:val="2117BD26"/>
    <w:rsid w:val="211A4104"/>
    <w:rsid w:val="2124CC78"/>
    <w:rsid w:val="213180D2"/>
    <w:rsid w:val="2142EB70"/>
    <w:rsid w:val="2144084B"/>
    <w:rsid w:val="216143E4"/>
    <w:rsid w:val="2168C733"/>
    <w:rsid w:val="21945E19"/>
    <w:rsid w:val="219B77D5"/>
    <w:rsid w:val="21A4F76A"/>
    <w:rsid w:val="21B30E14"/>
    <w:rsid w:val="220B4D99"/>
    <w:rsid w:val="22132AA6"/>
    <w:rsid w:val="22154449"/>
    <w:rsid w:val="22201FA9"/>
    <w:rsid w:val="222F199A"/>
    <w:rsid w:val="2243AAF8"/>
    <w:rsid w:val="224D830A"/>
    <w:rsid w:val="2253DC12"/>
    <w:rsid w:val="225BB6D8"/>
    <w:rsid w:val="225FA0F4"/>
    <w:rsid w:val="2265D94B"/>
    <w:rsid w:val="22664F52"/>
    <w:rsid w:val="226747F2"/>
    <w:rsid w:val="226FCCF6"/>
    <w:rsid w:val="228808A6"/>
    <w:rsid w:val="2292114F"/>
    <w:rsid w:val="229A7F20"/>
    <w:rsid w:val="22A2759E"/>
    <w:rsid w:val="22A719E5"/>
    <w:rsid w:val="22C5F09F"/>
    <w:rsid w:val="22CA61B8"/>
    <w:rsid w:val="22D9AD68"/>
    <w:rsid w:val="22DA1157"/>
    <w:rsid w:val="22ECE1F9"/>
    <w:rsid w:val="22F4387F"/>
    <w:rsid w:val="22F6D163"/>
    <w:rsid w:val="230994ED"/>
    <w:rsid w:val="23158549"/>
    <w:rsid w:val="2317782C"/>
    <w:rsid w:val="231B55B8"/>
    <w:rsid w:val="232A44DE"/>
    <w:rsid w:val="232DD9AE"/>
    <w:rsid w:val="2338AD9B"/>
    <w:rsid w:val="233CC9C6"/>
    <w:rsid w:val="234BBA9F"/>
    <w:rsid w:val="2353067F"/>
    <w:rsid w:val="2361BB91"/>
    <w:rsid w:val="23728776"/>
    <w:rsid w:val="23930CE7"/>
    <w:rsid w:val="2397D1C9"/>
    <w:rsid w:val="23A5DCB7"/>
    <w:rsid w:val="23B1582F"/>
    <w:rsid w:val="23BC8BD3"/>
    <w:rsid w:val="23F44057"/>
    <w:rsid w:val="2431E3D0"/>
    <w:rsid w:val="24374AD7"/>
    <w:rsid w:val="246D1F51"/>
    <w:rsid w:val="24740B0C"/>
    <w:rsid w:val="2486CF7E"/>
    <w:rsid w:val="24898F12"/>
    <w:rsid w:val="24972260"/>
    <w:rsid w:val="24A7DA07"/>
    <w:rsid w:val="24CB36BC"/>
    <w:rsid w:val="24D30A82"/>
    <w:rsid w:val="24D531EE"/>
    <w:rsid w:val="24FED246"/>
    <w:rsid w:val="25066D7B"/>
    <w:rsid w:val="250B309E"/>
    <w:rsid w:val="25187A3F"/>
    <w:rsid w:val="2528B972"/>
    <w:rsid w:val="253AA656"/>
    <w:rsid w:val="2557A9A2"/>
    <w:rsid w:val="255A403C"/>
    <w:rsid w:val="258EA4AF"/>
    <w:rsid w:val="25931BC5"/>
    <w:rsid w:val="25985CFC"/>
    <w:rsid w:val="25A24FB2"/>
    <w:rsid w:val="25F0F02C"/>
    <w:rsid w:val="25FAAADF"/>
    <w:rsid w:val="26138B37"/>
    <w:rsid w:val="26382F74"/>
    <w:rsid w:val="264AE87C"/>
    <w:rsid w:val="264CCC0A"/>
    <w:rsid w:val="26556C97"/>
    <w:rsid w:val="2664C43C"/>
    <w:rsid w:val="2675BCA2"/>
    <w:rsid w:val="2678F62E"/>
    <w:rsid w:val="267C58AD"/>
    <w:rsid w:val="26869ADB"/>
    <w:rsid w:val="268F036D"/>
    <w:rsid w:val="269054A2"/>
    <w:rsid w:val="2695210C"/>
    <w:rsid w:val="269C4767"/>
    <w:rsid w:val="269F3E38"/>
    <w:rsid w:val="26A10E21"/>
    <w:rsid w:val="26A83D14"/>
    <w:rsid w:val="26AC3459"/>
    <w:rsid w:val="26D43B84"/>
    <w:rsid w:val="26E16246"/>
    <w:rsid w:val="26F17396"/>
    <w:rsid w:val="26FD8397"/>
    <w:rsid w:val="26FE888C"/>
    <w:rsid w:val="272F2E1B"/>
    <w:rsid w:val="27462C62"/>
    <w:rsid w:val="27543247"/>
    <w:rsid w:val="27647F2C"/>
    <w:rsid w:val="27745AFF"/>
    <w:rsid w:val="277FAB4D"/>
    <w:rsid w:val="278620DD"/>
    <w:rsid w:val="278C1C66"/>
    <w:rsid w:val="27910BE7"/>
    <w:rsid w:val="27A4CCF2"/>
    <w:rsid w:val="27AA5716"/>
    <w:rsid w:val="27B8B2E0"/>
    <w:rsid w:val="27C30829"/>
    <w:rsid w:val="27C9B6CF"/>
    <w:rsid w:val="27D97988"/>
    <w:rsid w:val="27E33500"/>
    <w:rsid w:val="27E37A0D"/>
    <w:rsid w:val="27EB9F47"/>
    <w:rsid w:val="2820C89B"/>
    <w:rsid w:val="282A5E3D"/>
    <w:rsid w:val="283058C4"/>
    <w:rsid w:val="2836DE89"/>
    <w:rsid w:val="285701E0"/>
    <w:rsid w:val="2864064B"/>
    <w:rsid w:val="28706A1C"/>
    <w:rsid w:val="2885B7CC"/>
    <w:rsid w:val="2895598F"/>
    <w:rsid w:val="289D6602"/>
    <w:rsid w:val="28A97288"/>
    <w:rsid w:val="28B36398"/>
    <w:rsid w:val="28B45D23"/>
    <w:rsid w:val="28DE7DF1"/>
    <w:rsid w:val="28E948D9"/>
    <w:rsid w:val="28EB5051"/>
    <w:rsid w:val="28FF63D9"/>
    <w:rsid w:val="2906B0FA"/>
    <w:rsid w:val="2908E4DC"/>
    <w:rsid w:val="29100266"/>
    <w:rsid w:val="292DAF65"/>
    <w:rsid w:val="293C4E80"/>
    <w:rsid w:val="2941C764"/>
    <w:rsid w:val="29627F31"/>
    <w:rsid w:val="2963D97B"/>
    <w:rsid w:val="2980E7E0"/>
    <w:rsid w:val="299F050E"/>
    <w:rsid w:val="29A4E724"/>
    <w:rsid w:val="29B0094F"/>
    <w:rsid w:val="29B0BD5E"/>
    <w:rsid w:val="29C44083"/>
    <w:rsid w:val="29C99305"/>
    <w:rsid w:val="29DBDCF7"/>
    <w:rsid w:val="29E17056"/>
    <w:rsid w:val="29EBF0BE"/>
    <w:rsid w:val="29F47850"/>
    <w:rsid w:val="29FD9E03"/>
    <w:rsid w:val="29FEB755"/>
    <w:rsid w:val="2A1A74B7"/>
    <w:rsid w:val="2A1B1781"/>
    <w:rsid w:val="2A245859"/>
    <w:rsid w:val="2A3B663F"/>
    <w:rsid w:val="2A52B6C8"/>
    <w:rsid w:val="2A75180C"/>
    <w:rsid w:val="2A758BC1"/>
    <w:rsid w:val="2A78099D"/>
    <w:rsid w:val="2A81005E"/>
    <w:rsid w:val="2A906811"/>
    <w:rsid w:val="2A95965C"/>
    <w:rsid w:val="2A98557D"/>
    <w:rsid w:val="2A9A554E"/>
    <w:rsid w:val="2A9A8A4D"/>
    <w:rsid w:val="2AA37126"/>
    <w:rsid w:val="2AB3243D"/>
    <w:rsid w:val="2ACF1F81"/>
    <w:rsid w:val="2AD03405"/>
    <w:rsid w:val="2ADDBAB6"/>
    <w:rsid w:val="2AEC99FD"/>
    <w:rsid w:val="2AFCB3CF"/>
    <w:rsid w:val="2AFE8D6C"/>
    <w:rsid w:val="2AFF7EBE"/>
    <w:rsid w:val="2B126E60"/>
    <w:rsid w:val="2B4CC5E7"/>
    <w:rsid w:val="2B5C9545"/>
    <w:rsid w:val="2B5D7F1D"/>
    <w:rsid w:val="2B64740C"/>
    <w:rsid w:val="2B64B2EA"/>
    <w:rsid w:val="2B661218"/>
    <w:rsid w:val="2B6662D3"/>
    <w:rsid w:val="2B7ADB88"/>
    <w:rsid w:val="2B94FEA8"/>
    <w:rsid w:val="2BA194BE"/>
    <w:rsid w:val="2BB04DC2"/>
    <w:rsid w:val="2BCE0740"/>
    <w:rsid w:val="2BD49760"/>
    <w:rsid w:val="2C0AD4D0"/>
    <w:rsid w:val="2C1B31ED"/>
    <w:rsid w:val="2C2DAAC8"/>
    <w:rsid w:val="2C2DC755"/>
    <w:rsid w:val="2C44888F"/>
    <w:rsid w:val="2C4C678A"/>
    <w:rsid w:val="2C51FE0F"/>
    <w:rsid w:val="2C52C6FD"/>
    <w:rsid w:val="2C52C957"/>
    <w:rsid w:val="2C66A5A5"/>
    <w:rsid w:val="2C6D311D"/>
    <w:rsid w:val="2C890EE0"/>
    <w:rsid w:val="2C89AE38"/>
    <w:rsid w:val="2CA52149"/>
    <w:rsid w:val="2CA5A180"/>
    <w:rsid w:val="2CB1988F"/>
    <w:rsid w:val="2CE4D96A"/>
    <w:rsid w:val="2CEF4DAA"/>
    <w:rsid w:val="2CF4601D"/>
    <w:rsid w:val="2CF7A79B"/>
    <w:rsid w:val="2D04FD53"/>
    <w:rsid w:val="2D0CDBCB"/>
    <w:rsid w:val="2D13CB2B"/>
    <w:rsid w:val="2D1DD1E5"/>
    <w:rsid w:val="2D230C05"/>
    <w:rsid w:val="2D3B77BB"/>
    <w:rsid w:val="2D463C4B"/>
    <w:rsid w:val="2D467944"/>
    <w:rsid w:val="2D51313B"/>
    <w:rsid w:val="2D555C4C"/>
    <w:rsid w:val="2D5ABC15"/>
    <w:rsid w:val="2D5DE3F9"/>
    <w:rsid w:val="2D718904"/>
    <w:rsid w:val="2D74129F"/>
    <w:rsid w:val="2D7B4C05"/>
    <w:rsid w:val="2D897FC8"/>
    <w:rsid w:val="2D8A1553"/>
    <w:rsid w:val="2D8A4B2C"/>
    <w:rsid w:val="2DBFBE2B"/>
    <w:rsid w:val="2DCEC142"/>
    <w:rsid w:val="2DD33062"/>
    <w:rsid w:val="2DE490B7"/>
    <w:rsid w:val="2DF90F18"/>
    <w:rsid w:val="2E0300C0"/>
    <w:rsid w:val="2E1961F0"/>
    <w:rsid w:val="2E2DCED4"/>
    <w:rsid w:val="2E3F09E8"/>
    <w:rsid w:val="2E48B636"/>
    <w:rsid w:val="2E6926B7"/>
    <w:rsid w:val="2E8F2BEF"/>
    <w:rsid w:val="2E9523E0"/>
    <w:rsid w:val="2E96DE9C"/>
    <w:rsid w:val="2EA58CBA"/>
    <w:rsid w:val="2EC4F809"/>
    <w:rsid w:val="2ED8FCDC"/>
    <w:rsid w:val="2EDFC0E8"/>
    <w:rsid w:val="2EE559B9"/>
    <w:rsid w:val="2F13A93F"/>
    <w:rsid w:val="2F16D75F"/>
    <w:rsid w:val="2F1CD944"/>
    <w:rsid w:val="2F1DB5A7"/>
    <w:rsid w:val="2F2AE5FF"/>
    <w:rsid w:val="2F2F83B5"/>
    <w:rsid w:val="2F35852E"/>
    <w:rsid w:val="2F490A45"/>
    <w:rsid w:val="2F6324EB"/>
    <w:rsid w:val="2F724587"/>
    <w:rsid w:val="2F7557FE"/>
    <w:rsid w:val="2F7AF865"/>
    <w:rsid w:val="2F8C1493"/>
    <w:rsid w:val="2F98A0C9"/>
    <w:rsid w:val="2FB06A38"/>
    <w:rsid w:val="2FB869A2"/>
    <w:rsid w:val="2FC1ADCF"/>
    <w:rsid w:val="2FD4AA09"/>
    <w:rsid w:val="2FEC2EFF"/>
    <w:rsid w:val="2FF410C0"/>
    <w:rsid w:val="2FFDB51F"/>
    <w:rsid w:val="300A25FB"/>
    <w:rsid w:val="30276ECE"/>
    <w:rsid w:val="30393202"/>
    <w:rsid w:val="306CB1A7"/>
    <w:rsid w:val="3075FC34"/>
    <w:rsid w:val="308B0208"/>
    <w:rsid w:val="308C23FB"/>
    <w:rsid w:val="30B00A80"/>
    <w:rsid w:val="30B0FEA3"/>
    <w:rsid w:val="30C5F180"/>
    <w:rsid w:val="30C96B4E"/>
    <w:rsid w:val="30D3457E"/>
    <w:rsid w:val="30E1ED63"/>
    <w:rsid w:val="31071EE3"/>
    <w:rsid w:val="310DBF6B"/>
    <w:rsid w:val="310F4804"/>
    <w:rsid w:val="3112E505"/>
    <w:rsid w:val="311A4007"/>
    <w:rsid w:val="3126803F"/>
    <w:rsid w:val="312C7922"/>
    <w:rsid w:val="31448E34"/>
    <w:rsid w:val="3157CACF"/>
    <w:rsid w:val="31641A2F"/>
    <w:rsid w:val="3164AD2C"/>
    <w:rsid w:val="316A2454"/>
    <w:rsid w:val="3175055D"/>
    <w:rsid w:val="31805D77"/>
    <w:rsid w:val="31964B1D"/>
    <w:rsid w:val="319D706E"/>
    <w:rsid w:val="31A35D63"/>
    <w:rsid w:val="31A79296"/>
    <w:rsid w:val="31A7B3E6"/>
    <w:rsid w:val="31D7155D"/>
    <w:rsid w:val="31DA6930"/>
    <w:rsid w:val="31E7D7D8"/>
    <w:rsid w:val="31F89184"/>
    <w:rsid w:val="320F2D5C"/>
    <w:rsid w:val="32190522"/>
    <w:rsid w:val="322372A7"/>
    <w:rsid w:val="322BD134"/>
    <w:rsid w:val="322C895D"/>
    <w:rsid w:val="322FFE67"/>
    <w:rsid w:val="3239B20E"/>
    <w:rsid w:val="3249480E"/>
    <w:rsid w:val="3250EA0B"/>
    <w:rsid w:val="32511F59"/>
    <w:rsid w:val="3252D2AE"/>
    <w:rsid w:val="32617CDD"/>
    <w:rsid w:val="3269D2F8"/>
    <w:rsid w:val="3276DA44"/>
    <w:rsid w:val="328414C8"/>
    <w:rsid w:val="328CBF64"/>
    <w:rsid w:val="3293814A"/>
    <w:rsid w:val="3293D806"/>
    <w:rsid w:val="32B68EE3"/>
    <w:rsid w:val="32C6A51B"/>
    <w:rsid w:val="32C82E0B"/>
    <w:rsid w:val="32CDDEEB"/>
    <w:rsid w:val="32D77EE6"/>
    <w:rsid w:val="32E8BE12"/>
    <w:rsid w:val="32F48A6D"/>
    <w:rsid w:val="32F4C14F"/>
    <w:rsid w:val="32F565E0"/>
    <w:rsid w:val="32F7B6AA"/>
    <w:rsid w:val="32FF8F00"/>
    <w:rsid w:val="3306E66B"/>
    <w:rsid w:val="330A8B86"/>
    <w:rsid w:val="332A5C3B"/>
    <w:rsid w:val="332BBFFF"/>
    <w:rsid w:val="334877FD"/>
    <w:rsid w:val="335570A4"/>
    <w:rsid w:val="33588EB7"/>
    <w:rsid w:val="3371234C"/>
    <w:rsid w:val="33744C97"/>
    <w:rsid w:val="337694C1"/>
    <w:rsid w:val="3381201A"/>
    <w:rsid w:val="33984ACB"/>
    <w:rsid w:val="33A12DE3"/>
    <w:rsid w:val="33C0866A"/>
    <w:rsid w:val="33C97878"/>
    <w:rsid w:val="33E62D3E"/>
    <w:rsid w:val="33F2A218"/>
    <w:rsid w:val="3404F0BE"/>
    <w:rsid w:val="34125087"/>
    <w:rsid w:val="3430DDA0"/>
    <w:rsid w:val="34386F78"/>
    <w:rsid w:val="3439C2E3"/>
    <w:rsid w:val="344565C4"/>
    <w:rsid w:val="3464273D"/>
    <w:rsid w:val="34776212"/>
    <w:rsid w:val="3488A91E"/>
    <w:rsid w:val="3493910B"/>
    <w:rsid w:val="3497627B"/>
    <w:rsid w:val="3499D798"/>
    <w:rsid w:val="349EC228"/>
    <w:rsid w:val="34A71EE1"/>
    <w:rsid w:val="34A7FCAC"/>
    <w:rsid w:val="34BA4A0B"/>
    <w:rsid w:val="34C327CA"/>
    <w:rsid w:val="34C6E0C2"/>
    <w:rsid w:val="34EE8AF3"/>
    <w:rsid w:val="34F503D9"/>
    <w:rsid w:val="34F6D3C3"/>
    <w:rsid w:val="34FD4B9B"/>
    <w:rsid w:val="350697D5"/>
    <w:rsid w:val="3506F946"/>
    <w:rsid w:val="35235B8F"/>
    <w:rsid w:val="353F3BB8"/>
    <w:rsid w:val="35422553"/>
    <w:rsid w:val="354281E7"/>
    <w:rsid w:val="35535BC5"/>
    <w:rsid w:val="356856EB"/>
    <w:rsid w:val="3572EBB7"/>
    <w:rsid w:val="357347BF"/>
    <w:rsid w:val="357D746F"/>
    <w:rsid w:val="35823100"/>
    <w:rsid w:val="3582FB31"/>
    <w:rsid w:val="3585A48C"/>
    <w:rsid w:val="358C9C42"/>
    <w:rsid w:val="35954F83"/>
    <w:rsid w:val="359F3442"/>
    <w:rsid w:val="35CB597C"/>
    <w:rsid w:val="35EF3D97"/>
    <w:rsid w:val="35FB3136"/>
    <w:rsid w:val="35FD34F1"/>
    <w:rsid w:val="361721BE"/>
    <w:rsid w:val="362223C4"/>
    <w:rsid w:val="3632D2C9"/>
    <w:rsid w:val="363C6547"/>
    <w:rsid w:val="3670D3DE"/>
    <w:rsid w:val="36813E5A"/>
    <w:rsid w:val="36823759"/>
    <w:rsid w:val="36833708"/>
    <w:rsid w:val="36863B66"/>
    <w:rsid w:val="36B1FE38"/>
    <w:rsid w:val="36C02BAC"/>
    <w:rsid w:val="36C351EB"/>
    <w:rsid w:val="36C65EFC"/>
    <w:rsid w:val="36CBE99A"/>
    <w:rsid w:val="36CC40AA"/>
    <w:rsid w:val="36DF4A94"/>
    <w:rsid w:val="36E2EEE6"/>
    <w:rsid w:val="36F14FF6"/>
    <w:rsid w:val="36F31CB7"/>
    <w:rsid w:val="36F739D5"/>
    <w:rsid w:val="36F926AD"/>
    <w:rsid w:val="36FE282E"/>
    <w:rsid w:val="370F6D45"/>
    <w:rsid w:val="3714CD9D"/>
    <w:rsid w:val="3718C03D"/>
    <w:rsid w:val="37363513"/>
    <w:rsid w:val="3757D733"/>
    <w:rsid w:val="375AF326"/>
    <w:rsid w:val="37787DD8"/>
    <w:rsid w:val="3783CE47"/>
    <w:rsid w:val="378DEBB2"/>
    <w:rsid w:val="378F7C90"/>
    <w:rsid w:val="3793C215"/>
    <w:rsid w:val="3797633A"/>
    <w:rsid w:val="37A153BC"/>
    <w:rsid w:val="37AB2961"/>
    <w:rsid w:val="37AEFD28"/>
    <w:rsid w:val="37B025ED"/>
    <w:rsid w:val="37BCB007"/>
    <w:rsid w:val="37CB18DC"/>
    <w:rsid w:val="37DB569D"/>
    <w:rsid w:val="37DC6D40"/>
    <w:rsid w:val="37ED6F95"/>
    <w:rsid w:val="37F1D0A2"/>
    <w:rsid w:val="3800509F"/>
    <w:rsid w:val="380E2817"/>
    <w:rsid w:val="380E3795"/>
    <w:rsid w:val="38108B95"/>
    <w:rsid w:val="381F25D6"/>
    <w:rsid w:val="38241A61"/>
    <w:rsid w:val="382E76CE"/>
    <w:rsid w:val="3879FC11"/>
    <w:rsid w:val="389180DE"/>
    <w:rsid w:val="38B4799E"/>
    <w:rsid w:val="38B98B51"/>
    <w:rsid w:val="38D422F0"/>
    <w:rsid w:val="38D58F4B"/>
    <w:rsid w:val="38DC7734"/>
    <w:rsid w:val="38EA3B63"/>
    <w:rsid w:val="38EE1029"/>
    <w:rsid w:val="3903CDDE"/>
    <w:rsid w:val="39084FB7"/>
    <w:rsid w:val="3915CC95"/>
    <w:rsid w:val="3916039E"/>
    <w:rsid w:val="3921B806"/>
    <w:rsid w:val="392235B0"/>
    <w:rsid w:val="39317710"/>
    <w:rsid w:val="393E18DA"/>
    <w:rsid w:val="393E2B8F"/>
    <w:rsid w:val="3944511B"/>
    <w:rsid w:val="39470F85"/>
    <w:rsid w:val="394BDC70"/>
    <w:rsid w:val="394E0373"/>
    <w:rsid w:val="395CAA8B"/>
    <w:rsid w:val="396A30BD"/>
    <w:rsid w:val="396F9447"/>
    <w:rsid w:val="39837BBD"/>
    <w:rsid w:val="39844B6D"/>
    <w:rsid w:val="399700D3"/>
    <w:rsid w:val="399BB6F4"/>
    <w:rsid w:val="39A66179"/>
    <w:rsid w:val="39B6D039"/>
    <w:rsid w:val="39E71E2A"/>
    <w:rsid w:val="39E77992"/>
    <w:rsid w:val="39FA3EF2"/>
    <w:rsid w:val="3A481776"/>
    <w:rsid w:val="3A6D383E"/>
    <w:rsid w:val="3A729CB3"/>
    <w:rsid w:val="3A86295C"/>
    <w:rsid w:val="3A8FF028"/>
    <w:rsid w:val="3A931CC6"/>
    <w:rsid w:val="3AE180BA"/>
    <w:rsid w:val="3AE6D174"/>
    <w:rsid w:val="3AFC48BD"/>
    <w:rsid w:val="3B180E74"/>
    <w:rsid w:val="3B287BA3"/>
    <w:rsid w:val="3B2DEFF8"/>
    <w:rsid w:val="3B359686"/>
    <w:rsid w:val="3B437503"/>
    <w:rsid w:val="3B47CF99"/>
    <w:rsid w:val="3B632898"/>
    <w:rsid w:val="3B6E638D"/>
    <w:rsid w:val="3B762A75"/>
    <w:rsid w:val="3B95F09D"/>
    <w:rsid w:val="3BAC80B9"/>
    <w:rsid w:val="3BDEFF29"/>
    <w:rsid w:val="3C0C9349"/>
    <w:rsid w:val="3C110771"/>
    <w:rsid w:val="3C31D882"/>
    <w:rsid w:val="3C443AB0"/>
    <w:rsid w:val="3C552200"/>
    <w:rsid w:val="3C642D69"/>
    <w:rsid w:val="3C8839BA"/>
    <w:rsid w:val="3C949C56"/>
    <w:rsid w:val="3C982BAA"/>
    <w:rsid w:val="3CA034F4"/>
    <w:rsid w:val="3CBE698D"/>
    <w:rsid w:val="3CE53D9D"/>
    <w:rsid w:val="3CE8C246"/>
    <w:rsid w:val="3CEDDFAA"/>
    <w:rsid w:val="3CF5EC6E"/>
    <w:rsid w:val="3D07A091"/>
    <w:rsid w:val="3D1B0C6A"/>
    <w:rsid w:val="3D1BEE30"/>
    <w:rsid w:val="3D25224F"/>
    <w:rsid w:val="3D2CF5CC"/>
    <w:rsid w:val="3D43551F"/>
    <w:rsid w:val="3D4BD0B8"/>
    <w:rsid w:val="3D699966"/>
    <w:rsid w:val="3D720E0E"/>
    <w:rsid w:val="3D757234"/>
    <w:rsid w:val="3D7E4892"/>
    <w:rsid w:val="3D85441D"/>
    <w:rsid w:val="3D893641"/>
    <w:rsid w:val="3D9F31B4"/>
    <w:rsid w:val="3DA34113"/>
    <w:rsid w:val="3DABAAF7"/>
    <w:rsid w:val="3DBCED9F"/>
    <w:rsid w:val="3DBD8365"/>
    <w:rsid w:val="3DC4BAF3"/>
    <w:rsid w:val="3DD0C31D"/>
    <w:rsid w:val="3DDD2DE5"/>
    <w:rsid w:val="3DDFF1B7"/>
    <w:rsid w:val="3DF2F194"/>
    <w:rsid w:val="3DF613EB"/>
    <w:rsid w:val="3E09F9C1"/>
    <w:rsid w:val="3E0AD51E"/>
    <w:rsid w:val="3E158C2D"/>
    <w:rsid w:val="3E1FF104"/>
    <w:rsid w:val="3E273C80"/>
    <w:rsid w:val="3E3AB3B1"/>
    <w:rsid w:val="3E3C6B62"/>
    <w:rsid w:val="3E54EA9C"/>
    <w:rsid w:val="3E5DCD4E"/>
    <w:rsid w:val="3E62AEA2"/>
    <w:rsid w:val="3E68B4EF"/>
    <w:rsid w:val="3E6DF906"/>
    <w:rsid w:val="3E6FE2DD"/>
    <w:rsid w:val="3E76E38C"/>
    <w:rsid w:val="3E88DEC3"/>
    <w:rsid w:val="3E9656AF"/>
    <w:rsid w:val="3EAD2DF2"/>
    <w:rsid w:val="3EB86A25"/>
    <w:rsid w:val="3EE0F94C"/>
    <w:rsid w:val="3EE172A3"/>
    <w:rsid w:val="3EE4D546"/>
    <w:rsid w:val="3EFF5E31"/>
    <w:rsid w:val="3F02DAC5"/>
    <w:rsid w:val="3F05A2DE"/>
    <w:rsid w:val="3F05C472"/>
    <w:rsid w:val="3F0DBDB2"/>
    <w:rsid w:val="3F38D27F"/>
    <w:rsid w:val="3F479017"/>
    <w:rsid w:val="3F55417A"/>
    <w:rsid w:val="3F57FA28"/>
    <w:rsid w:val="3F5F1192"/>
    <w:rsid w:val="3F6CD991"/>
    <w:rsid w:val="3F710C17"/>
    <w:rsid w:val="3F7DAAAC"/>
    <w:rsid w:val="3F96EF6F"/>
    <w:rsid w:val="3F9E96BC"/>
    <w:rsid w:val="3FAE3F3C"/>
    <w:rsid w:val="3FC4E698"/>
    <w:rsid w:val="3FC4FC8B"/>
    <w:rsid w:val="3FD05875"/>
    <w:rsid w:val="3FF06AEC"/>
    <w:rsid w:val="3FF21ECF"/>
    <w:rsid w:val="3FF2BEC6"/>
    <w:rsid w:val="40043241"/>
    <w:rsid w:val="40597037"/>
    <w:rsid w:val="40605D7B"/>
    <w:rsid w:val="40702131"/>
    <w:rsid w:val="407031EE"/>
    <w:rsid w:val="40713A93"/>
    <w:rsid w:val="408C661A"/>
    <w:rsid w:val="40CF6E36"/>
    <w:rsid w:val="40D045D8"/>
    <w:rsid w:val="40D99973"/>
    <w:rsid w:val="40DCC7C5"/>
    <w:rsid w:val="40F40D9C"/>
    <w:rsid w:val="40F9007A"/>
    <w:rsid w:val="4101066B"/>
    <w:rsid w:val="41056BDB"/>
    <w:rsid w:val="410A28A5"/>
    <w:rsid w:val="41142E89"/>
    <w:rsid w:val="411D3DE2"/>
    <w:rsid w:val="41206914"/>
    <w:rsid w:val="4133BFDC"/>
    <w:rsid w:val="414310E4"/>
    <w:rsid w:val="4147265B"/>
    <w:rsid w:val="414B9113"/>
    <w:rsid w:val="415242EF"/>
    <w:rsid w:val="415A3CCD"/>
    <w:rsid w:val="4165980A"/>
    <w:rsid w:val="416F04B4"/>
    <w:rsid w:val="41723B0C"/>
    <w:rsid w:val="4177F51D"/>
    <w:rsid w:val="417B0215"/>
    <w:rsid w:val="419906AD"/>
    <w:rsid w:val="419D385E"/>
    <w:rsid w:val="41A0D8E2"/>
    <w:rsid w:val="41AF4616"/>
    <w:rsid w:val="41AF9F9F"/>
    <w:rsid w:val="41B9E6CC"/>
    <w:rsid w:val="41BE681A"/>
    <w:rsid w:val="41D2C46A"/>
    <w:rsid w:val="41DE5E35"/>
    <w:rsid w:val="41E50B8E"/>
    <w:rsid w:val="41F48EB9"/>
    <w:rsid w:val="41F60F84"/>
    <w:rsid w:val="41F80655"/>
    <w:rsid w:val="4213F88B"/>
    <w:rsid w:val="4216D921"/>
    <w:rsid w:val="4232440D"/>
    <w:rsid w:val="423EA667"/>
    <w:rsid w:val="42629238"/>
    <w:rsid w:val="428E7FBE"/>
    <w:rsid w:val="42931250"/>
    <w:rsid w:val="4295C00E"/>
    <w:rsid w:val="42A35BD1"/>
    <w:rsid w:val="42AB27E1"/>
    <w:rsid w:val="42BA3B51"/>
    <w:rsid w:val="42C97266"/>
    <w:rsid w:val="42F95581"/>
    <w:rsid w:val="4301A71C"/>
    <w:rsid w:val="4307FC30"/>
    <w:rsid w:val="431D68D3"/>
    <w:rsid w:val="433CEE51"/>
    <w:rsid w:val="436340D0"/>
    <w:rsid w:val="43657EF4"/>
    <w:rsid w:val="436705FA"/>
    <w:rsid w:val="43745601"/>
    <w:rsid w:val="437FC89D"/>
    <w:rsid w:val="4382AF9B"/>
    <w:rsid w:val="4383802E"/>
    <w:rsid w:val="4384B009"/>
    <w:rsid w:val="43901027"/>
    <w:rsid w:val="4397C42C"/>
    <w:rsid w:val="43991D4D"/>
    <w:rsid w:val="43997BDE"/>
    <w:rsid w:val="439D7DFD"/>
    <w:rsid w:val="43AAED44"/>
    <w:rsid w:val="43CB8495"/>
    <w:rsid w:val="43CF0A8C"/>
    <w:rsid w:val="43D014F3"/>
    <w:rsid w:val="43D0F973"/>
    <w:rsid w:val="43DC804D"/>
    <w:rsid w:val="43DFA750"/>
    <w:rsid w:val="43E0FBF5"/>
    <w:rsid w:val="43E56FA1"/>
    <w:rsid w:val="43EA6DE2"/>
    <w:rsid w:val="43F8F30E"/>
    <w:rsid w:val="442AF1C9"/>
    <w:rsid w:val="443C19CE"/>
    <w:rsid w:val="44533C98"/>
    <w:rsid w:val="446064E7"/>
    <w:rsid w:val="4471C8AC"/>
    <w:rsid w:val="44796852"/>
    <w:rsid w:val="44858176"/>
    <w:rsid w:val="4491EC79"/>
    <w:rsid w:val="44A46C95"/>
    <w:rsid w:val="44AEA817"/>
    <w:rsid w:val="44B1E9D8"/>
    <w:rsid w:val="44DE7592"/>
    <w:rsid w:val="44E7EAB0"/>
    <w:rsid w:val="44EF8743"/>
    <w:rsid w:val="44F9B3DE"/>
    <w:rsid w:val="450A4BDD"/>
    <w:rsid w:val="451F13DF"/>
    <w:rsid w:val="4537C8C7"/>
    <w:rsid w:val="454BD983"/>
    <w:rsid w:val="45607DBF"/>
    <w:rsid w:val="4560F537"/>
    <w:rsid w:val="4564005E"/>
    <w:rsid w:val="456AC074"/>
    <w:rsid w:val="4585E16F"/>
    <w:rsid w:val="458A8D7F"/>
    <w:rsid w:val="458E3B0D"/>
    <w:rsid w:val="45945F67"/>
    <w:rsid w:val="45BCDED3"/>
    <w:rsid w:val="45C68DB9"/>
    <w:rsid w:val="45CA6ECD"/>
    <w:rsid w:val="45D00BA5"/>
    <w:rsid w:val="45D8178E"/>
    <w:rsid w:val="45E0F24A"/>
    <w:rsid w:val="45EAB2F4"/>
    <w:rsid w:val="45F84233"/>
    <w:rsid w:val="460DE0E1"/>
    <w:rsid w:val="4613CB5C"/>
    <w:rsid w:val="461CB602"/>
    <w:rsid w:val="46252D38"/>
    <w:rsid w:val="46273E98"/>
    <w:rsid w:val="46397250"/>
    <w:rsid w:val="463B887D"/>
    <w:rsid w:val="4658BD16"/>
    <w:rsid w:val="465A4C99"/>
    <w:rsid w:val="466CCE72"/>
    <w:rsid w:val="466EC34C"/>
    <w:rsid w:val="46840FEB"/>
    <w:rsid w:val="469DCFA4"/>
    <w:rsid w:val="46ABC5FD"/>
    <w:rsid w:val="46B81D03"/>
    <w:rsid w:val="46FD02AF"/>
    <w:rsid w:val="471BC920"/>
    <w:rsid w:val="47299F56"/>
    <w:rsid w:val="47304155"/>
    <w:rsid w:val="473AFD23"/>
    <w:rsid w:val="473B69DD"/>
    <w:rsid w:val="474907FB"/>
    <w:rsid w:val="4757476E"/>
    <w:rsid w:val="47577930"/>
    <w:rsid w:val="4781CF3D"/>
    <w:rsid w:val="47880E9A"/>
    <w:rsid w:val="47A192D7"/>
    <w:rsid w:val="47A72C65"/>
    <w:rsid w:val="47A911DD"/>
    <w:rsid w:val="47AFE106"/>
    <w:rsid w:val="47BB5CDF"/>
    <w:rsid w:val="47BBF83C"/>
    <w:rsid w:val="47C2ABBC"/>
    <w:rsid w:val="47D600A4"/>
    <w:rsid w:val="47E3628A"/>
    <w:rsid w:val="47EFA348"/>
    <w:rsid w:val="47F8BB8C"/>
    <w:rsid w:val="4806EEFB"/>
    <w:rsid w:val="4821EA3D"/>
    <w:rsid w:val="482CB80E"/>
    <w:rsid w:val="483C8635"/>
    <w:rsid w:val="484F8D68"/>
    <w:rsid w:val="485AFEF1"/>
    <w:rsid w:val="486AD4B5"/>
    <w:rsid w:val="486C7CE3"/>
    <w:rsid w:val="4877E5EB"/>
    <w:rsid w:val="488A902A"/>
    <w:rsid w:val="489D8EA2"/>
    <w:rsid w:val="48A50AEB"/>
    <w:rsid w:val="48CE5C91"/>
    <w:rsid w:val="48D237B1"/>
    <w:rsid w:val="48DFF68D"/>
    <w:rsid w:val="48E4DA30"/>
    <w:rsid w:val="48EAF223"/>
    <w:rsid w:val="48ECDC2A"/>
    <w:rsid w:val="48F6C653"/>
    <w:rsid w:val="49049997"/>
    <w:rsid w:val="490A9073"/>
    <w:rsid w:val="490FFC07"/>
    <w:rsid w:val="4936A613"/>
    <w:rsid w:val="494EEB74"/>
    <w:rsid w:val="49579A63"/>
    <w:rsid w:val="4974E192"/>
    <w:rsid w:val="498A85A5"/>
    <w:rsid w:val="498B5E0A"/>
    <w:rsid w:val="499D379A"/>
    <w:rsid w:val="49BBF843"/>
    <w:rsid w:val="49CB2271"/>
    <w:rsid w:val="49D2D34B"/>
    <w:rsid w:val="49D6CA2B"/>
    <w:rsid w:val="49DD4FD8"/>
    <w:rsid w:val="49DDD89F"/>
    <w:rsid w:val="49E820D4"/>
    <w:rsid w:val="49E864DC"/>
    <w:rsid w:val="49E956D9"/>
    <w:rsid w:val="49EA88F3"/>
    <w:rsid w:val="4A0FC666"/>
    <w:rsid w:val="4A13A25D"/>
    <w:rsid w:val="4A1C6373"/>
    <w:rsid w:val="4A1F758A"/>
    <w:rsid w:val="4A3C54C7"/>
    <w:rsid w:val="4A4696A1"/>
    <w:rsid w:val="4A4A8B80"/>
    <w:rsid w:val="4A5D5C40"/>
    <w:rsid w:val="4A61851F"/>
    <w:rsid w:val="4A6684C7"/>
    <w:rsid w:val="4A81D4F1"/>
    <w:rsid w:val="4A89C650"/>
    <w:rsid w:val="4A9CB388"/>
    <w:rsid w:val="4AA7C6A7"/>
    <w:rsid w:val="4AA86514"/>
    <w:rsid w:val="4AB6DC03"/>
    <w:rsid w:val="4AFBC3C8"/>
    <w:rsid w:val="4B02F340"/>
    <w:rsid w:val="4B03FB5C"/>
    <w:rsid w:val="4B07A148"/>
    <w:rsid w:val="4B0B8AE2"/>
    <w:rsid w:val="4B17B607"/>
    <w:rsid w:val="4B4D1C82"/>
    <w:rsid w:val="4B50565B"/>
    <w:rsid w:val="4B5C40D3"/>
    <w:rsid w:val="4B632132"/>
    <w:rsid w:val="4B6A666D"/>
    <w:rsid w:val="4B8CF9B9"/>
    <w:rsid w:val="4B93E1CB"/>
    <w:rsid w:val="4BA7C30A"/>
    <w:rsid w:val="4BAA79AE"/>
    <w:rsid w:val="4BAE1E24"/>
    <w:rsid w:val="4BAF4751"/>
    <w:rsid w:val="4BDF6855"/>
    <w:rsid w:val="4BE5A82D"/>
    <w:rsid w:val="4BF169FD"/>
    <w:rsid w:val="4BFF8BA0"/>
    <w:rsid w:val="4C0F3166"/>
    <w:rsid w:val="4C1BFFA3"/>
    <w:rsid w:val="4C28A9F6"/>
    <w:rsid w:val="4C2A016F"/>
    <w:rsid w:val="4C2B2153"/>
    <w:rsid w:val="4C41C990"/>
    <w:rsid w:val="4C42C7CA"/>
    <w:rsid w:val="4C491806"/>
    <w:rsid w:val="4C5FB43A"/>
    <w:rsid w:val="4C618113"/>
    <w:rsid w:val="4C69C449"/>
    <w:rsid w:val="4C78DFA7"/>
    <w:rsid w:val="4C87CCCA"/>
    <w:rsid w:val="4C88A609"/>
    <w:rsid w:val="4C8959F0"/>
    <w:rsid w:val="4CA97991"/>
    <w:rsid w:val="4CC75FF4"/>
    <w:rsid w:val="4CCE1046"/>
    <w:rsid w:val="4CD72887"/>
    <w:rsid w:val="4D0CF0AB"/>
    <w:rsid w:val="4D144A8D"/>
    <w:rsid w:val="4D196F3B"/>
    <w:rsid w:val="4D1B13E2"/>
    <w:rsid w:val="4D213C00"/>
    <w:rsid w:val="4D3AC08F"/>
    <w:rsid w:val="4D4D190C"/>
    <w:rsid w:val="4D5793D4"/>
    <w:rsid w:val="4D7E968E"/>
    <w:rsid w:val="4D89C3E0"/>
    <w:rsid w:val="4DA03F22"/>
    <w:rsid w:val="4DA28BDE"/>
    <w:rsid w:val="4DAA456B"/>
    <w:rsid w:val="4DABC6DE"/>
    <w:rsid w:val="4DBD4C86"/>
    <w:rsid w:val="4DBD7B4C"/>
    <w:rsid w:val="4DD096AA"/>
    <w:rsid w:val="4DDF7498"/>
    <w:rsid w:val="4DEA5D5D"/>
    <w:rsid w:val="4DED52B3"/>
    <w:rsid w:val="4DF97D85"/>
    <w:rsid w:val="4DF9C604"/>
    <w:rsid w:val="4E1A6BBB"/>
    <w:rsid w:val="4E1BDCB3"/>
    <w:rsid w:val="4E35D9A9"/>
    <w:rsid w:val="4E5AB6FA"/>
    <w:rsid w:val="4E64360C"/>
    <w:rsid w:val="4E659031"/>
    <w:rsid w:val="4E7BA0D1"/>
    <w:rsid w:val="4E911350"/>
    <w:rsid w:val="4E92F40A"/>
    <w:rsid w:val="4EB0AFA3"/>
    <w:rsid w:val="4EB5EAC8"/>
    <w:rsid w:val="4ECBEA5A"/>
    <w:rsid w:val="4EE90BC4"/>
    <w:rsid w:val="4EEEB259"/>
    <w:rsid w:val="4EF40E3B"/>
    <w:rsid w:val="4F027516"/>
    <w:rsid w:val="4F08674E"/>
    <w:rsid w:val="4F172E12"/>
    <w:rsid w:val="4F1E58BB"/>
    <w:rsid w:val="4F2037FC"/>
    <w:rsid w:val="4F258BB6"/>
    <w:rsid w:val="4F5BAB21"/>
    <w:rsid w:val="4F6861C0"/>
    <w:rsid w:val="4F692F27"/>
    <w:rsid w:val="4F70114C"/>
    <w:rsid w:val="4F7B1FCC"/>
    <w:rsid w:val="4F833530"/>
    <w:rsid w:val="4F8BCB93"/>
    <w:rsid w:val="4FA2988B"/>
    <w:rsid w:val="4FC5AC73"/>
    <w:rsid w:val="4FC97031"/>
    <w:rsid w:val="4FCFBD81"/>
    <w:rsid w:val="4FDA93F7"/>
    <w:rsid w:val="4FDE037F"/>
    <w:rsid w:val="4FDE6196"/>
    <w:rsid w:val="501069C7"/>
    <w:rsid w:val="50128417"/>
    <w:rsid w:val="50182687"/>
    <w:rsid w:val="5026B440"/>
    <w:rsid w:val="504836DF"/>
    <w:rsid w:val="5048FD63"/>
    <w:rsid w:val="50581CFD"/>
    <w:rsid w:val="505DD4AA"/>
    <w:rsid w:val="5066309A"/>
    <w:rsid w:val="5069040B"/>
    <w:rsid w:val="506A5438"/>
    <w:rsid w:val="507D6ED1"/>
    <w:rsid w:val="508FF206"/>
    <w:rsid w:val="509A9DC4"/>
    <w:rsid w:val="509DBDEC"/>
    <w:rsid w:val="50A9E725"/>
    <w:rsid w:val="50B98A45"/>
    <w:rsid w:val="50BA376C"/>
    <w:rsid w:val="50BC98CE"/>
    <w:rsid w:val="50BDAD3E"/>
    <w:rsid w:val="50D0B45A"/>
    <w:rsid w:val="50D9F6E2"/>
    <w:rsid w:val="50E29BD8"/>
    <w:rsid w:val="50E6884B"/>
    <w:rsid w:val="50E73D5C"/>
    <w:rsid w:val="50F3863A"/>
    <w:rsid w:val="5106180D"/>
    <w:rsid w:val="510DE1CA"/>
    <w:rsid w:val="510E9A36"/>
    <w:rsid w:val="511B50F9"/>
    <w:rsid w:val="511F315B"/>
    <w:rsid w:val="5121D838"/>
    <w:rsid w:val="512C1E7E"/>
    <w:rsid w:val="51338470"/>
    <w:rsid w:val="514226AF"/>
    <w:rsid w:val="51655472"/>
    <w:rsid w:val="516808B8"/>
    <w:rsid w:val="516D879C"/>
    <w:rsid w:val="516E405D"/>
    <w:rsid w:val="5170541E"/>
    <w:rsid w:val="5176B9A0"/>
    <w:rsid w:val="519081A7"/>
    <w:rsid w:val="519FE533"/>
    <w:rsid w:val="519FFCA1"/>
    <w:rsid w:val="51AC2524"/>
    <w:rsid w:val="51B5EB0A"/>
    <w:rsid w:val="51B60F03"/>
    <w:rsid w:val="51CCDA67"/>
    <w:rsid w:val="51E7BBE0"/>
    <w:rsid w:val="51ED5181"/>
    <w:rsid w:val="51F29526"/>
    <w:rsid w:val="51F941BB"/>
    <w:rsid w:val="5202F31E"/>
    <w:rsid w:val="520B6D4D"/>
    <w:rsid w:val="520C7758"/>
    <w:rsid w:val="520EB224"/>
    <w:rsid w:val="52178A19"/>
    <w:rsid w:val="521FBA1B"/>
    <w:rsid w:val="521FEE1A"/>
    <w:rsid w:val="52218991"/>
    <w:rsid w:val="522A885F"/>
    <w:rsid w:val="52364703"/>
    <w:rsid w:val="52389156"/>
    <w:rsid w:val="523CEC60"/>
    <w:rsid w:val="5251936B"/>
    <w:rsid w:val="525862E8"/>
    <w:rsid w:val="5275F475"/>
    <w:rsid w:val="5294DC84"/>
    <w:rsid w:val="5299D83F"/>
    <w:rsid w:val="529CA46A"/>
    <w:rsid w:val="529F3E38"/>
    <w:rsid w:val="52AE046B"/>
    <w:rsid w:val="52D31A5F"/>
    <w:rsid w:val="52DEDC2A"/>
    <w:rsid w:val="52DF6125"/>
    <w:rsid w:val="52E96F0C"/>
    <w:rsid w:val="5301051D"/>
    <w:rsid w:val="5319497B"/>
    <w:rsid w:val="531D1EA0"/>
    <w:rsid w:val="53396654"/>
    <w:rsid w:val="53432C67"/>
    <w:rsid w:val="534CB315"/>
    <w:rsid w:val="535FBE80"/>
    <w:rsid w:val="5361AFE1"/>
    <w:rsid w:val="53873C91"/>
    <w:rsid w:val="5391929E"/>
    <w:rsid w:val="53A19547"/>
    <w:rsid w:val="53B01FB6"/>
    <w:rsid w:val="53B02B25"/>
    <w:rsid w:val="53B746ED"/>
    <w:rsid w:val="53DC345B"/>
    <w:rsid w:val="53F53AAA"/>
    <w:rsid w:val="53FB2E0C"/>
    <w:rsid w:val="5401944A"/>
    <w:rsid w:val="54062459"/>
    <w:rsid w:val="54191DF3"/>
    <w:rsid w:val="542C3AD2"/>
    <w:rsid w:val="54442DEF"/>
    <w:rsid w:val="5458BA5A"/>
    <w:rsid w:val="547256D7"/>
    <w:rsid w:val="548956AF"/>
    <w:rsid w:val="548B7A2A"/>
    <w:rsid w:val="54A86F3F"/>
    <w:rsid w:val="54AF7CC9"/>
    <w:rsid w:val="54B52462"/>
    <w:rsid w:val="54C18BBB"/>
    <w:rsid w:val="54DA9300"/>
    <w:rsid w:val="54E78B22"/>
    <w:rsid w:val="54FC0657"/>
    <w:rsid w:val="5508C986"/>
    <w:rsid w:val="552D2BEB"/>
    <w:rsid w:val="553D26EE"/>
    <w:rsid w:val="5543D680"/>
    <w:rsid w:val="555C379D"/>
    <w:rsid w:val="555F0102"/>
    <w:rsid w:val="5560408C"/>
    <w:rsid w:val="556F82BF"/>
    <w:rsid w:val="55746E3B"/>
    <w:rsid w:val="5579357E"/>
    <w:rsid w:val="558154B8"/>
    <w:rsid w:val="55875D40"/>
    <w:rsid w:val="558F7F3B"/>
    <w:rsid w:val="55A7FCD8"/>
    <w:rsid w:val="55ACE112"/>
    <w:rsid w:val="55B3368D"/>
    <w:rsid w:val="55B52D96"/>
    <w:rsid w:val="55B676A3"/>
    <w:rsid w:val="55BA12CF"/>
    <w:rsid w:val="55C01225"/>
    <w:rsid w:val="55C3AE6B"/>
    <w:rsid w:val="55E83550"/>
    <w:rsid w:val="55EDB81A"/>
    <w:rsid w:val="55FFE49A"/>
    <w:rsid w:val="5606B3C1"/>
    <w:rsid w:val="5610E6E4"/>
    <w:rsid w:val="5611DDE0"/>
    <w:rsid w:val="56198266"/>
    <w:rsid w:val="561DDC61"/>
    <w:rsid w:val="56285E56"/>
    <w:rsid w:val="5637B89B"/>
    <w:rsid w:val="563DD576"/>
    <w:rsid w:val="564E2393"/>
    <w:rsid w:val="566ACA01"/>
    <w:rsid w:val="5694C814"/>
    <w:rsid w:val="569D9D43"/>
    <w:rsid w:val="56A12AC3"/>
    <w:rsid w:val="56A3B8F4"/>
    <w:rsid w:val="56AB7BBB"/>
    <w:rsid w:val="56B849D7"/>
    <w:rsid w:val="56E1C7EA"/>
    <w:rsid w:val="56F25415"/>
    <w:rsid w:val="57054872"/>
    <w:rsid w:val="5718E612"/>
    <w:rsid w:val="57340914"/>
    <w:rsid w:val="574583FA"/>
    <w:rsid w:val="57595490"/>
    <w:rsid w:val="575D4DAC"/>
    <w:rsid w:val="575E6A9D"/>
    <w:rsid w:val="5764D06A"/>
    <w:rsid w:val="577BF5FB"/>
    <w:rsid w:val="5787589A"/>
    <w:rsid w:val="578A0E1A"/>
    <w:rsid w:val="578E9E83"/>
    <w:rsid w:val="57984F50"/>
    <w:rsid w:val="57A566C7"/>
    <w:rsid w:val="57AA6891"/>
    <w:rsid w:val="57C6EABB"/>
    <w:rsid w:val="57D4F350"/>
    <w:rsid w:val="57DC0588"/>
    <w:rsid w:val="57F52918"/>
    <w:rsid w:val="57F850A4"/>
    <w:rsid w:val="5830449D"/>
    <w:rsid w:val="583AF3E5"/>
    <w:rsid w:val="58484F64"/>
    <w:rsid w:val="5852E94A"/>
    <w:rsid w:val="587BC84B"/>
    <w:rsid w:val="587D0466"/>
    <w:rsid w:val="5891F6E1"/>
    <w:rsid w:val="58A03BF2"/>
    <w:rsid w:val="58A5E38D"/>
    <w:rsid w:val="58A7F031"/>
    <w:rsid w:val="58B0E8D8"/>
    <w:rsid w:val="58BD5F44"/>
    <w:rsid w:val="58C0F96C"/>
    <w:rsid w:val="58E558BC"/>
    <w:rsid w:val="58EFE6D2"/>
    <w:rsid w:val="58F5FAD6"/>
    <w:rsid w:val="58FD43B0"/>
    <w:rsid w:val="5902FB7E"/>
    <w:rsid w:val="590E3F7B"/>
    <w:rsid w:val="591AB9D3"/>
    <w:rsid w:val="592B031B"/>
    <w:rsid w:val="593913E2"/>
    <w:rsid w:val="59394267"/>
    <w:rsid w:val="593C6A39"/>
    <w:rsid w:val="5954F800"/>
    <w:rsid w:val="5978BEF6"/>
    <w:rsid w:val="597BA8B0"/>
    <w:rsid w:val="597FA140"/>
    <w:rsid w:val="59850B0B"/>
    <w:rsid w:val="59888E73"/>
    <w:rsid w:val="598F3F83"/>
    <w:rsid w:val="59949298"/>
    <w:rsid w:val="59A9A525"/>
    <w:rsid w:val="59AF4268"/>
    <w:rsid w:val="59AFA4D1"/>
    <w:rsid w:val="59B9A727"/>
    <w:rsid w:val="59BA9266"/>
    <w:rsid w:val="59BC0B44"/>
    <w:rsid w:val="59C22994"/>
    <w:rsid w:val="59C3DD19"/>
    <w:rsid w:val="59DE8861"/>
    <w:rsid w:val="59E51F30"/>
    <w:rsid w:val="59F4B321"/>
    <w:rsid w:val="59F50BB6"/>
    <w:rsid w:val="5A0BF6A2"/>
    <w:rsid w:val="5A1380A0"/>
    <w:rsid w:val="5A24E78D"/>
    <w:rsid w:val="5A2EE5D9"/>
    <w:rsid w:val="5A4172A5"/>
    <w:rsid w:val="5A43BE89"/>
    <w:rsid w:val="5A443AAB"/>
    <w:rsid w:val="5A61D539"/>
    <w:rsid w:val="5A61DD1C"/>
    <w:rsid w:val="5A6B8C29"/>
    <w:rsid w:val="5A7095DB"/>
    <w:rsid w:val="5A718D77"/>
    <w:rsid w:val="5A762115"/>
    <w:rsid w:val="5A8A6FB9"/>
    <w:rsid w:val="5A98F040"/>
    <w:rsid w:val="5A9D8A64"/>
    <w:rsid w:val="5A9DA2E9"/>
    <w:rsid w:val="5AB209F1"/>
    <w:rsid w:val="5AB71DA0"/>
    <w:rsid w:val="5AC36B9E"/>
    <w:rsid w:val="5AD651D4"/>
    <w:rsid w:val="5AD6AD00"/>
    <w:rsid w:val="5AEFE99D"/>
    <w:rsid w:val="5B07B97F"/>
    <w:rsid w:val="5B281D8C"/>
    <w:rsid w:val="5B2828C4"/>
    <w:rsid w:val="5B296B00"/>
    <w:rsid w:val="5B365BDD"/>
    <w:rsid w:val="5B3974CA"/>
    <w:rsid w:val="5B4171EC"/>
    <w:rsid w:val="5B49D84B"/>
    <w:rsid w:val="5B556E39"/>
    <w:rsid w:val="5B7E66AC"/>
    <w:rsid w:val="5B83C536"/>
    <w:rsid w:val="5B981DB2"/>
    <w:rsid w:val="5B981F41"/>
    <w:rsid w:val="5BD193D9"/>
    <w:rsid w:val="5C0AA98F"/>
    <w:rsid w:val="5C144539"/>
    <w:rsid w:val="5C221161"/>
    <w:rsid w:val="5C25C9D0"/>
    <w:rsid w:val="5C26E056"/>
    <w:rsid w:val="5C327E02"/>
    <w:rsid w:val="5C36B10E"/>
    <w:rsid w:val="5C48AE3D"/>
    <w:rsid w:val="5C532C36"/>
    <w:rsid w:val="5C545C94"/>
    <w:rsid w:val="5C76E3CD"/>
    <w:rsid w:val="5C7737EF"/>
    <w:rsid w:val="5C8E6C79"/>
    <w:rsid w:val="5C900839"/>
    <w:rsid w:val="5C952D9D"/>
    <w:rsid w:val="5C96689E"/>
    <w:rsid w:val="5C99C173"/>
    <w:rsid w:val="5CC41906"/>
    <w:rsid w:val="5CCC63A4"/>
    <w:rsid w:val="5CE397A9"/>
    <w:rsid w:val="5CF1DCBF"/>
    <w:rsid w:val="5D049CE3"/>
    <w:rsid w:val="5D0929C8"/>
    <w:rsid w:val="5D171F58"/>
    <w:rsid w:val="5D1E376D"/>
    <w:rsid w:val="5D28FE3D"/>
    <w:rsid w:val="5D314C1D"/>
    <w:rsid w:val="5D43E5C5"/>
    <w:rsid w:val="5D5C07F8"/>
    <w:rsid w:val="5D7002D1"/>
    <w:rsid w:val="5D7238A5"/>
    <w:rsid w:val="5D92B2BC"/>
    <w:rsid w:val="5DA41ED2"/>
    <w:rsid w:val="5DAC721F"/>
    <w:rsid w:val="5DC93090"/>
    <w:rsid w:val="5DDE2F9F"/>
    <w:rsid w:val="5DFEA0FB"/>
    <w:rsid w:val="5E00C268"/>
    <w:rsid w:val="5E258989"/>
    <w:rsid w:val="5E2BB3BA"/>
    <w:rsid w:val="5E2C14DB"/>
    <w:rsid w:val="5E43539B"/>
    <w:rsid w:val="5E4ABEC5"/>
    <w:rsid w:val="5E5BCAAA"/>
    <w:rsid w:val="5E6243AB"/>
    <w:rsid w:val="5E68E46B"/>
    <w:rsid w:val="5E695337"/>
    <w:rsid w:val="5E70081F"/>
    <w:rsid w:val="5E7562B7"/>
    <w:rsid w:val="5E80AACE"/>
    <w:rsid w:val="5E9D6D0F"/>
    <w:rsid w:val="5E9F9BAA"/>
    <w:rsid w:val="5ECB17B5"/>
    <w:rsid w:val="5ECC12D9"/>
    <w:rsid w:val="5ED2A8BC"/>
    <w:rsid w:val="5ED95A87"/>
    <w:rsid w:val="5EDED61A"/>
    <w:rsid w:val="5EE0445F"/>
    <w:rsid w:val="5EE58A8D"/>
    <w:rsid w:val="5F0A80FF"/>
    <w:rsid w:val="5F28C3FE"/>
    <w:rsid w:val="5F3073C1"/>
    <w:rsid w:val="5F32B5BB"/>
    <w:rsid w:val="5F5031DA"/>
    <w:rsid w:val="5F549119"/>
    <w:rsid w:val="5F58E193"/>
    <w:rsid w:val="5F596ED5"/>
    <w:rsid w:val="5F6CE96F"/>
    <w:rsid w:val="5F755AAD"/>
    <w:rsid w:val="5F7D31D5"/>
    <w:rsid w:val="5FC3A8D6"/>
    <w:rsid w:val="5FD91E89"/>
    <w:rsid w:val="5FE5624C"/>
    <w:rsid w:val="5FF72D23"/>
    <w:rsid w:val="60004625"/>
    <w:rsid w:val="600AC664"/>
    <w:rsid w:val="600D3B85"/>
    <w:rsid w:val="601D0C71"/>
    <w:rsid w:val="6022A27C"/>
    <w:rsid w:val="6025A267"/>
    <w:rsid w:val="602AED7C"/>
    <w:rsid w:val="602CCB03"/>
    <w:rsid w:val="6034C67C"/>
    <w:rsid w:val="603C6E6B"/>
    <w:rsid w:val="6040BCA0"/>
    <w:rsid w:val="60576C24"/>
    <w:rsid w:val="6059DEE9"/>
    <w:rsid w:val="60630D70"/>
    <w:rsid w:val="6063B0C3"/>
    <w:rsid w:val="60674964"/>
    <w:rsid w:val="60A0A0AD"/>
    <w:rsid w:val="60A73C11"/>
    <w:rsid w:val="60A9CFD3"/>
    <w:rsid w:val="60BBEF2D"/>
    <w:rsid w:val="60BD7CBA"/>
    <w:rsid w:val="60CD0C84"/>
    <w:rsid w:val="60CF4DF7"/>
    <w:rsid w:val="60E75197"/>
    <w:rsid w:val="60F165B9"/>
    <w:rsid w:val="612BE361"/>
    <w:rsid w:val="612E2B3C"/>
    <w:rsid w:val="614747C9"/>
    <w:rsid w:val="6150F0D7"/>
    <w:rsid w:val="6174006D"/>
    <w:rsid w:val="6177E725"/>
    <w:rsid w:val="6182BC68"/>
    <w:rsid w:val="61914C0F"/>
    <w:rsid w:val="61A9632A"/>
    <w:rsid w:val="61B86514"/>
    <w:rsid w:val="61DF5345"/>
    <w:rsid w:val="61EB00CE"/>
    <w:rsid w:val="6200B0ED"/>
    <w:rsid w:val="6212A259"/>
    <w:rsid w:val="623B3189"/>
    <w:rsid w:val="6256D696"/>
    <w:rsid w:val="625EC8BD"/>
    <w:rsid w:val="625EF08C"/>
    <w:rsid w:val="626B5E02"/>
    <w:rsid w:val="626BCEBA"/>
    <w:rsid w:val="62762820"/>
    <w:rsid w:val="62768780"/>
    <w:rsid w:val="62848734"/>
    <w:rsid w:val="62AB0A58"/>
    <w:rsid w:val="62AC19FB"/>
    <w:rsid w:val="62B5FF4B"/>
    <w:rsid w:val="62C2AC4B"/>
    <w:rsid w:val="62C9D97A"/>
    <w:rsid w:val="62DB0472"/>
    <w:rsid w:val="62DDCD7A"/>
    <w:rsid w:val="62E18EBA"/>
    <w:rsid w:val="62F15C0F"/>
    <w:rsid w:val="6305D359"/>
    <w:rsid w:val="630A8ADD"/>
    <w:rsid w:val="630CDF2A"/>
    <w:rsid w:val="63108053"/>
    <w:rsid w:val="631BF729"/>
    <w:rsid w:val="631D8A14"/>
    <w:rsid w:val="6327367E"/>
    <w:rsid w:val="63292BD2"/>
    <w:rsid w:val="632BD289"/>
    <w:rsid w:val="633CA924"/>
    <w:rsid w:val="63424339"/>
    <w:rsid w:val="636C2C02"/>
    <w:rsid w:val="6374AFB4"/>
    <w:rsid w:val="63A0D85C"/>
    <w:rsid w:val="63A3F88C"/>
    <w:rsid w:val="63AE58A4"/>
    <w:rsid w:val="63BDA90F"/>
    <w:rsid w:val="63C21E78"/>
    <w:rsid w:val="63CE59B9"/>
    <w:rsid w:val="63D69921"/>
    <w:rsid w:val="63E24613"/>
    <w:rsid w:val="63FEFEFC"/>
    <w:rsid w:val="640E8983"/>
    <w:rsid w:val="64104E65"/>
    <w:rsid w:val="641B0503"/>
    <w:rsid w:val="641D7350"/>
    <w:rsid w:val="6423E5CC"/>
    <w:rsid w:val="64240C23"/>
    <w:rsid w:val="6431DD96"/>
    <w:rsid w:val="64376328"/>
    <w:rsid w:val="643767EA"/>
    <w:rsid w:val="643A4BD0"/>
    <w:rsid w:val="643AD530"/>
    <w:rsid w:val="6440273A"/>
    <w:rsid w:val="64412BD2"/>
    <w:rsid w:val="644CAF8F"/>
    <w:rsid w:val="645FED0B"/>
    <w:rsid w:val="64796438"/>
    <w:rsid w:val="64868D9F"/>
    <w:rsid w:val="648C1FED"/>
    <w:rsid w:val="64B5C45D"/>
    <w:rsid w:val="64B79C13"/>
    <w:rsid w:val="64B9093A"/>
    <w:rsid w:val="64F4B75F"/>
    <w:rsid w:val="652B32A4"/>
    <w:rsid w:val="6534DE46"/>
    <w:rsid w:val="6538F8E1"/>
    <w:rsid w:val="653A78A1"/>
    <w:rsid w:val="6575EFD9"/>
    <w:rsid w:val="65863C31"/>
    <w:rsid w:val="65A6A348"/>
    <w:rsid w:val="65B9858C"/>
    <w:rsid w:val="65BD3A06"/>
    <w:rsid w:val="65CF5807"/>
    <w:rsid w:val="65D89B60"/>
    <w:rsid w:val="65DA55BA"/>
    <w:rsid w:val="65E0A9AA"/>
    <w:rsid w:val="65F10773"/>
    <w:rsid w:val="66246DE9"/>
    <w:rsid w:val="6626C7D4"/>
    <w:rsid w:val="662A4C11"/>
    <w:rsid w:val="663DF985"/>
    <w:rsid w:val="66437289"/>
    <w:rsid w:val="6647842C"/>
    <w:rsid w:val="664BD24D"/>
    <w:rsid w:val="66518DF8"/>
    <w:rsid w:val="665FB3AF"/>
    <w:rsid w:val="66941443"/>
    <w:rsid w:val="6699711F"/>
    <w:rsid w:val="66A4970A"/>
    <w:rsid w:val="66ACA37A"/>
    <w:rsid w:val="66B3BA83"/>
    <w:rsid w:val="66B3F263"/>
    <w:rsid w:val="66CAD8FA"/>
    <w:rsid w:val="66D55FDF"/>
    <w:rsid w:val="66F184AF"/>
    <w:rsid w:val="66F951BF"/>
    <w:rsid w:val="66FC94F0"/>
    <w:rsid w:val="67085A93"/>
    <w:rsid w:val="67108C05"/>
    <w:rsid w:val="673CBA70"/>
    <w:rsid w:val="673CCA61"/>
    <w:rsid w:val="673DE9CB"/>
    <w:rsid w:val="674424ED"/>
    <w:rsid w:val="674CE3AF"/>
    <w:rsid w:val="675C40A0"/>
    <w:rsid w:val="6762673A"/>
    <w:rsid w:val="676749AD"/>
    <w:rsid w:val="676B1AE7"/>
    <w:rsid w:val="6771C357"/>
    <w:rsid w:val="6771D328"/>
    <w:rsid w:val="67A9CFBE"/>
    <w:rsid w:val="67D5E3FD"/>
    <w:rsid w:val="67E33C93"/>
    <w:rsid w:val="67F8A896"/>
    <w:rsid w:val="68018D10"/>
    <w:rsid w:val="68157374"/>
    <w:rsid w:val="68345575"/>
    <w:rsid w:val="68370D45"/>
    <w:rsid w:val="68389F2B"/>
    <w:rsid w:val="684BFEDF"/>
    <w:rsid w:val="6853A9DA"/>
    <w:rsid w:val="685AA3BB"/>
    <w:rsid w:val="685E2C40"/>
    <w:rsid w:val="6863CB54"/>
    <w:rsid w:val="6863E2A5"/>
    <w:rsid w:val="68727BE6"/>
    <w:rsid w:val="687A4D52"/>
    <w:rsid w:val="688A9399"/>
    <w:rsid w:val="688C5B09"/>
    <w:rsid w:val="68963FCC"/>
    <w:rsid w:val="68AA72E0"/>
    <w:rsid w:val="68C3AEDF"/>
    <w:rsid w:val="68CFD6A2"/>
    <w:rsid w:val="68D309B9"/>
    <w:rsid w:val="68E69654"/>
    <w:rsid w:val="68F9401E"/>
    <w:rsid w:val="6918C6A6"/>
    <w:rsid w:val="69223945"/>
    <w:rsid w:val="69277F54"/>
    <w:rsid w:val="696C5ECE"/>
    <w:rsid w:val="698752F2"/>
    <w:rsid w:val="69975563"/>
    <w:rsid w:val="69979FFB"/>
    <w:rsid w:val="69A00DAC"/>
    <w:rsid w:val="69ADFB13"/>
    <w:rsid w:val="69B32567"/>
    <w:rsid w:val="69B7AAF5"/>
    <w:rsid w:val="69D0F6C5"/>
    <w:rsid w:val="69DDB683"/>
    <w:rsid w:val="69E0F6DB"/>
    <w:rsid w:val="69E43087"/>
    <w:rsid w:val="69E4E843"/>
    <w:rsid w:val="69EC9CDE"/>
    <w:rsid w:val="69F68596"/>
    <w:rsid w:val="6A349E11"/>
    <w:rsid w:val="6A4CD6A8"/>
    <w:rsid w:val="6A53CA6C"/>
    <w:rsid w:val="6A74B121"/>
    <w:rsid w:val="6A8194FF"/>
    <w:rsid w:val="6A84D9BE"/>
    <w:rsid w:val="6A9F8D78"/>
    <w:rsid w:val="6AA90E21"/>
    <w:rsid w:val="6AADDACC"/>
    <w:rsid w:val="6AAFBBD8"/>
    <w:rsid w:val="6AC34A67"/>
    <w:rsid w:val="6ACCDD7F"/>
    <w:rsid w:val="6AD9DD2E"/>
    <w:rsid w:val="6ADD0483"/>
    <w:rsid w:val="6ADE981E"/>
    <w:rsid w:val="6AE2037C"/>
    <w:rsid w:val="6AF172BF"/>
    <w:rsid w:val="6B02493C"/>
    <w:rsid w:val="6B13708A"/>
    <w:rsid w:val="6B399BC1"/>
    <w:rsid w:val="6B400249"/>
    <w:rsid w:val="6B42BAC3"/>
    <w:rsid w:val="6B580802"/>
    <w:rsid w:val="6B5F956A"/>
    <w:rsid w:val="6B6F1358"/>
    <w:rsid w:val="6B747D2F"/>
    <w:rsid w:val="6B9511E6"/>
    <w:rsid w:val="6BA308AD"/>
    <w:rsid w:val="6BB0F4DA"/>
    <w:rsid w:val="6BBD2518"/>
    <w:rsid w:val="6BC2399F"/>
    <w:rsid w:val="6BC5BB29"/>
    <w:rsid w:val="6BCAF95B"/>
    <w:rsid w:val="6BCCBD17"/>
    <w:rsid w:val="6BD733A6"/>
    <w:rsid w:val="6BE1C29D"/>
    <w:rsid w:val="6BE488B7"/>
    <w:rsid w:val="6BE48B13"/>
    <w:rsid w:val="6BF34ADA"/>
    <w:rsid w:val="6BFC5F18"/>
    <w:rsid w:val="6C024549"/>
    <w:rsid w:val="6C08D754"/>
    <w:rsid w:val="6C197DA4"/>
    <w:rsid w:val="6C1A427A"/>
    <w:rsid w:val="6C2AC2FB"/>
    <w:rsid w:val="6C2CDDF3"/>
    <w:rsid w:val="6C5B3699"/>
    <w:rsid w:val="6C6E5C9F"/>
    <w:rsid w:val="6C6F8374"/>
    <w:rsid w:val="6C86BD3F"/>
    <w:rsid w:val="6C8AE3EF"/>
    <w:rsid w:val="6C8F1DA2"/>
    <w:rsid w:val="6C9F157C"/>
    <w:rsid w:val="6CA8AFA0"/>
    <w:rsid w:val="6CBB8CAC"/>
    <w:rsid w:val="6CC7DACD"/>
    <w:rsid w:val="6CC92E1A"/>
    <w:rsid w:val="6CCBCCFA"/>
    <w:rsid w:val="6CCFDFA8"/>
    <w:rsid w:val="6CD2D1D2"/>
    <w:rsid w:val="6CDABE5A"/>
    <w:rsid w:val="6CE67E13"/>
    <w:rsid w:val="6CEEA754"/>
    <w:rsid w:val="6CFFFD2F"/>
    <w:rsid w:val="6D0843A7"/>
    <w:rsid w:val="6D10A980"/>
    <w:rsid w:val="6D14CE09"/>
    <w:rsid w:val="6D1D7D9D"/>
    <w:rsid w:val="6D30D778"/>
    <w:rsid w:val="6D33BDE3"/>
    <w:rsid w:val="6D4728BA"/>
    <w:rsid w:val="6D4F5291"/>
    <w:rsid w:val="6D5E59C6"/>
    <w:rsid w:val="6D67F35B"/>
    <w:rsid w:val="6D738B66"/>
    <w:rsid w:val="6D782C5C"/>
    <w:rsid w:val="6D794427"/>
    <w:rsid w:val="6D94FF89"/>
    <w:rsid w:val="6DA60EB9"/>
    <w:rsid w:val="6DAA599C"/>
    <w:rsid w:val="6DAC513D"/>
    <w:rsid w:val="6DB25521"/>
    <w:rsid w:val="6DB60929"/>
    <w:rsid w:val="6DE36C34"/>
    <w:rsid w:val="6DE6F20D"/>
    <w:rsid w:val="6E2F4FF1"/>
    <w:rsid w:val="6E31797C"/>
    <w:rsid w:val="6E3A6601"/>
    <w:rsid w:val="6E40A9AD"/>
    <w:rsid w:val="6E597A1D"/>
    <w:rsid w:val="6E6416B8"/>
    <w:rsid w:val="6E68DFFD"/>
    <w:rsid w:val="6E74A3FB"/>
    <w:rsid w:val="6E8307B1"/>
    <w:rsid w:val="6E9848E7"/>
    <w:rsid w:val="6E9C0561"/>
    <w:rsid w:val="6EA845CC"/>
    <w:rsid w:val="6ECA3A28"/>
    <w:rsid w:val="6ED070CD"/>
    <w:rsid w:val="6EFAB2AC"/>
    <w:rsid w:val="6F0E690C"/>
    <w:rsid w:val="6F1542AF"/>
    <w:rsid w:val="6F1E3852"/>
    <w:rsid w:val="6F2B7E6D"/>
    <w:rsid w:val="6F30A99C"/>
    <w:rsid w:val="6F35C02C"/>
    <w:rsid w:val="6F3B33BE"/>
    <w:rsid w:val="6F646A3A"/>
    <w:rsid w:val="6F6EFADE"/>
    <w:rsid w:val="6F7CDADA"/>
    <w:rsid w:val="6F8414D5"/>
    <w:rsid w:val="6F93AAE3"/>
    <w:rsid w:val="6FA0D1A7"/>
    <w:rsid w:val="6FB1A21A"/>
    <w:rsid w:val="6FBE82FB"/>
    <w:rsid w:val="6FC9E13F"/>
    <w:rsid w:val="6FCCCB5C"/>
    <w:rsid w:val="6FD3150A"/>
    <w:rsid w:val="6FD61795"/>
    <w:rsid w:val="6FDAAD07"/>
    <w:rsid w:val="6FDB9B0A"/>
    <w:rsid w:val="6FE36994"/>
    <w:rsid w:val="6FF53624"/>
    <w:rsid w:val="70011FA4"/>
    <w:rsid w:val="7002EF04"/>
    <w:rsid w:val="7010142B"/>
    <w:rsid w:val="701EDDC0"/>
    <w:rsid w:val="70299E8B"/>
    <w:rsid w:val="7030F161"/>
    <w:rsid w:val="703B28E1"/>
    <w:rsid w:val="70467C01"/>
    <w:rsid w:val="70488326"/>
    <w:rsid w:val="70495598"/>
    <w:rsid w:val="705FBBAC"/>
    <w:rsid w:val="706F011E"/>
    <w:rsid w:val="707CF1DA"/>
    <w:rsid w:val="708CC078"/>
    <w:rsid w:val="70D23D5E"/>
    <w:rsid w:val="70D30790"/>
    <w:rsid w:val="70EB2910"/>
    <w:rsid w:val="70F0D163"/>
    <w:rsid w:val="70F5432C"/>
    <w:rsid w:val="711767E8"/>
    <w:rsid w:val="7122B0CD"/>
    <w:rsid w:val="7154B96C"/>
    <w:rsid w:val="717181FE"/>
    <w:rsid w:val="71921F26"/>
    <w:rsid w:val="71A77862"/>
    <w:rsid w:val="71BAEB1C"/>
    <w:rsid w:val="71BFFF98"/>
    <w:rsid w:val="71C1954E"/>
    <w:rsid w:val="71C7E312"/>
    <w:rsid w:val="71C9FC39"/>
    <w:rsid w:val="71D22589"/>
    <w:rsid w:val="71DA5A5E"/>
    <w:rsid w:val="71F30364"/>
    <w:rsid w:val="7206199D"/>
    <w:rsid w:val="720E4963"/>
    <w:rsid w:val="72154CBD"/>
    <w:rsid w:val="7223D9D2"/>
    <w:rsid w:val="7238C431"/>
    <w:rsid w:val="72548112"/>
    <w:rsid w:val="72835101"/>
    <w:rsid w:val="72AD603D"/>
    <w:rsid w:val="72CB1040"/>
    <w:rsid w:val="72CBA522"/>
    <w:rsid w:val="72E812C6"/>
    <w:rsid w:val="72EF09E4"/>
    <w:rsid w:val="73062173"/>
    <w:rsid w:val="73098559"/>
    <w:rsid w:val="730B805C"/>
    <w:rsid w:val="7331EBF9"/>
    <w:rsid w:val="735FA9F8"/>
    <w:rsid w:val="736751AC"/>
    <w:rsid w:val="7372B55E"/>
    <w:rsid w:val="737341AE"/>
    <w:rsid w:val="73735726"/>
    <w:rsid w:val="7379746E"/>
    <w:rsid w:val="73ADE870"/>
    <w:rsid w:val="73AFE34E"/>
    <w:rsid w:val="73C3C5C8"/>
    <w:rsid w:val="73CD6B06"/>
    <w:rsid w:val="73CDF8F5"/>
    <w:rsid w:val="73CF43B8"/>
    <w:rsid w:val="73D2D81F"/>
    <w:rsid w:val="73E40967"/>
    <w:rsid w:val="73EB5631"/>
    <w:rsid w:val="74020D1B"/>
    <w:rsid w:val="74092AD7"/>
    <w:rsid w:val="7410210C"/>
    <w:rsid w:val="74145A09"/>
    <w:rsid w:val="742DBE6B"/>
    <w:rsid w:val="745EBAC5"/>
    <w:rsid w:val="746143AB"/>
    <w:rsid w:val="746D0C91"/>
    <w:rsid w:val="749740A1"/>
    <w:rsid w:val="749EC708"/>
    <w:rsid w:val="74B07539"/>
    <w:rsid w:val="74DE602A"/>
    <w:rsid w:val="74EC0836"/>
    <w:rsid w:val="74F13029"/>
    <w:rsid w:val="74FA2D01"/>
    <w:rsid w:val="750CBA18"/>
    <w:rsid w:val="751FAE62"/>
    <w:rsid w:val="751FB54E"/>
    <w:rsid w:val="75259929"/>
    <w:rsid w:val="7530B7FF"/>
    <w:rsid w:val="75364188"/>
    <w:rsid w:val="7537AE4A"/>
    <w:rsid w:val="753C6C71"/>
    <w:rsid w:val="7540E67D"/>
    <w:rsid w:val="754AA642"/>
    <w:rsid w:val="7554A934"/>
    <w:rsid w:val="755643BD"/>
    <w:rsid w:val="7583F855"/>
    <w:rsid w:val="75915C7A"/>
    <w:rsid w:val="75AB8850"/>
    <w:rsid w:val="75C0BFC2"/>
    <w:rsid w:val="75D1581D"/>
    <w:rsid w:val="75ECFFF6"/>
    <w:rsid w:val="75ED9540"/>
    <w:rsid w:val="760E9C04"/>
    <w:rsid w:val="760EB690"/>
    <w:rsid w:val="7616E30E"/>
    <w:rsid w:val="76174DBE"/>
    <w:rsid w:val="7626CC42"/>
    <w:rsid w:val="763F70AF"/>
    <w:rsid w:val="766FE070"/>
    <w:rsid w:val="76748480"/>
    <w:rsid w:val="768380CF"/>
    <w:rsid w:val="76943679"/>
    <w:rsid w:val="76A9418C"/>
    <w:rsid w:val="76EB9CE6"/>
    <w:rsid w:val="76F04ADF"/>
    <w:rsid w:val="77052E8F"/>
    <w:rsid w:val="770E790D"/>
    <w:rsid w:val="77125419"/>
    <w:rsid w:val="77187808"/>
    <w:rsid w:val="7722C532"/>
    <w:rsid w:val="773B6E4A"/>
    <w:rsid w:val="7762651C"/>
    <w:rsid w:val="77849FEE"/>
    <w:rsid w:val="778B1913"/>
    <w:rsid w:val="779553C0"/>
    <w:rsid w:val="7797CB40"/>
    <w:rsid w:val="77A0100C"/>
    <w:rsid w:val="77A0C975"/>
    <w:rsid w:val="77A3EBC7"/>
    <w:rsid w:val="77A99878"/>
    <w:rsid w:val="77E020B6"/>
    <w:rsid w:val="77F48CC5"/>
    <w:rsid w:val="7804813B"/>
    <w:rsid w:val="7814EAB6"/>
    <w:rsid w:val="782C42E6"/>
    <w:rsid w:val="78555038"/>
    <w:rsid w:val="785C67AA"/>
    <w:rsid w:val="785EFCC1"/>
    <w:rsid w:val="7863D6AE"/>
    <w:rsid w:val="78663541"/>
    <w:rsid w:val="78679C44"/>
    <w:rsid w:val="787000A3"/>
    <w:rsid w:val="7873AB0F"/>
    <w:rsid w:val="7884E927"/>
    <w:rsid w:val="788F36BB"/>
    <w:rsid w:val="7891938A"/>
    <w:rsid w:val="7899AB24"/>
    <w:rsid w:val="78A23767"/>
    <w:rsid w:val="78C24C1D"/>
    <w:rsid w:val="78D0D1F6"/>
    <w:rsid w:val="78D196E2"/>
    <w:rsid w:val="78D57B2F"/>
    <w:rsid w:val="78F6889C"/>
    <w:rsid w:val="790C753A"/>
    <w:rsid w:val="790DDD5C"/>
    <w:rsid w:val="79116A50"/>
    <w:rsid w:val="79132CF0"/>
    <w:rsid w:val="7916A0DF"/>
    <w:rsid w:val="79412C3B"/>
    <w:rsid w:val="79524DE5"/>
    <w:rsid w:val="7961EE2D"/>
    <w:rsid w:val="7966BA8E"/>
    <w:rsid w:val="796F5DA1"/>
    <w:rsid w:val="797B9F30"/>
    <w:rsid w:val="797EACAA"/>
    <w:rsid w:val="79A8F6EC"/>
    <w:rsid w:val="79A99768"/>
    <w:rsid w:val="79B144D5"/>
    <w:rsid w:val="79BCD27C"/>
    <w:rsid w:val="79C1236B"/>
    <w:rsid w:val="79CDA2CC"/>
    <w:rsid w:val="79E06147"/>
    <w:rsid w:val="79EB2624"/>
    <w:rsid w:val="79F47DBA"/>
    <w:rsid w:val="7A0ECD1F"/>
    <w:rsid w:val="7A16A371"/>
    <w:rsid w:val="7A18809F"/>
    <w:rsid w:val="7A1E301F"/>
    <w:rsid w:val="7A21ABB4"/>
    <w:rsid w:val="7A3BFA31"/>
    <w:rsid w:val="7A3F70BE"/>
    <w:rsid w:val="7A4392CF"/>
    <w:rsid w:val="7A4722EB"/>
    <w:rsid w:val="7A7D2D62"/>
    <w:rsid w:val="7A83223C"/>
    <w:rsid w:val="7A895A34"/>
    <w:rsid w:val="7A968010"/>
    <w:rsid w:val="7A9C54D4"/>
    <w:rsid w:val="7A9DFC95"/>
    <w:rsid w:val="7AAACAD0"/>
    <w:rsid w:val="7AE38291"/>
    <w:rsid w:val="7AEACE4E"/>
    <w:rsid w:val="7AEADF2D"/>
    <w:rsid w:val="7AEB6254"/>
    <w:rsid w:val="7AEBFFF2"/>
    <w:rsid w:val="7AEC24F7"/>
    <w:rsid w:val="7AF00986"/>
    <w:rsid w:val="7B0B716E"/>
    <w:rsid w:val="7B0D8300"/>
    <w:rsid w:val="7B0F45F8"/>
    <w:rsid w:val="7B189AB6"/>
    <w:rsid w:val="7B23A710"/>
    <w:rsid w:val="7B25937B"/>
    <w:rsid w:val="7B3A65FC"/>
    <w:rsid w:val="7B3FF20B"/>
    <w:rsid w:val="7B434784"/>
    <w:rsid w:val="7B59F883"/>
    <w:rsid w:val="7B82F649"/>
    <w:rsid w:val="7B8A969A"/>
    <w:rsid w:val="7B9B91F0"/>
    <w:rsid w:val="7B9BE6DA"/>
    <w:rsid w:val="7B9C89B8"/>
    <w:rsid w:val="7BB9FBB5"/>
    <w:rsid w:val="7BBBF93B"/>
    <w:rsid w:val="7BCC5D30"/>
    <w:rsid w:val="7BD1E18A"/>
    <w:rsid w:val="7BD348E2"/>
    <w:rsid w:val="7BD35288"/>
    <w:rsid w:val="7BF2225E"/>
    <w:rsid w:val="7BF2C425"/>
    <w:rsid w:val="7BFA6425"/>
    <w:rsid w:val="7BFC2497"/>
    <w:rsid w:val="7C097E59"/>
    <w:rsid w:val="7C1063D4"/>
    <w:rsid w:val="7C198FAD"/>
    <w:rsid w:val="7C1DD6A2"/>
    <w:rsid w:val="7C606F2B"/>
    <w:rsid w:val="7C86FB1C"/>
    <w:rsid w:val="7C8E71D1"/>
    <w:rsid w:val="7C92BB6C"/>
    <w:rsid w:val="7C96DF78"/>
    <w:rsid w:val="7CADA669"/>
    <w:rsid w:val="7CC7CC05"/>
    <w:rsid w:val="7CCA0D82"/>
    <w:rsid w:val="7CDA95A5"/>
    <w:rsid w:val="7D19B549"/>
    <w:rsid w:val="7D24E73F"/>
    <w:rsid w:val="7D29D9E0"/>
    <w:rsid w:val="7D34FFBF"/>
    <w:rsid w:val="7D3E1A6D"/>
    <w:rsid w:val="7D506817"/>
    <w:rsid w:val="7D6935D1"/>
    <w:rsid w:val="7D7C49A7"/>
    <w:rsid w:val="7D7E5591"/>
    <w:rsid w:val="7D8B0B13"/>
    <w:rsid w:val="7D8B2222"/>
    <w:rsid w:val="7D9858C2"/>
    <w:rsid w:val="7D99839A"/>
    <w:rsid w:val="7D9FA3D1"/>
    <w:rsid w:val="7DB5456D"/>
    <w:rsid w:val="7DC27431"/>
    <w:rsid w:val="7DD102A4"/>
    <w:rsid w:val="7DDEBE36"/>
    <w:rsid w:val="7DE074CF"/>
    <w:rsid w:val="7DF8F3C5"/>
    <w:rsid w:val="7E26E303"/>
    <w:rsid w:val="7E2CD6B0"/>
    <w:rsid w:val="7E2EE6A7"/>
    <w:rsid w:val="7E43F402"/>
    <w:rsid w:val="7E556EF4"/>
    <w:rsid w:val="7E585F6D"/>
    <w:rsid w:val="7E5E9925"/>
    <w:rsid w:val="7E6A20F2"/>
    <w:rsid w:val="7E71CD63"/>
    <w:rsid w:val="7E7B1228"/>
    <w:rsid w:val="7E8EC7B2"/>
    <w:rsid w:val="7E939CD4"/>
    <w:rsid w:val="7EA62889"/>
    <w:rsid w:val="7EAF7DE8"/>
    <w:rsid w:val="7EB11C52"/>
    <w:rsid w:val="7EB8873A"/>
    <w:rsid w:val="7ED4606E"/>
    <w:rsid w:val="7EDD0210"/>
    <w:rsid w:val="7EE60154"/>
    <w:rsid w:val="7EE6E115"/>
    <w:rsid w:val="7F04D5CA"/>
    <w:rsid w:val="7F08143A"/>
    <w:rsid w:val="7F0C78D7"/>
    <w:rsid w:val="7F13D9ED"/>
    <w:rsid w:val="7F1D664C"/>
    <w:rsid w:val="7F24FBE3"/>
    <w:rsid w:val="7F3A0FBA"/>
    <w:rsid w:val="7FA2D3DD"/>
    <w:rsid w:val="7FA8C506"/>
    <w:rsid w:val="7FB04406"/>
    <w:rsid w:val="7FBB4A84"/>
    <w:rsid w:val="7FC3E7FF"/>
    <w:rsid w:val="7FEC4D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3E"/>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uiPriority w:val="99"/>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11433D"/>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light" w:hAnsi="Yu Gothic UI Semiligh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11433D"/>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 1,Bullet1,Section 5,Bullets Points,BulletPoints,Bullet point,List Paragraph1,List Paragraph11,Recommendation,Section heading,Numbered para,ES Paragraph,PBAC ES Paragraph,PBAC normal points,Bullet List,Listenabsatz 2,Lista viñeta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ullet 1 Char,Bullet1 Char,Section 5 Char,Bullets Points Char,BulletPoints Char,Bullet point Char,List Paragraph1 Char,List Paragraph11 Char,Recommendation Char,Section heading Char,Numbered para Char,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MT" w:hAnsi="Arial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MT" w:hAnsi="Arial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MT" w:hAnsi="Arial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3"/>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expandableitem">
    <w:name w:val="expandableitem"/>
    <w:basedOn w:val="DefaultParagraphFont"/>
    <w:rsid w:val="00912952"/>
  </w:style>
  <w:style w:type="character" w:customStyle="1" w:styleId="TableHeadingChar0">
    <w:name w:val="Table Heading Char"/>
    <w:basedOn w:val="DefaultParagraphFont"/>
    <w:link w:val="TableHeading0"/>
    <w:rsid w:val="00912952"/>
    <w:rPr>
      <w:rFonts w:ascii="Arial Narrow" w:hAnsi="Arial Narrow"/>
      <w:b/>
      <w:sz w:val="20"/>
    </w:rPr>
  </w:style>
  <w:style w:type="paragraph" w:customStyle="1" w:styleId="a-TEXT">
    <w:name w:val="a-TEXT"/>
    <w:basedOn w:val="Normal"/>
    <w:link w:val="a-TEXTChar"/>
    <w:qFormat/>
    <w:rsid w:val="00850A36"/>
    <w:pPr>
      <w:spacing w:after="120"/>
    </w:pPr>
    <w:rPr>
      <w:iCs/>
    </w:rPr>
  </w:style>
  <w:style w:type="character" w:customStyle="1" w:styleId="a-TEXTChar">
    <w:name w:val="a-TEXT Char"/>
    <w:basedOn w:val="DefaultParagraphFont"/>
    <w:link w:val="a-TEXT"/>
    <w:rsid w:val="00850A36"/>
    <w:rPr>
      <w:rFonts w:ascii="Franklin Gothic Book" w:hAnsi="Franklin Gothic Book"/>
      <w:iCs/>
    </w:rPr>
  </w:style>
  <w:style w:type="character" w:styleId="UnresolvedMention">
    <w:name w:val="Unresolved Mention"/>
    <w:basedOn w:val="DefaultParagraphFont"/>
    <w:uiPriority w:val="99"/>
    <w:semiHidden/>
    <w:unhideWhenUsed/>
    <w:rsid w:val="00135725"/>
    <w:rPr>
      <w:color w:val="605E5C"/>
      <w:shd w:val="clear" w:color="auto" w:fill="E1DFDD"/>
    </w:rPr>
  </w:style>
  <w:style w:type="character" w:styleId="Mention">
    <w:name w:val="Mention"/>
    <w:basedOn w:val="DefaultParagraphFont"/>
    <w:uiPriority w:val="99"/>
    <w:unhideWhenUsed/>
    <w:rsid w:val="00FF49F2"/>
    <w:rPr>
      <w:color w:val="2B579A"/>
      <w:shd w:val="clear" w:color="auto" w:fill="E1DFDD"/>
    </w:rPr>
  </w:style>
  <w:style w:type="paragraph" w:customStyle="1" w:styleId="BoxName0">
    <w:name w:val="BoxName"/>
    <w:basedOn w:val="Normal"/>
    <w:rsid w:val="00E55963"/>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E55963"/>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E55963"/>
    <w:pPr>
      <w:numPr>
        <w:numId w:val="46"/>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styleId="NormalWeb">
    <w:name w:val="Normal (Web)"/>
    <w:basedOn w:val="Normal"/>
    <w:uiPriority w:val="99"/>
    <w:semiHidden/>
    <w:unhideWhenUsed/>
    <w:rsid w:val="0003141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3">
    <w:name w:val="Table Grid3"/>
    <w:basedOn w:val="TableNormal"/>
    <w:next w:val="TableGrid"/>
    <w:uiPriority w:val="39"/>
    <w:rsid w:val="004334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6CC"/>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rsid w:val="002176CC"/>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2176CC"/>
    <w:rPr>
      <w:rFonts w:ascii="Book Antiqua" w:eastAsia="Times New Roman" w:hAnsi="Book Antiqua" w:cs="Times New Roman"/>
      <w:sz w:val="24"/>
      <w:szCs w:val="20"/>
    </w:rPr>
  </w:style>
  <w:style w:type="character" w:customStyle="1" w:styleId="normaltextrun">
    <w:name w:val="normaltextrun"/>
    <w:basedOn w:val="DefaultParagraphFont"/>
    <w:rsid w:val="00464464"/>
  </w:style>
  <w:style w:type="character" w:customStyle="1" w:styleId="eop">
    <w:name w:val="eop"/>
    <w:basedOn w:val="DefaultParagraphFont"/>
    <w:rsid w:val="0046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958">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5004620">
      <w:bodyDiv w:val="1"/>
      <w:marLeft w:val="0"/>
      <w:marRight w:val="0"/>
      <w:marTop w:val="0"/>
      <w:marBottom w:val="0"/>
      <w:divBdr>
        <w:top w:val="none" w:sz="0" w:space="0" w:color="auto"/>
        <w:left w:val="none" w:sz="0" w:space="0" w:color="auto"/>
        <w:bottom w:val="none" w:sz="0" w:space="0" w:color="auto"/>
        <w:right w:val="none" w:sz="0" w:space="0" w:color="auto"/>
      </w:divBdr>
      <w:divsChild>
        <w:div w:id="886650039">
          <w:marLeft w:val="547"/>
          <w:marRight w:val="0"/>
          <w:marTop w:val="0"/>
          <w:marBottom w:val="0"/>
          <w:divBdr>
            <w:top w:val="none" w:sz="0" w:space="0" w:color="auto"/>
            <w:left w:val="none" w:sz="0" w:space="0" w:color="auto"/>
            <w:bottom w:val="none" w:sz="0" w:space="0" w:color="auto"/>
            <w:right w:val="none" w:sz="0" w:space="0" w:color="auto"/>
          </w:divBdr>
        </w:div>
        <w:div w:id="977491827">
          <w:marLeft w:val="547"/>
          <w:marRight w:val="0"/>
          <w:marTop w:val="0"/>
          <w:marBottom w:val="0"/>
          <w:divBdr>
            <w:top w:val="none" w:sz="0" w:space="0" w:color="auto"/>
            <w:left w:val="none" w:sz="0" w:space="0" w:color="auto"/>
            <w:bottom w:val="none" w:sz="0" w:space="0" w:color="auto"/>
            <w:right w:val="none" w:sz="0" w:space="0" w:color="auto"/>
          </w:divBdr>
        </w:div>
        <w:div w:id="988636144">
          <w:marLeft w:val="547"/>
          <w:marRight w:val="0"/>
          <w:marTop w:val="0"/>
          <w:marBottom w:val="0"/>
          <w:divBdr>
            <w:top w:val="none" w:sz="0" w:space="0" w:color="auto"/>
            <w:left w:val="none" w:sz="0" w:space="0" w:color="auto"/>
            <w:bottom w:val="none" w:sz="0" w:space="0" w:color="auto"/>
            <w:right w:val="none" w:sz="0" w:space="0" w:color="auto"/>
          </w:divBdr>
        </w:div>
        <w:div w:id="1254242874">
          <w:marLeft w:val="547"/>
          <w:marRight w:val="0"/>
          <w:marTop w:val="0"/>
          <w:marBottom w:val="0"/>
          <w:divBdr>
            <w:top w:val="none" w:sz="0" w:space="0" w:color="auto"/>
            <w:left w:val="none" w:sz="0" w:space="0" w:color="auto"/>
            <w:bottom w:val="none" w:sz="0" w:space="0" w:color="auto"/>
            <w:right w:val="none" w:sz="0" w:space="0" w:color="auto"/>
          </w:divBdr>
        </w:div>
        <w:div w:id="1892843483">
          <w:marLeft w:val="547"/>
          <w:marRight w:val="0"/>
          <w:marTop w:val="0"/>
          <w:marBottom w:val="0"/>
          <w:divBdr>
            <w:top w:val="none" w:sz="0" w:space="0" w:color="auto"/>
            <w:left w:val="none" w:sz="0" w:space="0" w:color="auto"/>
            <w:bottom w:val="none" w:sz="0" w:space="0" w:color="auto"/>
            <w:right w:val="none" w:sz="0" w:space="0" w:color="auto"/>
          </w:divBdr>
        </w:div>
      </w:divsChild>
    </w:div>
    <w:div w:id="11541638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24292294">
      <w:bodyDiv w:val="1"/>
      <w:marLeft w:val="0"/>
      <w:marRight w:val="0"/>
      <w:marTop w:val="0"/>
      <w:marBottom w:val="0"/>
      <w:divBdr>
        <w:top w:val="none" w:sz="0" w:space="0" w:color="auto"/>
        <w:left w:val="none" w:sz="0" w:space="0" w:color="auto"/>
        <w:bottom w:val="none" w:sz="0" w:space="0" w:color="auto"/>
        <w:right w:val="none" w:sz="0" w:space="0" w:color="auto"/>
      </w:divBdr>
      <w:divsChild>
        <w:div w:id="1038511298">
          <w:marLeft w:val="547"/>
          <w:marRight w:val="0"/>
          <w:marTop w:val="0"/>
          <w:marBottom w:val="0"/>
          <w:divBdr>
            <w:top w:val="none" w:sz="0" w:space="0" w:color="auto"/>
            <w:left w:val="none" w:sz="0" w:space="0" w:color="auto"/>
            <w:bottom w:val="none" w:sz="0" w:space="0" w:color="auto"/>
            <w:right w:val="none" w:sz="0" w:space="0" w:color="auto"/>
          </w:divBdr>
        </w:div>
        <w:div w:id="1294943906">
          <w:marLeft w:val="547"/>
          <w:marRight w:val="0"/>
          <w:marTop w:val="0"/>
          <w:marBottom w:val="0"/>
          <w:divBdr>
            <w:top w:val="none" w:sz="0" w:space="0" w:color="auto"/>
            <w:left w:val="none" w:sz="0" w:space="0" w:color="auto"/>
            <w:bottom w:val="none" w:sz="0" w:space="0" w:color="auto"/>
            <w:right w:val="none" w:sz="0" w:space="0" w:color="auto"/>
          </w:divBdr>
        </w:div>
        <w:div w:id="1698461658">
          <w:marLeft w:val="547"/>
          <w:marRight w:val="0"/>
          <w:marTop w:val="0"/>
          <w:marBottom w:val="0"/>
          <w:divBdr>
            <w:top w:val="none" w:sz="0" w:space="0" w:color="auto"/>
            <w:left w:val="none" w:sz="0" w:space="0" w:color="auto"/>
            <w:bottom w:val="none" w:sz="0" w:space="0" w:color="auto"/>
            <w:right w:val="none" w:sz="0" w:space="0" w:color="auto"/>
          </w:divBdr>
        </w:div>
        <w:div w:id="1745373303">
          <w:marLeft w:val="547"/>
          <w:marRight w:val="0"/>
          <w:marTop w:val="0"/>
          <w:marBottom w:val="0"/>
          <w:divBdr>
            <w:top w:val="none" w:sz="0" w:space="0" w:color="auto"/>
            <w:left w:val="none" w:sz="0" w:space="0" w:color="auto"/>
            <w:bottom w:val="none" w:sz="0" w:space="0" w:color="auto"/>
            <w:right w:val="none" w:sz="0" w:space="0" w:color="auto"/>
          </w:divBdr>
        </w:div>
      </w:divsChild>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16790680">
      <w:bodyDiv w:val="1"/>
      <w:marLeft w:val="0"/>
      <w:marRight w:val="0"/>
      <w:marTop w:val="0"/>
      <w:marBottom w:val="0"/>
      <w:divBdr>
        <w:top w:val="none" w:sz="0" w:space="0" w:color="auto"/>
        <w:left w:val="none" w:sz="0" w:space="0" w:color="auto"/>
        <w:bottom w:val="none" w:sz="0" w:space="0" w:color="auto"/>
        <w:right w:val="none" w:sz="0" w:space="0" w:color="auto"/>
      </w:divBdr>
      <w:divsChild>
        <w:div w:id="954869043">
          <w:marLeft w:val="547"/>
          <w:marRight w:val="0"/>
          <w:marTop w:val="0"/>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9521866">
      <w:bodyDiv w:val="1"/>
      <w:marLeft w:val="0"/>
      <w:marRight w:val="0"/>
      <w:marTop w:val="0"/>
      <w:marBottom w:val="0"/>
      <w:divBdr>
        <w:top w:val="none" w:sz="0" w:space="0" w:color="auto"/>
        <w:left w:val="none" w:sz="0" w:space="0" w:color="auto"/>
        <w:bottom w:val="none" w:sz="0" w:space="0" w:color="auto"/>
        <w:right w:val="none" w:sz="0" w:space="0" w:color="auto"/>
      </w:divBdr>
      <w:divsChild>
        <w:div w:id="970210096">
          <w:marLeft w:val="288"/>
          <w:marRight w:val="0"/>
          <w:marTop w:val="115"/>
          <w:marBottom w:val="120"/>
          <w:divBdr>
            <w:top w:val="none" w:sz="0" w:space="0" w:color="auto"/>
            <w:left w:val="none" w:sz="0" w:space="0" w:color="auto"/>
            <w:bottom w:val="none" w:sz="0" w:space="0" w:color="auto"/>
            <w:right w:val="none" w:sz="0" w:space="0" w:color="auto"/>
          </w:divBdr>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8953628">
      <w:bodyDiv w:val="1"/>
      <w:marLeft w:val="0"/>
      <w:marRight w:val="0"/>
      <w:marTop w:val="0"/>
      <w:marBottom w:val="0"/>
      <w:divBdr>
        <w:top w:val="none" w:sz="0" w:space="0" w:color="auto"/>
        <w:left w:val="none" w:sz="0" w:space="0" w:color="auto"/>
        <w:bottom w:val="none" w:sz="0" w:space="0" w:color="auto"/>
        <w:right w:val="none" w:sz="0" w:space="0" w:color="auto"/>
      </w:divBdr>
      <w:divsChild>
        <w:div w:id="936017493">
          <w:marLeft w:val="547"/>
          <w:marRight w:val="0"/>
          <w:marTop w:val="120"/>
          <w:marBottom w:val="160"/>
          <w:divBdr>
            <w:top w:val="none" w:sz="0" w:space="0" w:color="auto"/>
            <w:left w:val="none" w:sz="0" w:space="0" w:color="auto"/>
            <w:bottom w:val="none" w:sz="0" w:space="0" w:color="auto"/>
            <w:right w:val="none" w:sz="0" w:space="0" w:color="auto"/>
          </w:divBdr>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60788002">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5720507">
      <w:bodyDiv w:val="1"/>
      <w:marLeft w:val="0"/>
      <w:marRight w:val="0"/>
      <w:marTop w:val="0"/>
      <w:marBottom w:val="0"/>
      <w:divBdr>
        <w:top w:val="none" w:sz="0" w:space="0" w:color="auto"/>
        <w:left w:val="none" w:sz="0" w:space="0" w:color="auto"/>
        <w:bottom w:val="none" w:sz="0" w:space="0" w:color="auto"/>
        <w:right w:val="none" w:sz="0" w:space="0" w:color="auto"/>
      </w:divBdr>
      <w:divsChild>
        <w:div w:id="428165238">
          <w:marLeft w:val="979"/>
          <w:marRight w:val="0"/>
          <w:marTop w:val="120"/>
          <w:marBottom w:val="0"/>
          <w:divBdr>
            <w:top w:val="none" w:sz="0" w:space="0" w:color="auto"/>
            <w:left w:val="none" w:sz="0" w:space="0" w:color="auto"/>
            <w:bottom w:val="none" w:sz="0" w:space="0" w:color="auto"/>
            <w:right w:val="none" w:sz="0" w:space="0" w:color="auto"/>
          </w:divBdr>
        </w:div>
        <w:div w:id="1233344837">
          <w:marLeft w:val="979"/>
          <w:marRight w:val="0"/>
          <w:marTop w:val="77"/>
          <w:marBottom w:val="0"/>
          <w:divBdr>
            <w:top w:val="none" w:sz="0" w:space="0" w:color="auto"/>
            <w:left w:val="none" w:sz="0" w:space="0" w:color="auto"/>
            <w:bottom w:val="none" w:sz="0" w:space="0" w:color="auto"/>
            <w:right w:val="none" w:sz="0" w:space="0" w:color="auto"/>
          </w:divBdr>
        </w:div>
        <w:div w:id="1624534839">
          <w:marLeft w:val="979"/>
          <w:marRight w:val="0"/>
          <w:marTop w:val="77"/>
          <w:marBottom w:val="160"/>
          <w:divBdr>
            <w:top w:val="none" w:sz="0" w:space="0" w:color="auto"/>
            <w:left w:val="none" w:sz="0" w:space="0" w:color="auto"/>
            <w:bottom w:val="none" w:sz="0" w:space="0" w:color="auto"/>
            <w:right w:val="none" w:sz="0" w:space="0" w:color="auto"/>
          </w:divBdr>
        </w:div>
      </w:divsChild>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433939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4731247">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8811697">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chart" Target="charts/chart2.xml"/><Relationship Id="rId18" Type="http://schemas.openxmlformats.org/officeDocument/2006/relationships/hyperlink" Target="http://www.msac.gov.au/internet/msac/publishing.nsf/Content/1587-publi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sac.gov.au/internet/msac/publishing.nsf/Content/1722.1-publi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ta894/chapter/1-Recommendations" TargetMode="External"/><Relationship Id="rId2" Type="http://schemas.openxmlformats.org/officeDocument/2006/relationships/hyperlink" Target="https://clinicaltrials.gov/study/NCT05371093" TargetMode="External"/><Relationship Id="rId1" Type="http://schemas.openxmlformats.org/officeDocument/2006/relationships/hyperlink" Target="https://www.ebs.tga.gov.au/servlet/xmlmillr6?dbid=ebs/PublicHTML/pdfStore.nsf&amp;docid=400895&amp;agid=%28PrintDetailsPublic%29&amp;actionid=1" TargetMode="External"/><Relationship Id="rId4" Type="http://schemas.openxmlformats.org/officeDocument/2006/relationships/hyperlink" Target="https://www.cadth.ca/sites/default/files/DRR/20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Dylan\Desktop\1771%20cure%20analy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ylan\Desktop\1771%20cure%20analy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'Cure point analyses'!$B$3</c:f>
              <c:strCache>
                <c:ptCount val="1"/>
                <c:pt idx="0">
                  <c:v>OS 5 year (base case)</c:v>
                </c:pt>
              </c:strCache>
            </c:strRef>
          </c:tx>
          <c:spPr>
            <a:ln w="3175" cap="rnd">
              <a:solidFill>
                <a:schemeClr val="tx1"/>
              </a:solidFill>
              <a:round/>
            </a:ln>
            <a:effectLst/>
          </c:spPr>
          <c:marker>
            <c:symbol val="circle"/>
            <c:size val="5"/>
            <c:spPr>
              <a:solidFill>
                <a:schemeClr val="accent1"/>
              </a:solidFill>
              <a:ln w="3175">
                <a:solidFill>
                  <a:schemeClr val="accent1"/>
                </a:solidFill>
              </a:ln>
              <a:effectLst/>
            </c:spPr>
          </c:marker>
          <c:xVal>
            <c:numRef>
              <c:f>'Cure point analyses'!$A$4:$A$369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analyses'!$B$4:$B$369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0.67081614035893822</c:v>
                </c:pt>
                <c:pt idx="61">
                  <c:v>0.66874715423004027</c:v>
                </c:pt>
                <c:pt idx="62">
                  <c:v>0.66668454943776201</c:v>
                </c:pt>
                <c:pt idx="63">
                  <c:v>0.66462830630026204</c:v>
                </c:pt>
                <c:pt idx="64">
                  <c:v>0.6625784051964031</c:v>
                </c:pt>
                <c:pt idx="65">
                  <c:v>0.66053482656556517</c:v>
                </c:pt>
                <c:pt idx="66">
                  <c:v>0.65849755090745876</c:v>
                </c:pt>
                <c:pt idx="67">
                  <c:v>0.65646655878193871</c:v>
                </c:pt>
                <c:pt idx="68">
                  <c:v>0.65444183080881857</c:v>
                </c:pt>
                <c:pt idx="69">
                  <c:v>0.65242334766768617</c:v>
                </c:pt>
                <c:pt idx="70">
                  <c:v>0.65041109009771869</c:v>
                </c:pt>
                <c:pt idx="71">
                  <c:v>0.64840503889749934</c:v>
                </c:pt>
                <c:pt idx="72">
                  <c:v>0.64638351371560843</c:v>
                </c:pt>
                <c:pt idx="73">
                  <c:v>0.64436829102030524</c:v>
                </c:pt>
                <c:pt idx="74">
                  <c:v>0.6423593511623974</c:v>
                </c:pt>
                <c:pt idx="75">
                  <c:v>0.64035667455395251</c:v>
                </c:pt>
                <c:pt idx="76">
                  <c:v>0.63836024166810734</c:v>
                </c:pt>
                <c:pt idx="77">
                  <c:v>0.63637003303887729</c:v>
                </c:pt>
                <c:pt idx="78">
                  <c:v>0.63438602926096688</c:v>
                </c:pt>
                <c:pt idx="79">
                  <c:v>0.63240821098958</c:v>
                </c:pt>
                <c:pt idx="80">
                  <c:v>0.63043655894023187</c:v>
                </c:pt>
                <c:pt idx="81">
                  <c:v>0.62847105388856028</c:v>
                </c:pt>
                <c:pt idx="82">
                  <c:v>0.62651167667013929</c:v>
                </c:pt>
                <c:pt idx="83">
                  <c:v>0.62455840818029096</c:v>
                </c:pt>
                <c:pt idx="84">
                  <c:v>0.62258834962586684</c:v>
                </c:pt>
                <c:pt idx="85">
                  <c:v>0.62062450527119883</c:v>
                </c:pt>
                <c:pt idx="86">
                  <c:v>0.61866685551469791</c:v>
                </c:pt>
                <c:pt idx="87">
                  <c:v>0.61671538081660437</c:v>
                </c:pt>
                <c:pt idx="88">
                  <c:v>0.61477006169879345</c:v>
                </c:pt>
                <c:pt idx="89">
                  <c:v>0.61283087874458053</c:v>
                </c:pt>
                <c:pt idx="90">
                  <c:v>0.6108978125985276</c:v>
                </c:pt>
                <c:pt idx="91">
                  <c:v>0.6089708439662499</c:v>
                </c:pt>
                <c:pt idx="92">
                  <c:v>0.60704995361422331</c:v>
                </c:pt>
                <c:pt idx="93">
                  <c:v>0.60513512236959255</c:v>
                </c:pt>
                <c:pt idx="94">
                  <c:v>0.60322633111997959</c:v>
                </c:pt>
                <c:pt idx="95">
                  <c:v>0.60132356081329319</c:v>
                </c:pt>
                <c:pt idx="96">
                  <c:v>0.5994014416814426</c:v>
                </c:pt>
                <c:pt idx="97">
                  <c:v>0.59748546656622104</c:v>
                </c:pt>
                <c:pt idx="98">
                  <c:v>0.59557561582839802</c:v>
                </c:pt>
                <c:pt idx="99">
                  <c:v>0.59367186989151977</c:v>
                </c:pt>
                <c:pt idx="100">
                  <c:v>0.59177420924170809</c:v>
                </c:pt>
                <c:pt idx="101">
                  <c:v>0.58988261442746071</c:v>
                </c:pt>
                <c:pt idx="102">
                  <c:v>0.58799706605945135</c:v>
                </c:pt>
                <c:pt idx="103">
                  <c:v>0.58611754481033163</c:v>
                </c:pt>
                <c:pt idx="104">
                  <c:v>0.58424403141453263</c:v>
                </c:pt>
                <c:pt idx="105">
                  <c:v>0.5823765066680674</c:v>
                </c:pt>
                <c:pt idx="106">
                  <c:v>0.58051495142833431</c:v>
                </c:pt>
                <c:pt idx="107">
                  <c:v>0.57865934661392027</c:v>
                </c:pt>
                <c:pt idx="108">
                  <c:v>0.57678158236755872</c:v>
                </c:pt>
                <c:pt idx="109">
                  <c:v>0.57490991151377013</c:v>
                </c:pt>
                <c:pt idx="110">
                  <c:v>0.5730443142793411</c:v>
                </c:pt>
                <c:pt idx="111">
                  <c:v>0.5711847709552228</c:v>
                </c:pt>
                <c:pt idx="112">
                  <c:v>0.56933126189632299</c:v>
                </c:pt>
                <c:pt idx="113">
                  <c:v>0.56748376752129803</c:v>
                </c:pt>
                <c:pt idx="114">
                  <c:v>0.56564226831234632</c:v>
                </c:pt>
                <c:pt idx="115">
                  <c:v>0.56380674481500193</c:v>
                </c:pt>
                <c:pt idx="116">
                  <c:v>0.5619771776379292</c:v>
                </c:pt>
                <c:pt idx="117">
                  <c:v>0.56015354745271806</c:v>
                </c:pt>
                <c:pt idx="118">
                  <c:v>0.55833583499367934</c:v>
                </c:pt>
                <c:pt idx="119">
                  <c:v>0.55652402105764165</c:v>
                </c:pt>
                <c:pt idx="120">
                  <c:v>0.55468757069968988</c:v>
                </c:pt>
                <c:pt idx="121">
                  <c:v>0.55285718036752241</c:v>
                </c:pt>
                <c:pt idx="122">
                  <c:v>0.55103283006391346</c:v>
                </c:pt>
                <c:pt idx="123">
                  <c:v>0.54921449985762527</c:v>
                </c:pt>
                <c:pt idx="124">
                  <c:v>0.54740216988319035</c:v>
                </c:pt>
                <c:pt idx="125">
                  <c:v>0.5455958203406942</c:v>
                </c:pt>
                <c:pt idx="126">
                  <c:v>0.54379543149555953</c:v>
                </c:pt>
                <c:pt idx="127">
                  <c:v>0.54200098367833027</c:v>
                </c:pt>
                <c:pt idx="128">
                  <c:v>0.54021245728445666</c:v>
                </c:pt>
                <c:pt idx="129">
                  <c:v>0.53842983277408119</c:v>
                </c:pt>
                <c:pt idx="130">
                  <c:v>0.53665309067182521</c:v>
                </c:pt>
                <c:pt idx="131">
                  <c:v>0.534882211566576</c:v>
                </c:pt>
                <c:pt idx="132">
                  <c:v>0.53308438155161131</c:v>
                </c:pt>
                <c:pt idx="133">
                  <c:v>0.53129259434886356</c:v>
                </c:pt>
                <c:pt idx="134">
                  <c:v>0.52950682964741402</c:v>
                </c:pt>
                <c:pt idx="135">
                  <c:v>0.52772706720461227</c:v>
                </c:pt>
                <c:pt idx="136">
                  <c:v>0.52595328684584697</c:v>
                </c:pt>
                <c:pt idx="137">
                  <c:v>0.52418546846431691</c:v>
                </c:pt>
                <c:pt idx="138">
                  <c:v>0.52242359202080357</c:v>
                </c:pt>
                <c:pt idx="139">
                  <c:v>0.52066763754344336</c:v>
                </c:pt>
                <c:pt idx="140">
                  <c:v>0.51891758512750163</c:v>
                </c:pt>
                <c:pt idx="141">
                  <c:v>0.51717341493514679</c:v>
                </c:pt>
                <c:pt idx="142">
                  <c:v>0.51543510719522578</c:v>
                </c:pt>
                <c:pt idx="143">
                  <c:v>0.51370264220303974</c:v>
                </c:pt>
                <c:pt idx="144">
                  <c:v>0.51194129227106455</c:v>
                </c:pt>
                <c:pt idx="145">
                  <c:v>0.51018598154023032</c:v>
                </c:pt>
                <c:pt idx="146">
                  <c:v>0.50843668930372021</c:v>
                </c:pt>
                <c:pt idx="147">
                  <c:v>0.50669339492571541</c:v>
                </c:pt>
                <c:pt idx="148">
                  <c:v>0.50495607784115215</c:v>
                </c:pt>
                <c:pt idx="149">
                  <c:v>0.5032247175554786</c:v>
                </c:pt>
                <c:pt idx="150">
                  <c:v>0.50149929364441337</c:v>
                </c:pt>
                <c:pt idx="151">
                  <c:v>0.49977978575370446</c:v>
                </c:pt>
                <c:pt idx="152">
                  <c:v>0.49806617359888922</c:v>
                </c:pt>
                <c:pt idx="153">
                  <c:v>0.49635843696505516</c:v>
                </c:pt>
                <c:pt idx="154">
                  <c:v>0.49465655570660116</c:v>
                </c:pt>
                <c:pt idx="155">
                  <c:v>0.49296050974700012</c:v>
                </c:pt>
                <c:pt idx="156">
                  <c:v>0.49123186074366676</c:v>
                </c:pt>
                <c:pt idx="157">
                  <c:v>0.48950927353903256</c:v>
                </c:pt>
                <c:pt idx="158">
                  <c:v>0.48779272687638009</c:v>
                </c:pt>
                <c:pt idx="159">
                  <c:v>0.4860821995735321</c:v>
                </c:pt>
                <c:pt idx="160">
                  <c:v>0.48437767052259023</c:v>
                </c:pt>
                <c:pt idx="161">
                  <c:v>0.48267911868967456</c:v>
                </c:pt>
                <c:pt idx="162">
                  <c:v>0.480986523114664</c:v>
                </c:pt>
                <c:pt idx="163">
                  <c:v>0.47929986291093768</c:v>
                </c:pt>
                <c:pt idx="164">
                  <c:v>0.47761911726511702</c:v>
                </c:pt>
                <c:pt idx="165">
                  <c:v>0.47594426543680923</c:v>
                </c:pt>
                <c:pt idx="166">
                  <c:v>0.47427528675835118</c:v>
                </c:pt>
                <c:pt idx="167">
                  <c:v>0.4726121606345543</c:v>
                </c:pt>
                <c:pt idx="168">
                  <c:v>0.47091271321149902</c:v>
                </c:pt>
                <c:pt idx="169">
                  <c:v>0.46921937676438608</c:v>
                </c:pt>
                <c:pt idx="170">
                  <c:v>0.46753212931899824</c:v>
                </c:pt>
                <c:pt idx="171">
                  <c:v>0.46585094898013446</c:v>
                </c:pt>
                <c:pt idx="172">
                  <c:v>0.46417581393132579</c:v>
                </c:pt>
                <c:pt idx="173">
                  <c:v>0.46250670243455205</c:v>
                </c:pt>
                <c:pt idx="174">
                  <c:v>0.46084359282996024</c:v>
                </c:pt>
                <c:pt idx="175">
                  <c:v>0.45918646353558301</c:v>
                </c:pt>
                <c:pt idx="176">
                  <c:v>0.45753529304705887</c:v>
                </c:pt>
                <c:pt idx="177">
                  <c:v>0.45589005993735282</c:v>
                </c:pt>
                <c:pt idx="178">
                  <c:v>0.45425074285647865</c:v>
                </c:pt>
                <c:pt idx="179">
                  <c:v>0.45261732053122172</c:v>
                </c:pt>
                <c:pt idx="180">
                  <c:v>0.450943138171637</c:v>
                </c:pt>
                <c:pt idx="181">
                  <c:v>0.44927514843095134</c:v>
                </c:pt>
                <c:pt idx="182">
                  <c:v>0.44761332840333928</c:v>
                </c:pt>
                <c:pt idx="183">
                  <c:v>0.44595765526770159</c:v>
                </c:pt>
                <c:pt idx="184">
                  <c:v>0.44430810628735173</c:v>
                </c:pt>
                <c:pt idx="185">
                  <c:v>0.4426646588097039</c:v>
                </c:pt>
                <c:pt idx="186">
                  <c:v>0.44102729026596155</c:v>
                </c:pt>
                <c:pt idx="187">
                  <c:v>0.43939597817080767</c:v>
                </c:pt>
                <c:pt idx="188">
                  <c:v>0.43777070012209612</c:v>
                </c:pt>
                <c:pt idx="189">
                  <c:v>0.43615143380054389</c:v>
                </c:pt>
                <c:pt idx="190">
                  <c:v>0.43453815696942427</c:v>
                </c:pt>
                <c:pt idx="191">
                  <c:v>0.43293084747426219</c:v>
                </c:pt>
                <c:pt idx="192">
                  <c:v>0.43127796482065051</c:v>
                </c:pt>
                <c:pt idx="193">
                  <c:v>0.42963139269233985</c:v>
                </c:pt>
                <c:pt idx="194">
                  <c:v>0.4279911069964345</c:v>
                </c:pt>
                <c:pt idx="195">
                  <c:v>0.42635708373202263</c:v>
                </c:pt>
                <c:pt idx="196">
                  <c:v>0.42472929898982531</c:v>
                </c:pt>
                <c:pt idx="197">
                  <c:v>0.42310772895184667</c:v>
                </c:pt>
                <c:pt idx="198">
                  <c:v>0.42149234989102535</c:v>
                </c:pt>
                <c:pt idx="199">
                  <c:v>0.41988313817088718</c:v>
                </c:pt>
                <c:pt idx="200">
                  <c:v>0.41828007024519959</c:v>
                </c:pt>
                <c:pt idx="201">
                  <c:v>0.41668312265762703</c:v>
                </c:pt>
                <c:pt idx="202">
                  <c:v>0.41509227204138743</c:v>
                </c:pt>
                <c:pt idx="203">
                  <c:v>0.41350749511891072</c:v>
                </c:pt>
                <c:pt idx="204">
                  <c:v>0.4118727393135333</c:v>
                </c:pt>
                <c:pt idx="205">
                  <c:v>0.41024444633307383</c:v>
                </c:pt>
                <c:pt idx="206">
                  <c:v>0.40862259062747414</c:v>
                </c:pt>
                <c:pt idx="207">
                  <c:v>0.4070071467476854</c:v>
                </c:pt>
                <c:pt idx="208">
                  <c:v>0.40539808934526866</c:v>
                </c:pt>
                <c:pt idx="209">
                  <c:v>0.40379539317199736</c:v>
                </c:pt>
                <c:pt idx="210">
                  <c:v>0.40219903307946081</c:v>
                </c:pt>
                <c:pt idx="211">
                  <c:v>0.4006089840186699</c:v>
                </c:pt>
                <c:pt idx="212">
                  <c:v>0.39902522103966381</c:v>
                </c:pt>
                <c:pt idx="213">
                  <c:v>0.39744771929111872</c:v>
                </c:pt>
                <c:pt idx="214">
                  <c:v>0.39587645401995764</c:v>
                </c:pt>
                <c:pt idx="215">
                  <c:v>0.39431140057096215</c:v>
                </c:pt>
                <c:pt idx="216">
                  <c:v>0.39269059281729873</c:v>
                </c:pt>
                <c:pt idx="217">
                  <c:v>0.39107644735585034</c:v>
                </c:pt>
                <c:pt idx="218">
                  <c:v>0.38946893680142131</c:v>
                </c:pt>
                <c:pt idx="219">
                  <c:v>0.38786803388138213</c:v>
                </c:pt>
                <c:pt idx="220">
                  <c:v>0.38627371143520678</c:v>
                </c:pt>
                <c:pt idx="221">
                  <c:v>0.38468594241401188</c:v>
                </c:pt>
                <c:pt idx="222">
                  <c:v>0.38310469988009799</c:v>
                </c:pt>
                <c:pt idx="223">
                  <c:v>0.38152995700649239</c:v>
                </c:pt>
                <c:pt idx="224">
                  <c:v>0.37996168707649403</c:v>
                </c:pt>
                <c:pt idx="225">
                  <c:v>0.37839986348322008</c:v>
                </c:pt>
                <c:pt idx="226">
                  <c:v>0.37684445972915487</c:v>
                </c:pt>
                <c:pt idx="227">
                  <c:v>0.37529544942570003</c:v>
                </c:pt>
                <c:pt idx="228">
                  <c:v>0.3736846064509517</c:v>
                </c:pt>
                <c:pt idx="229">
                  <c:v>0.37208067753576163</c:v>
                </c:pt>
                <c:pt idx="230">
                  <c:v>0.37048363300360632</c:v>
                </c:pt>
                <c:pt idx="231">
                  <c:v>0.36889344330533963</c:v>
                </c:pt>
                <c:pt idx="232">
                  <c:v>0.36731007901864637</c:v>
                </c:pt>
                <c:pt idx="233">
                  <c:v>0.36573351084749783</c:v>
                </c:pt>
                <c:pt idx="234">
                  <c:v>0.3641637096216096</c:v>
                </c:pt>
                <c:pt idx="235">
                  <c:v>0.362600646295902</c:v>
                </c:pt>
                <c:pt idx="236">
                  <c:v>0.36104429194996257</c:v>
                </c:pt>
                <c:pt idx="237">
                  <c:v>0.35949461778751118</c:v>
                </c:pt>
                <c:pt idx="238">
                  <c:v>0.35795159513586694</c:v>
                </c:pt>
                <c:pt idx="239">
                  <c:v>0.35641519544541789</c:v>
                </c:pt>
                <c:pt idx="240">
                  <c:v>0.35481118989077126</c:v>
                </c:pt>
                <c:pt idx="241">
                  <c:v>0.35321440297846152</c:v>
                </c:pt>
                <c:pt idx="242">
                  <c:v>0.3516248022218198</c:v>
                </c:pt>
                <c:pt idx="243">
                  <c:v>0.35004235528037986</c:v>
                </c:pt>
                <c:pt idx="244">
                  <c:v>0.34846702995921996</c:v>
                </c:pt>
                <c:pt idx="245">
                  <c:v>0.34689879420830794</c:v>
                </c:pt>
                <c:pt idx="246">
                  <c:v>0.3453376161218491</c:v>
                </c:pt>
                <c:pt idx="247">
                  <c:v>0.34378346393763703</c:v>
                </c:pt>
                <c:pt idx="248">
                  <c:v>0.34223630603640753</c:v>
                </c:pt>
                <c:pt idx="249">
                  <c:v>0.34069611094119534</c:v>
                </c:pt>
                <c:pt idx="250">
                  <c:v>0.33916284731669349</c:v>
                </c:pt>
                <c:pt idx="251">
                  <c:v>0.33763648396861606</c:v>
                </c:pt>
                <c:pt idx="252">
                  <c:v>0.3360365807759122</c:v>
                </c:pt>
                <c:pt idx="253">
                  <c:v>0.33444425878473005</c:v>
                </c:pt>
                <c:pt idx="254">
                  <c:v>0.33285948207126065</c:v>
                </c:pt>
                <c:pt idx="255">
                  <c:v>0.33128221488192144</c:v>
                </c:pt>
                <c:pt idx="256">
                  <c:v>0.32971242163254955</c:v>
                </c:pt>
                <c:pt idx="257">
                  <c:v>0.32815006690759912</c:v>
                </c:pt>
                <c:pt idx="258">
                  <c:v>0.326595115459342</c:v>
                </c:pt>
                <c:pt idx="259">
                  <c:v>0.32504753220707289</c:v>
                </c:pt>
                <c:pt idx="260">
                  <c:v>0.32350728223631753</c:v>
                </c:pt>
                <c:pt idx="261">
                  <c:v>0.32197433079804544</c:v>
                </c:pt>
                <c:pt idx="262">
                  <c:v>0.32044864330788564</c:v>
                </c:pt>
                <c:pt idx="263">
                  <c:v>0.3189301853453464</c:v>
                </c:pt>
                <c:pt idx="264">
                  <c:v>0.317332607181805</c:v>
                </c:pt>
                <c:pt idx="265">
                  <c:v>0.3157430315721324</c:v>
                </c:pt>
                <c:pt idx="266">
                  <c:v>0.31416141843010953</c:v>
                </c:pt>
                <c:pt idx="267">
                  <c:v>0.31258772787031613</c:v>
                </c:pt>
                <c:pt idx="268">
                  <c:v>0.31102192020712521</c:v>
                </c:pt>
                <c:pt idx="269">
                  <c:v>0.30946395595370219</c:v>
                </c:pt>
                <c:pt idx="270">
                  <c:v>0.30791379582100914</c:v>
                </c:pt>
                <c:pt idx="271">
                  <c:v>0.30637140071681379</c:v>
                </c:pt>
                <c:pt idx="272">
                  <c:v>0.30483673174470388</c:v>
                </c:pt>
                <c:pt idx="273">
                  <c:v>0.30330975020310624</c:v>
                </c:pt>
                <c:pt idx="274">
                  <c:v>0.30179041758431074</c:v>
                </c:pt>
                <c:pt idx="275">
                  <c:v>0.30027869557349929</c:v>
                </c:pt>
                <c:pt idx="276">
                  <c:v>0.29868238093696858</c:v>
                </c:pt>
                <c:pt idx="277">
                  <c:v>0.29709455248496031</c:v>
                </c:pt>
                <c:pt idx="278">
                  <c:v>0.2955151651039824</c:v>
                </c:pt>
                <c:pt idx="279">
                  <c:v>0.29394417392037103</c:v>
                </c:pt>
                <c:pt idx="280">
                  <c:v>0.29238153429901581</c:v>
                </c:pt>
                <c:pt idx="281">
                  <c:v>0.29082720184209132</c:v>
                </c:pt>
                <c:pt idx="282">
                  <c:v>0.28928113238779607</c:v>
                </c:pt>
                <c:pt idx="283">
                  <c:v>0.28774328200909749</c:v>
                </c:pt>
                <c:pt idx="284">
                  <c:v>0.28621360701248394</c:v>
                </c:pt>
                <c:pt idx="285">
                  <c:v>0.28469206393672336</c:v>
                </c:pt>
                <c:pt idx="286">
                  <c:v>0.28317860955162832</c:v>
                </c:pt>
                <c:pt idx="287">
                  <c:v>0.28167320085682784</c:v>
                </c:pt>
                <c:pt idx="288">
                  <c:v>0.28007664324843806</c:v>
                </c:pt>
                <c:pt idx="289">
                  <c:v>0.27848913512075557</c:v>
                </c:pt>
                <c:pt idx="290">
                  <c:v>0.27691062518023435</c:v>
                </c:pt>
                <c:pt idx="291">
                  <c:v>0.27534106242406642</c:v>
                </c:pt>
                <c:pt idx="292">
                  <c:v>0.27378039613853394</c:v>
                </c:pt>
                <c:pt idx="293">
                  <c:v>0.27222857589737037</c:v>
                </c:pt>
                <c:pt idx="294">
                  <c:v>0.27068555156013147</c:v>
                </c:pt>
                <c:pt idx="295">
                  <c:v>0.26915127327057498</c:v>
                </c:pt>
                <c:pt idx="296">
                  <c:v>0.26762569145504983</c:v>
                </c:pt>
                <c:pt idx="297">
                  <c:v>0.26610875682089441</c:v>
                </c:pt>
                <c:pt idx="298">
                  <c:v>0.26460042035484382</c:v>
                </c:pt>
                <c:pt idx="299">
                  <c:v>0.26310063332144623</c:v>
                </c:pt>
                <c:pt idx="300">
                  <c:v>0.26150259036095863</c:v>
                </c:pt>
                <c:pt idx="301">
                  <c:v>0.25991425372945748</c:v>
                </c:pt>
                <c:pt idx="302">
                  <c:v>0.25833556447181782</c:v>
                </c:pt>
                <c:pt idx="303">
                  <c:v>0.25676646399100139</c:v>
                </c:pt>
                <c:pt idx="304">
                  <c:v>0.25520689404588159</c:v>
                </c:pt>
                <c:pt idx="305">
                  <c:v>0.25365679674908165</c:v>
                </c:pt>
                <c:pt idx="306">
                  <c:v>0.25211611456482608</c:v>
                </c:pt>
                <c:pt idx="307">
                  <c:v>0.25058479030680508</c:v>
                </c:pt>
                <c:pt idx="308">
                  <c:v>0.24906276713605199</c:v>
                </c:pt>
                <c:pt idx="309">
                  <c:v>0.24754998855883342</c:v>
                </c:pt>
                <c:pt idx="310">
                  <c:v>0.24604639842455231</c:v>
                </c:pt>
                <c:pt idx="311">
                  <c:v>0.24455194092366403</c:v>
                </c:pt>
                <c:pt idx="312">
                  <c:v>0.24295249775246727</c:v>
                </c:pt>
                <c:pt idx="313">
                  <c:v>0.24136351542017545</c:v>
                </c:pt>
                <c:pt idx="314">
                  <c:v>0.23978492550975905</c:v>
                </c:pt>
                <c:pt idx="315">
                  <c:v>0.23821666005165656</c:v>
                </c:pt>
                <c:pt idx="316">
                  <c:v>0.23665865152084775</c:v>
                </c:pt>
                <c:pt idx="317">
                  <c:v>0.23511083283394643</c:v>
                </c:pt>
                <c:pt idx="318">
                  <c:v>0.23357313734631169</c:v>
                </c:pt>
                <c:pt idx="319">
                  <c:v>0.2320454988491788</c:v>
                </c:pt>
                <c:pt idx="320">
                  <c:v>0.23052785156680816</c:v>
                </c:pt>
                <c:pt idx="321">
                  <c:v>0.2290201301536533</c:v>
                </c:pt>
                <c:pt idx="322">
                  <c:v>0.22752226969154726</c:v>
                </c:pt>
                <c:pt idx="323">
                  <c:v>0.22603420568690735</c:v>
                </c:pt>
                <c:pt idx="324">
                  <c:v>0.22443515575090189</c:v>
                </c:pt>
                <c:pt idx="325">
                  <c:v>0.22284741808814315</c:v>
                </c:pt>
                <c:pt idx="326">
                  <c:v>0.22127091267140805</c:v>
                </c:pt>
                <c:pt idx="327">
                  <c:v>0.21970556003961575</c:v>
                </c:pt>
                <c:pt idx="328">
                  <c:v>0.21815128129382261</c:v>
                </c:pt>
                <c:pt idx="329">
                  <c:v>0.21660799809324549</c:v>
                </c:pt>
                <c:pt idx="330">
                  <c:v>0.21507563265131299</c:v>
                </c:pt>
                <c:pt idx="331">
                  <c:v>0.21355410773174488</c:v>
                </c:pt>
                <c:pt idx="332">
                  <c:v>0.21204334664465896</c:v>
                </c:pt>
                <c:pt idx="333">
                  <c:v>0.21054327324270583</c:v>
                </c:pt>
                <c:pt idx="334">
                  <c:v>0.20905381191723074</c:v>
                </c:pt>
                <c:pt idx="335">
                  <c:v>0.20757488759446263</c:v>
                </c:pt>
                <c:pt idx="336">
                  <c:v>0.20598124985947983</c:v>
                </c:pt>
                <c:pt idx="337">
                  <c:v>0.20439984713644765</c:v>
                </c:pt>
                <c:pt idx="338">
                  <c:v>0.20283058549215013</c:v>
                </c:pt>
                <c:pt idx="339">
                  <c:v>0.20127337171453533</c:v>
                </c:pt>
                <c:pt idx="340">
                  <c:v>0.19972811330717843</c:v>
                </c:pt>
                <c:pt idx="341">
                  <c:v>0.19819471848378784</c:v>
                </c:pt>
                <c:pt idx="342">
                  <c:v>0.19667309616275289</c:v>
                </c:pt>
                <c:pt idx="343">
                  <c:v>0.195163155961734</c:v>
                </c:pt>
                <c:pt idx="344">
                  <c:v>0.19366480819229387</c:v>
                </c:pt>
                <c:pt idx="345">
                  <c:v>0.19217796385457026</c:v>
                </c:pt>
                <c:pt idx="346">
                  <c:v>0.19070253463198944</c:v>
                </c:pt>
                <c:pt idx="347">
                  <c:v>0.1892384328860203</c:v>
                </c:pt>
                <c:pt idx="348">
                  <c:v>0.18759363626800446</c:v>
                </c:pt>
                <c:pt idx="349">
                  <c:v>0.18596313566731121</c:v>
                </c:pt>
                <c:pt idx="350">
                  <c:v>0.18434680682778082</c:v>
                </c:pt>
                <c:pt idx="351">
                  <c:v>0.18274452657324616</c:v>
                </c:pt>
                <c:pt idx="352">
                  <c:v>0.18115617279814583</c:v>
                </c:pt>
                <c:pt idx="353">
                  <c:v>0.17958162445821876</c:v>
                </c:pt>
                <c:pt idx="354">
                  <c:v>0.17802076156127977</c:v>
                </c:pt>
                <c:pt idx="355">
                  <c:v>0.17647346515807527</c:v>
                </c:pt>
                <c:pt idx="356">
                  <c:v>0.17493961733321844</c:v>
                </c:pt>
                <c:pt idx="357">
                  <c:v>0.17341910119620324</c:v>
                </c:pt>
                <c:pt idx="358">
                  <c:v>0.17191180087249647</c:v>
                </c:pt>
                <c:pt idx="359">
                  <c:v>0.17041760149470728</c:v>
                </c:pt>
                <c:pt idx="360">
                  <c:v>0.16873581877097929</c:v>
                </c:pt>
                <c:pt idx="361">
                  <c:v>0.16707063288410984</c:v>
                </c:pt>
                <c:pt idx="362">
                  <c:v>0.16542188004659544</c:v>
                </c:pt>
                <c:pt idx="363">
                  <c:v>0.16378939808728557</c:v>
                </c:pt>
                <c:pt idx="364">
                  <c:v>0.16217302643543152</c:v>
                </c:pt>
                <c:pt idx="365">
                  <c:v>0.16057260610489271</c:v>
                </c:pt>
              </c:numCache>
            </c:numRef>
          </c:yVal>
          <c:smooth val="0"/>
          <c:extLst>
            <c:ext xmlns:c16="http://schemas.microsoft.com/office/drawing/2014/chart" uri="{C3380CC4-5D6E-409C-BE32-E72D297353CC}">
              <c16:uniqueId val="{00000000-A08E-4DA3-B37D-0C0B5D7053C0}"/>
            </c:ext>
          </c:extLst>
        </c:ser>
        <c:ser>
          <c:idx val="1"/>
          <c:order val="1"/>
          <c:tx>
            <c:strRef>
              <c:f>'Cure point analyses'!$O$3</c:f>
              <c:strCache>
                <c:ptCount val="1"/>
                <c:pt idx="0">
                  <c:v>OS 10 year</c:v>
                </c:pt>
              </c:strCache>
            </c:strRef>
          </c:tx>
          <c:spPr>
            <a:ln w="3175" cap="rnd">
              <a:solidFill>
                <a:schemeClr val="tx1"/>
              </a:solidFill>
              <a:round/>
            </a:ln>
            <a:effectLst/>
          </c:spPr>
          <c:marker>
            <c:symbol val="circle"/>
            <c:size val="5"/>
            <c:spPr>
              <a:solidFill>
                <a:schemeClr val="accent2"/>
              </a:solidFill>
              <a:ln w="3175">
                <a:solidFill>
                  <a:schemeClr val="accent2"/>
                </a:solidFill>
              </a:ln>
              <a:effectLst/>
            </c:spPr>
          </c:marker>
          <c:xVal>
            <c:numRef>
              <c:f>'Cure point analyses'!$N$4:$N$369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analyses'!$O$4:$O$369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0.66838835482790826</c:v>
                </c:pt>
                <c:pt idx="61">
                  <c:v>0.66391531854285335</c:v>
                </c:pt>
                <c:pt idx="62">
                  <c:v>0.65947221703069325</c:v>
                </c:pt>
                <c:pt idx="63">
                  <c:v>0.65505884995980312</c:v>
                </c:pt>
                <c:pt idx="64">
                  <c:v>0.65067501833923125</c:v>
                </c:pt>
                <c:pt idx="65">
                  <c:v>0.64632052450972766</c:v>
                </c:pt>
                <c:pt idx="66">
                  <c:v>0.64199517213483148</c:v>
                </c:pt>
                <c:pt idx="67">
                  <c:v>0.63769876619201915</c:v>
                </c:pt>
                <c:pt idx="68">
                  <c:v>0.6334311129639103</c:v>
                </c:pt>
                <c:pt idx="69">
                  <c:v>0.629192020029534</c:v>
                </c:pt>
                <c:pt idx="70">
                  <c:v>0.62498129625565291</c:v>
                </c:pt>
                <c:pt idx="71">
                  <c:v>0.62079875178814492</c:v>
                </c:pt>
                <c:pt idx="72">
                  <c:v>0.61664419804344328</c:v>
                </c:pt>
                <c:pt idx="73">
                  <c:v>0.6125174477000338</c:v>
                </c:pt>
                <c:pt idx="74">
                  <c:v>0.60841831469000862</c:v>
                </c:pt>
                <c:pt idx="75">
                  <c:v>0.6043466141906767</c:v>
                </c:pt>
                <c:pt idx="76">
                  <c:v>0.60030216261623082</c:v>
                </c:pt>
                <c:pt idx="77">
                  <c:v>0.59628477760946963</c:v>
                </c:pt>
                <c:pt idx="78">
                  <c:v>0.59229427803357593</c:v>
                </c:pt>
                <c:pt idx="79">
                  <c:v>0.58833048396394882</c:v>
                </c:pt>
                <c:pt idx="80">
                  <c:v>0.58439321668009225</c:v>
                </c:pt>
                <c:pt idx="81">
                  <c:v>0.58048229865755552</c:v>
                </c:pt>
                <c:pt idx="82">
                  <c:v>0.57659755355993059</c:v>
                </c:pt>
                <c:pt idx="83">
                  <c:v>0.57273880623089968</c:v>
                </c:pt>
                <c:pt idx="84">
                  <c:v>0.56890588268633935</c:v>
                </c:pt>
                <c:pt idx="85">
                  <c:v>0.56509861010647444</c:v>
                </c:pt>
                <c:pt idx="86">
                  <c:v>0.56131681682808743</c:v>
                </c:pt>
                <c:pt idx="87">
                  <c:v>0.55756033233677682</c:v>
                </c:pt>
                <c:pt idx="88">
                  <c:v>0.55382898725927043</c:v>
                </c:pt>
                <c:pt idx="89">
                  <c:v>0.5501226133557876</c:v>
                </c:pt>
                <c:pt idx="90">
                  <c:v>0.54644104351245404</c:v>
                </c:pt>
                <c:pt idx="91">
                  <c:v>0.54278411173376706</c:v>
                </c:pt>
                <c:pt idx="92">
                  <c:v>0.5391516531351106</c:v>
                </c:pt>
                <c:pt idx="93">
                  <c:v>0.53554350393532146</c:v>
                </c:pt>
                <c:pt idx="94">
                  <c:v>0.53195950144930415</c:v>
                </c:pt>
                <c:pt idx="95">
                  <c:v>0.52839948408069648</c:v>
                </c:pt>
                <c:pt idx="96">
                  <c:v>0.52486329131458243</c:v>
                </c:pt>
                <c:pt idx="97">
                  <c:v>0.52135076371025579</c:v>
                </c:pt>
                <c:pt idx="98">
                  <c:v>0.51786174289403053</c:v>
                </c:pt>
                <c:pt idx="99">
                  <c:v>0.51439607155210054</c:v>
                </c:pt>
                <c:pt idx="100">
                  <c:v>0.51095359342344626</c:v>
                </c:pt>
                <c:pt idx="101">
                  <c:v>0.50753415329278939</c:v>
                </c:pt>
                <c:pt idx="102">
                  <c:v>0.50413759698359417</c:v>
                </c:pt>
                <c:pt idx="103">
                  <c:v>0.50076377135111638</c:v>
                </c:pt>
                <c:pt idx="104">
                  <c:v>0.49741252427549781</c:v>
                </c:pt>
                <c:pt idx="105">
                  <c:v>0.49408370465490764</c:v>
                </c:pt>
                <c:pt idx="106">
                  <c:v>0.49077716239872965</c:v>
                </c:pt>
                <c:pt idx="107">
                  <c:v>0.48749274842079449</c:v>
                </c:pt>
                <c:pt idx="108">
                  <c:v>0.48423031463265825</c:v>
                </c:pt>
                <c:pt idx="109">
                  <c:v>0.48098971393692475</c:v>
                </c:pt>
                <c:pt idx="110">
                  <c:v>0.47777080022061374</c:v>
                </c:pt>
                <c:pt idx="111">
                  <c:v>0.47457342834857263</c:v>
                </c:pt>
                <c:pt idx="112">
                  <c:v>0.47139745415693274</c:v>
                </c:pt>
                <c:pt idx="113">
                  <c:v>0.46824273444660891</c:v>
                </c:pt>
                <c:pt idx="114">
                  <c:v>0.46510912697684337</c:v>
                </c:pt>
                <c:pt idx="115">
                  <c:v>0.46199649045879193</c:v>
                </c:pt>
                <c:pt idx="116">
                  <c:v>0.45890468454915373</c:v>
                </c:pt>
                <c:pt idx="117">
                  <c:v>0.4558335698438436</c:v>
                </c:pt>
                <c:pt idx="118">
                  <c:v>0.45278300787170589</c:v>
                </c:pt>
                <c:pt idx="119">
                  <c:v>0.449752861088272</c:v>
                </c:pt>
                <c:pt idx="120">
                  <c:v>0.44902571897957227</c:v>
                </c:pt>
                <c:pt idx="121">
                  <c:v>0.44829975248461956</c:v>
                </c:pt>
                <c:pt idx="122">
                  <c:v>0.44757495970272942</c:v>
                </c:pt>
                <c:pt idx="123">
                  <c:v>0.4468513387362904</c:v>
                </c:pt>
                <c:pt idx="124">
                  <c:v>0.44612888769075892</c:v>
                </c:pt>
                <c:pt idx="125">
                  <c:v>0.44540760467465462</c:v>
                </c:pt>
                <c:pt idx="126">
                  <c:v>0.44468748779955497</c:v>
                </c:pt>
                <c:pt idx="127">
                  <c:v>0.44396853518009077</c:v>
                </c:pt>
                <c:pt idx="128">
                  <c:v>0.44325074493394084</c:v>
                </c:pt>
                <c:pt idx="129">
                  <c:v>0.44253411518182745</c:v>
                </c:pt>
                <c:pt idx="130">
                  <c:v>0.44181864404751109</c:v>
                </c:pt>
                <c:pt idx="131">
                  <c:v>0.44110432965778562</c:v>
                </c:pt>
                <c:pt idx="132">
                  <c:v>0.44035070732732479</c:v>
                </c:pt>
                <c:pt idx="133">
                  <c:v>0.43959837255306955</c:v>
                </c:pt>
                <c:pt idx="134">
                  <c:v>0.43884732313524299</c:v>
                </c:pt>
                <c:pt idx="135">
                  <c:v>0.43809755687782659</c:v>
                </c:pt>
                <c:pt idx="136">
                  <c:v>0.43734907158855363</c:v>
                </c:pt>
                <c:pt idx="137">
                  <c:v>0.43660186507890281</c:v>
                </c:pt>
                <c:pt idx="138">
                  <c:v>0.43585593516409199</c:v>
                </c:pt>
                <c:pt idx="139">
                  <c:v>0.43511127966307167</c:v>
                </c:pt>
                <c:pt idx="140">
                  <c:v>0.43436789639851864</c:v>
                </c:pt>
                <c:pt idx="141">
                  <c:v>0.4336257831968296</c:v>
                </c:pt>
                <c:pt idx="142">
                  <c:v>0.43288493788811488</c:v>
                </c:pt>
                <c:pt idx="143">
                  <c:v>0.43214535830619211</c:v>
                </c:pt>
                <c:pt idx="144">
                  <c:v>0.4313633585920893</c:v>
                </c:pt>
                <c:pt idx="145">
                  <c:v>0.430582773965621</c:v>
                </c:pt>
                <c:pt idx="146">
                  <c:v>0.42980360186607913</c:v>
                </c:pt>
                <c:pt idx="147">
                  <c:v>0.42902583973738934</c:v>
                </c:pt>
                <c:pt idx="148">
                  <c:v>0.42824948502810273</c:v>
                </c:pt>
                <c:pt idx="149">
                  <c:v>0.42747453519138745</c:v>
                </c:pt>
                <c:pt idx="150">
                  <c:v>0.42670098768502035</c:v>
                </c:pt>
                <c:pt idx="151">
                  <c:v>0.42592883997137848</c:v>
                </c:pt>
                <c:pt idx="152">
                  <c:v>0.42515808951743106</c:v>
                </c:pt>
                <c:pt idx="153">
                  <c:v>0.42438873379473102</c:v>
                </c:pt>
                <c:pt idx="154">
                  <c:v>0.42362077027940664</c:v>
                </c:pt>
                <c:pt idx="155">
                  <c:v>0.42285419645215344</c:v>
                </c:pt>
                <c:pt idx="156">
                  <c:v>0.42203970511439565</c:v>
                </c:pt>
                <c:pt idx="157">
                  <c:v>0.42122678262979063</c:v>
                </c:pt>
                <c:pt idx="158">
                  <c:v>0.42041542597645215</c:v>
                </c:pt>
                <c:pt idx="159">
                  <c:v>0.41960563213831459</c:v>
                </c:pt>
                <c:pt idx="160">
                  <c:v>0.41879739810512173</c:v>
                </c:pt>
                <c:pt idx="161">
                  <c:v>0.41799072087241579</c:v>
                </c:pt>
                <c:pt idx="162">
                  <c:v>0.41718559744152595</c:v>
                </c:pt>
                <c:pt idx="163">
                  <c:v>0.41638202481955744</c:v>
                </c:pt>
                <c:pt idx="164">
                  <c:v>0.41558000001938034</c:v>
                </c:pt>
                <c:pt idx="165">
                  <c:v>0.41477952005961843</c:v>
                </c:pt>
                <c:pt idx="166">
                  <c:v>0.41398058196463816</c:v>
                </c:pt>
                <c:pt idx="167">
                  <c:v>0.41318318276453758</c:v>
                </c:pt>
                <c:pt idx="168">
                  <c:v>0.41233218279530903</c:v>
                </c:pt>
                <c:pt idx="169">
                  <c:v>0.41148293556185928</c:v>
                </c:pt>
                <c:pt idx="170">
                  <c:v>0.41063543745422021</c:v>
                </c:pt>
                <c:pt idx="171">
                  <c:v>0.40978968486985901</c:v>
                </c:pt>
                <c:pt idx="172">
                  <c:v>0.40894567421366257</c:v>
                </c:pt>
                <c:pt idx="173">
                  <c:v>0.40810340189792238</c:v>
                </c:pt>
                <c:pt idx="174">
                  <c:v>0.40726286434231929</c:v>
                </c:pt>
                <c:pt idx="175">
                  <c:v>0.40642405797390824</c:v>
                </c:pt>
                <c:pt idx="176">
                  <c:v>0.40558697922710296</c:v>
                </c:pt>
                <c:pt idx="177">
                  <c:v>0.40475162454366109</c:v>
                </c:pt>
                <c:pt idx="178">
                  <c:v>0.40391799037266879</c:v>
                </c:pt>
                <c:pt idx="179">
                  <c:v>0.4030860731705258</c:v>
                </c:pt>
                <c:pt idx="180">
                  <c:v>0.40219373435417433</c:v>
                </c:pt>
                <c:pt idx="181">
                  <c:v>0.40130337096842233</c:v>
                </c:pt>
                <c:pt idx="182">
                  <c:v>0.40041497864012593</c:v>
                </c:pt>
                <c:pt idx="183">
                  <c:v>0.39952855300582235</c:v>
                </c:pt>
                <c:pt idx="184">
                  <c:v>0.3986440897117085</c:v>
                </c:pt>
                <c:pt idx="185">
                  <c:v>0.39776158441361958</c:v>
                </c:pt>
                <c:pt idx="186">
                  <c:v>0.39688103277700781</c:v>
                </c:pt>
                <c:pt idx="187">
                  <c:v>0.39600243047692102</c:v>
                </c:pt>
                <c:pt idx="188">
                  <c:v>0.39512577319798153</c:v>
                </c:pt>
                <c:pt idx="189">
                  <c:v>0.39425105663436494</c:v>
                </c:pt>
                <c:pt idx="190">
                  <c:v>0.3933782764897788</c:v>
                </c:pt>
                <c:pt idx="191">
                  <c:v>0.39250742847744186</c:v>
                </c:pt>
                <c:pt idx="192">
                  <c:v>0.39156862669022152</c:v>
                </c:pt>
                <c:pt idx="193">
                  <c:v>0.39063207033514269</c:v>
                </c:pt>
                <c:pt idx="194">
                  <c:v>0.38969775404156637</c:v>
                </c:pt>
                <c:pt idx="195">
                  <c:v>0.38876567245169907</c:v>
                </c:pt>
                <c:pt idx="196">
                  <c:v>0.38783582022056212</c:v>
                </c:pt>
                <c:pt idx="197">
                  <c:v>0.38690819201596099</c:v>
                </c:pt>
                <c:pt idx="198">
                  <c:v>0.3859827825184548</c:v>
                </c:pt>
                <c:pt idx="199">
                  <c:v>0.38505958642132554</c:v>
                </c:pt>
                <c:pt idx="200">
                  <c:v>0.38413859843054804</c:v>
                </c:pt>
                <c:pt idx="201">
                  <c:v>0.3832198132647594</c:v>
                </c:pt>
                <c:pt idx="202">
                  <c:v>0.38230322565522867</c:v>
                </c:pt>
                <c:pt idx="203">
                  <c:v>0.3813888303458266</c:v>
                </c:pt>
                <c:pt idx="204">
                  <c:v>0.38039930569949038</c:v>
                </c:pt>
                <c:pt idx="205">
                  <c:v>0.37941234840423471</c:v>
                </c:pt>
                <c:pt idx="206">
                  <c:v>0.37842795179899102</c:v>
                </c:pt>
                <c:pt idx="207">
                  <c:v>0.37744610923997302</c:v>
                </c:pt>
                <c:pt idx="208">
                  <c:v>0.37646681410063187</c:v>
                </c:pt>
                <c:pt idx="209">
                  <c:v>0.37549005977161165</c:v>
                </c:pt>
                <c:pt idx="210">
                  <c:v>0.37451583966070451</c:v>
                </c:pt>
                <c:pt idx="211">
                  <c:v>0.37354414719280626</c:v>
                </c:pt>
                <c:pt idx="212">
                  <c:v>0.37257497580987203</c:v>
                </c:pt>
                <c:pt idx="213">
                  <c:v>0.3716083189708721</c:v>
                </c:pt>
                <c:pt idx="214">
                  <c:v>0.3706441701517475</c:v>
                </c:pt>
                <c:pt idx="215">
                  <c:v>0.36968252284536618</c:v>
                </c:pt>
                <c:pt idx="216">
                  <c:v>0.36863648594000836</c:v>
                </c:pt>
                <c:pt idx="217">
                  <c:v>0.36759340885325092</c:v>
                </c:pt>
                <c:pt idx="218">
                  <c:v>0.36655328321012542</c:v>
                </c:pt>
                <c:pt idx="219">
                  <c:v>0.36551610065936074</c:v>
                </c:pt>
                <c:pt idx="220">
                  <c:v>0.36448185287331619</c:v>
                </c:pt>
                <c:pt idx="221">
                  <c:v>0.36345053154791457</c:v>
                </c:pt>
                <c:pt idx="222">
                  <c:v>0.36242212840257554</c:v>
                </c:pt>
                <c:pt idx="223">
                  <c:v>0.36139663518014908</c:v>
                </c:pt>
                <c:pt idx="224">
                  <c:v>0.36037404364684927</c:v>
                </c:pt>
                <c:pt idx="225">
                  <c:v>0.35935434559218815</c:v>
                </c:pt>
                <c:pt idx="226">
                  <c:v>0.35833753282890968</c:v>
                </c:pt>
                <c:pt idx="227">
                  <c:v>0.35732359719292422</c:v>
                </c:pt>
                <c:pt idx="228">
                  <c:v>0.35621538052391849</c:v>
                </c:pt>
                <c:pt idx="229">
                  <c:v>0.35511060091922952</c:v>
                </c:pt>
                <c:pt idx="230">
                  <c:v>0.35400924771901854</c:v>
                </c:pt>
                <c:pt idx="231">
                  <c:v>0.35291131029650741</c:v>
                </c:pt>
                <c:pt idx="232">
                  <c:v>0.35181677805787642</c:v>
                </c:pt>
                <c:pt idx="233">
                  <c:v>0.35072564044216187</c:v>
                </c:pt>
                <c:pt idx="234">
                  <c:v>0.34963788692115422</c:v>
                </c:pt>
                <c:pt idx="235">
                  <c:v>0.34855350699929655</c:v>
                </c:pt>
                <c:pt idx="236">
                  <c:v>0.34747249021358317</c:v>
                </c:pt>
                <c:pt idx="237">
                  <c:v>0.34639482613345884</c:v>
                </c:pt>
                <c:pt idx="238">
                  <c:v>0.34532050436071798</c:v>
                </c:pt>
                <c:pt idx="239">
                  <c:v>0.34424951452940439</c:v>
                </c:pt>
                <c:pt idx="240">
                  <c:v>0.34307462169283509</c:v>
                </c:pt>
                <c:pt idx="241">
                  <c:v>0.3419037386605478</c:v>
                </c:pt>
                <c:pt idx="242">
                  <c:v>0.34073685174743867</c:v>
                </c:pt>
                <c:pt idx="243">
                  <c:v>0.33957394731511004</c:v>
                </c:pt>
                <c:pt idx="244">
                  <c:v>0.33841501177171074</c:v>
                </c:pt>
                <c:pt idx="245">
                  <c:v>0.33726003157177747</c:v>
                </c:pt>
                <c:pt idx="246">
                  <c:v>0.3361089932160764</c:v>
                </c:pt>
                <c:pt idx="247">
                  <c:v>0.33496188325144538</c:v>
                </c:pt>
                <c:pt idx="248">
                  <c:v>0.3338186882706366</c:v>
                </c:pt>
                <c:pt idx="249">
                  <c:v>0.33267939491216003</c:v>
                </c:pt>
                <c:pt idx="250">
                  <c:v>0.33154398986012729</c:v>
                </c:pt>
                <c:pt idx="251">
                  <c:v>0.3304124598440959</c:v>
                </c:pt>
                <c:pt idx="252">
                  <c:v>0.32916706270908225</c:v>
                </c:pt>
                <c:pt idx="253">
                  <c:v>0.32792635974941725</c:v>
                </c:pt>
                <c:pt idx="254">
                  <c:v>0.32669033327172303</c:v>
                </c:pt>
                <c:pt idx="255">
                  <c:v>0.32545896564931182</c:v>
                </c:pt>
                <c:pt idx="256">
                  <c:v>0.32423223932193473</c:v>
                </c:pt>
                <c:pt idx="257">
                  <c:v>0.32301013679553142</c:v>
                </c:pt>
                <c:pt idx="258">
                  <c:v>0.32179264064198038</c:v>
                </c:pt>
                <c:pt idx="259">
                  <c:v>0.32057973349885055</c:v>
                </c:pt>
                <c:pt idx="260">
                  <c:v>0.31937139806915366</c:v>
                </c:pt>
                <c:pt idx="261">
                  <c:v>0.31816761712109765</c:v>
                </c:pt>
                <c:pt idx="262">
                  <c:v>0.31696837348784085</c:v>
                </c:pt>
                <c:pt idx="263">
                  <c:v>0.31577365006724717</c:v>
                </c:pt>
                <c:pt idx="264">
                  <c:v>0.31445556825153653</c:v>
                </c:pt>
                <c:pt idx="265">
                  <c:v>0.31314298828714421</c:v>
                </c:pt>
                <c:pt idx="266">
                  <c:v>0.3118358872086005</c:v>
                </c:pt>
                <c:pt idx="267">
                  <c:v>0.31053424214629677</c:v>
                </c:pt>
                <c:pt idx="268">
                  <c:v>0.30923803032608521</c:v>
                </c:pt>
                <c:pt idx="269">
                  <c:v>0.30794722906888028</c:v>
                </c:pt>
                <c:pt idx="270">
                  <c:v>0.30666181579026208</c:v>
                </c:pt>
                <c:pt idx="271">
                  <c:v>0.30538176800008116</c:v>
                </c:pt>
                <c:pt idx="272">
                  <c:v>0.30410706330206488</c:v>
                </c:pt>
                <c:pt idx="273">
                  <c:v>0.30283767939342571</c:v>
                </c:pt>
                <c:pt idx="274">
                  <c:v>0.30157359406447098</c:v>
                </c:pt>
                <c:pt idx="275">
                  <c:v>0.30031478519821431</c:v>
                </c:pt>
                <c:pt idx="276">
                  <c:v>0.29892332264037758</c:v>
                </c:pt>
                <c:pt idx="277">
                  <c:v>0.29753830721117147</c:v>
                </c:pt>
                <c:pt idx="278">
                  <c:v>0.29615970903881306</c:v>
                </c:pt>
                <c:pt idx="279">
                  <c:v>0.29478749838992563</c:v>
                </c:pt>
                <c:pt idx="280">
                  <c:v>0.29342164566889756</c:v>
                </c:pt>
                <c:pt idx="281">
                  <c:v>0.29206212141724397</c:v>
                </c:pt>
                <c:pt idx="282">
                  <c:v>0.29070889631297137</c:v>
                </c:pt>
                <c:pt idx="283">
                  <c:v>0.28936194116994518</c:v>
                </c:pt>
                <c:pt idx="284">
                  <c:v>0.28802122693726034</c:v>
                </c:pt>
                <c:pt idx="285">
                  <c:v>0.28668672469861473</c:v>
                </c:pt>
                <c:pt idx="286">
                  <c:v>0.28535840567168541</c:v>
                </c:pt>
                <c:pt idx="287">
                  <c:v>0.28403624120750803</c:v>
                </c:pt>
                <c:pt idx="288">
                  <c:v>0.28257061363913871</c:v>
                </c:pt>
                <c:pt idx="289">
                  <c:v>0.28111254871193109</c:v>
                </c:pt>
                <c:pt idx="290">
                  <c:v>0.27966200740264169</c:v>
                </c:pt>
                <c:pt idx="291">
                  <c:v>0.2782189508893872</c:v>
                </c:pt>
                <c:pt idx="292">
                  <c:v>0.27678334055060516</c:v>
                </c:pt>
                <c:pt idx="293">
                  <c:v>0.27535513796402056</c:v>
                </c:pt>
                <c:pt idx="294">
                  <c:v>0.27393430490561738</c:v>
                </c:pt>
                <c:pt idx="295">
                  <c:v>0.27252080334861556</c:v>
                </c:pt>
                <c:pt idx="296">
                  <c:v>0.27111459546245331</c:v>
                </c:pt>
                <c:pt idx="297">
                  <c:v>0.26971564361177458</c:v>
                </c:pt>
                <c:pt idx="298">
                  <c:v>0.26832391035542191</c:v>
                </c:pt>
                <c:pt idx="299">
                  <c:v>0.26693935844543426</c:v>
                </c:pt>
                <c:pt idx="300">
                  <c:v>0.26539989755540233</c:v>
                </c:pt>
                <c:pt idx="301">
                  <c:v>0.26386931486094917</c:v>
                </c:pt>
                <c:pt idx="302">
                  <c:v>0.2623475591608021</c:v>
                </c:pt>
                <c:pt idx="303">
                  <c:v>0.26083457954897038</c:v>
                </c:pt>
                <c:pt idx="304">
                  <c:v>0.25933032541304224</c:v>
                </c:pt>
                <c:pt idx="305">
                  <c:v>0.25783474643249177</c:v>
                </c:pt>
                <c:pt idx="306">
                  <c:v>0.25634779257699558</c:v>
                </c:pt>
                <c:pt idx="307">
                  <c:v>0.25486941410475927</c:v>
                </c:pt>
                <c:pt idx="308">
                  <c:v>0.25339956156085341</c:v>
                </c:pt>
                <c:pt idx="309">
                  <c:v>0.2519381857755591</c:v>
                </c:pt>
                <c:pt idx="310">
                  <c:v>0.25048523786272314</c:v>
                </c:pt>
                <c:pt idx="311">
                  <c:v>0.24904066921812282</c:v>
                </c:pt>
                <c:pt idx="312">
                  <c:v>0.24743064565656872</c:v>
                </c:pt>
                <c:pt idx="313">
                  <c:v>0.2458310307398231</c:v>
                </c:pt>
                <c:pt idx="314">
                  <c:v>0.2442417571770156</c:v>
                </c:pt>
                <c:pt idx="315">
                  <c:v>0.24266275811230478</c:v>
                </c:pt>
                <c:pt idx="316">
                  <c:v>0.24109396712206566</c:v>
                </c:pt>
                <c:pt idx="317">
                  <c:v>0.23953531821209548</c:v>
                </c:pt>
                <c:pt idx="318">
                  <c:v>0.23798674581483753</c:v>
                </c:pt>
                <c:pt idx="319">
                  <c:v>0.23644818478662297</c:v>
                </c:pt>
                <c:pt idx="320">
                  <c:v>0.23491957040493042</c:v>
                </c:pt>
                <c:pt idx="321">
                  <c:v>0.23340083836566322</c:v>
                </c:pt>
                <c:pt idx="322">
                  <c:v>0.23189192478044446</c:v>
                </c:pt>
                <c:pt idx="323">
                  <c:v>0.23039276617392929</c:v>
                </c:pt>
                <c:pt idx="324">
                  <c:v>0.22871920576229698</c:v>
                </c:pt>
                <c:pt idx="325">
                  <c:v>0.22705780200166506</c:v>
                </c:pt>
                <c:pt idx="326">
                  <c:v>0.22540846658678765</c:v>
                </c:pt>
                <c:pt idx="327">
                  <c:v>0.22377111185386342</c:v>
                </c:pt>
                <c:pt idx="328">
                  <c:v>0.22214565077587606</c:v>
                </c:pt>
                <c:pt idx="329">
                  <c:v>0.22053199695796871</c:v>
                </c:pt>
                <c:pt idx="330">
                  <c:v>0.21893006463285203</c:v>
                </c:pt>
                <c:pt idx="331">
                  <c:v>0.21733976865624555</c:v>
                </c:pt>
                <c:pt idx="332">
                  <c:v>0.21576102450235218</c:v>
                </c:pt>
                <c:pt idx="333">
                  <c:v>0.2141937482593656</c:v>
                </c:pt>
                <c:pt idx="334">
                  <c:v>0.21263785662501025</c:v>
                </c:pt>
                <c:pt idx="335">
                  <c:v>0.21109326690211369</c:v>
                </c:pt>
                <c:pt idx="336">
                  <c:v>0.20936944245786659</c:v>
                </c:pt>
                <c:pt idx="337">
                  <c:v>0.20765969506476467</c:v>
                </c:pt>
                <c:pt idx="338">
                  <c:v>0.20596390976715243</c:v>
                </c:pt>
                <c:pt idx="339">
                  <c:v>0.2042819725481223</c:v>
                </c:pt>
                <c:pt idx="340">
                  <c:v>0.20261377032184871</c:v>
                </c:pt>
                <c:pt idx="341">
                  <c:v>0.20095919092598463</c:v>
                </c:pt>
                <c:pt idx="342">
                  <c:v>0.19931812311412037</c:v>
                </c:pt>
                <c:pt idx="343">
                  <c:v>0.19769045654830375</c:v>
                </c:pt>
                <c:pt idx="344">
                  <c:v>0.19607608179162161</c:v>
                </c:pt>
                <c:pt idx="345">
                  <c:v>0.19447489030084172</c:v>
                </c:pt>
                <c:pt idx="346">
                  <c:v>0.19288677441911481</c:v>
                </c:pt>
                <c:pt idx="347">
                  <c:v>0.19131162736873622</c:v>
                </c:pt>
                <c:pt idx="348">
                  <c:v>0.18955483804415921</c:v>
                </c:pt>
                <c:pt idx="349">
                  <c:v>0.18781418108316825</c:v>
                </c:pt>
                <c:pt idx="350">
                  <c:v>0.1860895083444061</c:v>
                </c:pt>
                <c:pt idx="351">
                  <c:v>0.18438067304687802</c:v>
                </c:pt>
                <c:pt idx="352">
                  <c:v>0.18268752975745969</c:v>
                </c:pt>
                <c:pt idx="353">
                  <c:v>0.18100993437851987</c:v>
                </c:pt>
                <c:pt idx="354">
                  <c:v>0.17934774413565679</c:v>
                </c:pt>
                <c:pt idx="355">
                  <c:v>0.17770081756554715</c:v>
                </c:pt>
                <c:pt idx="356">
                  <c:v>0.1760690145039065</c:v>
                </c:pt>
                <c:pt idx="357">
                  <c:v>0.17445219607356052</c:v>
                </c:pt>
                <c:pt idx="358">
                  <c:v>0.17285022467262554</c:v>
                </c:pt>
                <c:pt idx="359">
                  <c:v>0.17126296396279778</c:v>
                </c:pt>
                <c:pt idx="360">
                  <c:v>0.16949356061455134</c:v>
                </c:pt>
                <c:pt idx="361">
                  <c:v>0.16774243785736992</c:v>
                </c:pt>
                <c:pt idx="362">
                  <c:v>0.16600940682532306</c:v>
                </c:pt>
                <c:pt idx="363">
                  <c:v>0.16429428060374873</c:v>
                </c:pt>
                <c:pt idx="364">
                  <c:v>0.16259687420909377</c:v>
                </c:pt>
                <c:pt idx="365">
                  <c:v>0.16091700456896263</c:v>
                </c:pt>
              </c:numCache>
            </c:numRef>
          </c:yVal>
          <c:smooth val="0"/>
          <c:extLst>
            <c:ext xmlns:c16="http://schemas.microsoft.com/office/drawing/2014/chart" uri="{C3380CC4-5D6E-409C-BE32-E72D297353CC}">
              <c16:uniqueId val="{00000001-A08E-4DA3-B37D-0C0B5D7053C0}"/>
            </c:ext>
          </c:extLst>
        </c:ser>
        <c:ser>
          <c:idx val="2"/>
          <c:order val="2"/>
          <c:tx>
            <c:strRef>
              <c:f>'Cure point analyses'!$U$3</c:f>
              <c:strCache>
                <c:ptCount val="1"/>
                <c:pt idx="0">
                  <c:v>OS 15 year</c:v>
                </c:pt>
              </c:strCache>
            </c:strRef>
          </c:tx>
          <c:spPr>
            <a:ln w="3175" cap="rnd">
              <a:solidFill>
                <a:schemeClr val="accent3"/>
              </a:solidFill>
              <a:round/>
            </a:ln>
            <a:effectLst/>
          </c:spPr>
          <c:marker>
            <c:symbol val="circle"/>
            <c:size val="5"/>
            <c:spPr>
              <a:solidFill>
                <a:schemeClr val="accent3"/>
              </a:solidFill>
              <a:ln w="3175">
                <a:solidFill>
                  <a:schemeClr val="accent3"/>
                </a:solidFill>
              </a:ln>
              <a:effectLst/>
            </c:spPr>
          </c:marker>
          <c:xVal>
            <c:numRef>
              <c:f>'Cure point analyses'!$T$4:$T$369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analyses'!$U$4:$U$369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0.66838835482790826</c:v>
                </c:pt>
                <c:pt idx="61">
                  <c:v>0.66391531854285335</c:v>
                </c:pt>
                <c:pt idx="62">
                  <c:v>0.65947221703069325</c:v>
                </c:pt>
                <c:pt idx="63">
                  <c:v>0.65505884995980312</c:v>
                </c:pt>
                <c:pt idx="64">
                  <c:v>0.65067501833923125</c:v>
                </c:pt>
                <c:pt idx="65">
                  <c:v>0.64632052450972766</c:v>
                </c:pt>
                <c:pt idx="66">
                  <c:v>0.64199517213483148</c:v>
                </c:pt>
                <c:pt idx="67">
                  <c:v>0.63769876619201915</c:v>
                </c:pt>
                <c:pt idx="68">
                  <c:v>0.6334311129639103</c:v>
                </c:pt>
                <c:pt idx="69">
                  <c:v>0.629192020029534</c:v>
                </c:pt>
                <c:pt idx="70">
                  <c:v>0.62498129625565291</c:v>
                </c:pt>
                <c:pt idx="71">
                  <c:v>0.62079875178814492</c:v>
                </c:pt>
                <c:pt idx="72">
                  <c:v>0.61664419804344328</c:v>
                </c:pt>
                <c:pt idx="73">
                  <c:v>0.6125174477000338</c:v>
                </c:pt>
                <c:pt idx="74">
                  <c:v>0.60841831469000862</c:v>
                </c:pt>
                <c:pt idx="75">
                  <c:v>0.6043466141906767</c:v>
                </c:pt>
                <c:pt idx="76">
                  <c:v>0.60030216261623082</c:v>
                </c:pt>
                <c:pt idx="77">
                  <c:v>0.59628477760946963</c:v>
                </c:pt>
                <c:pt idx="78">
                  <c:v>0.59229427803357593</c:v>
                </c:pt>
                <c:pt idx="79">
                  <c:v>0.58833048396394882</c:v>
                </c:pt>
                <c:pt idx="80">
                  <c:v>0.58439321668009225</c:v>
                </c:pt>
                <c:pt idx="81">
                  <c:v>0.58048229865755552</c:v>
                </c:pt>
                <c:pt idx="82">
                  <c:v>0.57659755355993059</c:v>
                </c:pt>
                <c:pt idx="83">
                  <c:v>0.57273880623089968</c:v>
                </c:pt>
                <c:pt idx="84">
                  <c:v>0.56890588268633935</c:v>
                </c:pt>
                <c:pt idx="85">
                  <c:v>0.56509861010647444</c:v>
                </c:pt>
                <c:pt idx="86">
                  <c:v>0.56131681682808743</c:v>
                </c:pt>
                <c:pt idx="87">
                  <c:v>0.55756033233677682</c:v>
                </c:pt>
                <c:pt idx="88">
                  <c:v>0.55382898725927043</c:v>
                </c:pt>
                <c:pt idx="89">
                  <c:v>0.5501226133557876</c:v>
                </c:pt>
                <c:pt idx="90">
                  <c:v>0.54644104351245404</c:v>
                </c:pt>
                <c:pt idx="91">
                  <c:v>0.54278411173376706</c:v>
                </c:pt>
                <c:pt idx="92">
                  <c:v>0.5391516531351106</c:v>
                </c:pt>
                <c:pt idx="93">
                  <c:v>0.53554350393532146</c:v>
                </c:pt>
                <c:pt idx="94">
                  <c:v>0.53195950144930415</c:v>
                </c:pt>
                <c:pt idx="95">
                  <c:v>0.52839948408069648</c:v>
                </c:pt>
                <c:pt idx="96">
                  <c:v>0.52486329131458243</c:v>
                </c:pt>
                <c:pt idx="97">
                  <c:v>0.52135076371025579</c:v>
                </c:pt>
                <c:pt idx="98">
                  <c:v>0.51786174289403053</c:v>
                </c:pt>
                <c:pt idx="99">
                  <c:v>0.51439607155210054</c:v>
                </c:pt>
                <c:pt idx="100">
                  <c:v>0.51095359342344626</c:v>
                </c:pt>
                <c:pt idx="101">
                  <c:v>0.50753415329278939</c:v>
                </c:pt>
                <c:pt idx="102">
                  <c:v>0.50413759698359417</c:v>
                </c:pt>
                <c:pt idx="103">
                  <c:v>0.50076377135111638</c:v>
                </c:pt>
                <c:pt idx="104">
                  <c:v>0.49741252427549781</c:v>
                </c:pt>
                <c:pt idx="105">
                  <c:v>0.49408370465490764</c:v>
                </c:pt>
                <c:pt idx="106">
                  <c:v>0.49077716239872965</c:v>
                </c:pt>
                <c:pt idx="107">
                  <c:v>0.48749274842079449</c:v>
                </c:pt>
                <c:pt idx="108">
                  <c:v>0.48423031463265825</c:v>
                </c:pt>
                <c:pt idx="109">
                  <c:v>0.48098971393692475</c:v>
                </c:pt>
                <c:pt idx="110">
                  <c:v>0.47777080022061374</c:v>
                </c:pt>
                <c:pt idx="111">
                  <c:v>0.47457342834857263</c:v>
                </c:pt>
                <c:pt idx="112">
                  <c:v>0.47139745415693274</c:v>
                </c:pt>
                <c:pt idx="113">
                  <c:v>0.46824273444660891</c:v>
                </c:pt>
                <c:pt idx="114">
                  <c:v>0.46510912697684337</c:v>
                </c:pt>
                <c:pt idx="115">
                  <c:v>0.46199649045879193</c:v>
                </c:pt>
                <c:pt idx="116">
                  <c:v>0.45890468454915373</c:v>
                </c:pt>
                <c:pt idx="117">
                  <c:v>0.4558335698438436</c:v>
                </c:pt>
                <c:pt idx="118">
                  <c:v>0.45278300787170589</c:v>
                </c:pt>
                <c:pt idx="119">
                  <c:v>0.449752861088272</c:v>
                </c:pt>
                <c:pt idx="120">
                  <c:v>0.44674299286955788</c:v>
                </c:pt>
                <c:pt idx="121">
                  <c:v>0.44375326750590444</c:v>
                </c:pt>
                <c:pt idx="122">
                  <c:v>0.44078355019585835</c:v>
                </c:pt>
                <c:pt idx="123">
                  <c:v>0.43783370704009444</c:v>
                </c:pt>
                <c:pt idx="124">
                  <c:v>0.43490360503537784</c:v>
                </c:pt>
                <c:pt idx="125">
                  <c:v>0.43199311206856766</c:v>
                </c:pt>
                <c:pt idx="126">
                  <c:v>0.42910209691065981</c:v>
                </c:pt>
                <c:pt idx="127">
                  <c:v>0.42623042921087062</c:v>
                </c:pt>
                <c:pt idx="128">
                  <c:v>0.42337797949075889</c:v>
                </c:pt>
                <c:pt idx="129">
                  <c:v>0.42054461913838853</c:v>
                </c:pt>
                <c:pt idx="130">
                  <c:v>0.41773022040252944</c:v>
                </c:pt>
                <c:pt idx="131">
                  <c:v>0.41493465638689714</c:v>
                </c:pt>
                <c:pt idx="132">
                  <c:v>0.41215780104443195</c:v>
                </c:pt>
                <c:pt idx="133">
                  <c:v>0.40939952917161498</c:v>
                </c:pt>
                <c:pt idx="134">
                  <c:v>0.40665971640282345</c:v>
                </c:pt>
                <c:pt idx="135">
                  <c:v>0.40393823920472305</c:v>
                </c:pt>
                <c:pt idx="136">
                  <c:v>0.40123497487069804</c:v>
                </c:pt>
                <c:pt idx="137">
                  <c:v>0.3985498015153186</c:v>
                </c:pt>
                <c:pt idx="138">
                  <c:v>0.39588259806884551</c:v>
                </c:pt>
                <c:pt idx="139">
                  <c:v>0.39323324427177087</c:v>
                </c:pt>
                <c:pt idx="140">
                  <c:v>0.39060162066939619</c:v>
                </c:pt>
                <c:pt idx="141">
                  <c:v>0.3879876086064461</c:v>
                </c:pt>
                <c:pt idx="142">
                  <c:v>0.38539109022171869</c:v>
                </c:pt>
                <c:pt idx="143">
                  <c:v>0.38281194844277122</c:v>
                </c:pt>
                <c:pt idx="144">
                  <c:v>0.38025006698064129</c:v>
                </c:pt>
                <c:pt idx="145">
                  <c:v>0.37770533032460407</c:v>
                </c:pt>
                <c:pt idx="146">
                  <c:v>0.37517762373696367</c:v>
                </c:pt>
                <c:pt idx="147">
                  <c:v>0.37266683324788008</c:v>
                </c:pt>
                <c:pt idx="148">
                  <c:v>0.37017284565023034</c:v>
                </c:pt>
                <c:pt idx="149">
                  <c:v>0.36769554849450437</c:v>
                </c:pt>
                <c:pt idx="150">
                  <c:v>0.3652348300837347</c:v>
                </c:pt>
                <c:pt idx="151">
                  <c:v>0.36279057946846016</c:v>
                </c:pt>
                <c:pt idx="152">
                  <c:v>0.36036268644172365</c:v>
                </c:pt>
                <c:pt idx="153">
                  <c:v>0.3579510415341029</c:v>
                </c:pt>
                <c:pt idx="154">
                  <c:v>0.35555553600877471</c:v>
                </c:pt>
                <c:pt idx="155">
                  <c:v>0.35317606185661227</c:v>
                </c:pt>
                <c:pt idx="156">
                  <c:v>0.35081251179131495</c:v>
                </c:pt>
                <c:pt idx="157">
                  <c:v>0.34846477924457142</c:v>
                </c:pt>
                <c:pt idx="158">
                  <c:v>0.34613275836125429</c:v>
                </c:pt>
                <c:pt idx="159">
                  <c:v>0.3438163439946475</c:v>
                </c:pt>
                <c:pt idx="160">
                  <c:v>0.34151543170170517</c:v>
                </c:pt>
                <c:pt idx="161">
                  <c:v>0.33922991773834288</c:v>
                </c:pt>
                <c:pt idx="162">
                  <c:v>0.33695969905475953</c:v>
                </c:pt>
                <c:pt idx="163">
                  <c:v>0.33470467329079157</c:v>
                </c:pt>
                <c:pt idx="164">
                  <c:v>0.33246473877129701</c:v>
                </c:pt>
                <c:pt idx="165">
                  <c:v>0.33023979450157187</c:v>
                </c:pt>
                <c:pt idx="166">
                  <c:v>0.32802974016279607</c:v>
                </c:pt>
                <c:pt idx="167">
                  <c:v>0.32583447610751021</c:v>
                </c:pt>
                <c:pt idx="168">
                  <c:v>0.32365390335512284</c:v>
                </c:pt>
                <c:pt idx="169">
                  <c:v>0.32148792358744738</c:v>
                </c:pt>
                <c:pt idx="170">
                  <c:v>0.31933643914426929</c:v>
                </c:pt>
                <c:pt idx="171">
                  <c:v>0.3171993530189427</c:v>
                </c:pt>
                <c:pt idx="172">
                  <c:v>0.31507656885401664</c:v>
                </c:pt>
                <c:pt idx="173">
                  <c:v>0.31296799093689009</c:v>
                </c:pt>
                <c:pt idx="174">
                  <c:v>0.31087352419549702</c:v>
                </c:pt>
                <c:pt idx="175">
                  <c:v>0.30879307419401936</c:v>
                </c:pt>
                <c:pt idx="176">
                  <c:v>0.30672654712862918</c:v>
                </c:pt>
                <c:pt idx="177">
                  <c:v>0.30467384982325907</c:v>
                </c:pt>
                <c:pt idx="178">
                  <c:v>0.30263488972540137</c:v>
                </c:pt>
                <c:pt idx="179">
                  <c:v>0.30060957490193491</c:v>
                </c:pt>
                <c:pt idx="180">
                  <c:v>0.300101418248233</c:v>
                </c:pt>
                <c:pt idx="181">
                  <c:v>0.29959412059306695</c:v>
                </c:pt>
                <c:pt idx="182">
                  <c:v>0.29908768048436779</c:v>
                </c:pt>
                <c:pt idx="183">
                  <c:v>0.29858209647252126</c:v>
                </c:pt>
                <c:pt idx="184">
                  <c:v>0.29807736711036348</c:v>
                </c:pt>
                <c:pt idx="185">
                  <c:v>0.29757349095317692</c:v>
                </c:pt>
                <c:pt idx="186">
                  <c:v>0.29707046655868619</c:v>
                </c:pt>
                <c:pt idx="187">
                  <c:v>0.29656829248705402</c:v>
                </c:pt>
                <c:pt idx="188">
                  <c:v>0.296066967300877</c:v>
                </c:pt>
                <c:pt idx="189">
                  <c:v>0.29556648956518156</c:v>
                </c:pt>
                <c:pt idx="190">
                  <c:v>0.29506685784741987</c:v>
                </c:pt>
                <c:pt idx="191">
                  <c:v>0.29456807071746571</c:v>
                </c:pt>
                <c:pt idx="192">
                  <c:v>0.29401155359858638</c:v>
                </c:pt>
                <c:pt idx="193">
                  <c:v>0.29345608788797017</c:v>
                </c:pt>
                <c:pt idx="194">
                  <c:v>0.29290167159922836</c:v>
                </c:pt>
                <c:pt idx="195">
                  <c:v>0.29234830274972501</c:v>
                </c:pt>
                <c:pt idx="196">
                  <c:v>0.29179597936056995</c:v>
                </c:pt>
                <c:pt idx="197">
                  <c:v>0.29124469945661163</c:v>
                </c:pt>
                <c:pt idx="198">
                  <c:v>0.29069446106643004</c:v>
                </c:pt>
                <c:pt idx="199">
                  <c:v>0.29014526222232984</c:v>
                </c:pt>
                <c:pt idx="200">
                  <c:v>0.28959710096033303</c:v>
                </c:pt>
                <c:pt idx="201">
                  <c:v>0.28904997532017213</c:v>
                </c:pt>
                <c:pt idx="202">
                  <c:v>0.28850388334528321</c:v>
                </c:pt>
                <c:pt idx="203">
                  <c:v>0.28795882308279869</c:v>
                </c:pt>
                <c:pt idx="204">
                  <c:v>0.28734959496001111</c:v>
                </c:pt>
                <c:pt idx="205">
                  <c:v>0.28674165576770888</c:v>
                </c:pt>
                <c:pt idx="206">
                  <c:v>0.28613500277893023</c:v>
                </c:pt>
                <c:pt idx="207">
                  <c:v>0.28552963327248276</c:v>
                </c:pt>
                <c:pt idx="208">
                  <c:v>0.28492554453293129</c:v>
                </c:pt>
                <c:pt idx="209">
                  <c:v>0.28432273385058554</c:v>
                </c:pt>
                <c:pt idx="210">
                  <c:v>0.28372119852148808</c:v>
                </c:pt>
                <c:pt idx="211">
                  <c:v>0.28312093584740228</c:v>
                </c:pt>
                <c:pt idx="212">
                  <c:v>0.28252194313579998</c:v>
                </c:pt>
                <c:pt idx="213">
                  <c:v>0.2819242176998496</c:v>
                </c:pt>
                <c:pt idx="214">
                  <c:v>0.28132775685840405</c:v>
                </c:pt>
                <c:pt idx="215">
                  <c:v>0.28073255793598867</c:v>
                </c:pt>
                <c:pt idx="216">
                  <c:v>0.28006492894516161</c:v>
                </c:pt>
                <c:pt idx="217">
                  <c:v>0.2793988876877726</c:v>
                </c:pt>
                <c:pt idx="218">
                  <c:v>0.27873443038792595</c:v>
                </c:pt>
                <c:pt idx="219">
                  <c:v>0.27807155327870559</c:v>
                </c:pt>
                <c:pt idx="220">
                  <c:v>0.27741025260215385</c:v>
                </c:pt>
                <c:pt idx="221">
                  <c:v>0.27675052460925004</c:v>
                </c:pt>
                <c:pt idx="222">
                  <c:v>0.27609236555988936</c:v>
                </c:pt>
                <c:pt idx="223">
                  <c:v>0.2754357717228616</c:v>
                </c:pt>
                <c:pt idx="224">
                  <c:v>0.27478073937582997</c:v>
                </c:pt>
                <c:pt idx="225">
                  <c:v>0.27412726480530997</c:v>
                </c:pt>
                <c:pt idx="226">
                  <c:v>0.27347534430664844</c:v>
                </c:pt>
                <c:pt idx="227">
                  <c:v>0.27282497418400253</c:v>
                </c:pt>
                <c:pt idx="228">
                  <c:v>0.27209330636599643</c:v>
                </c:pt>
                <c:pt idx="229">
                  <c:v>0.27136360075030524</c:v>
                </c:pt>
                <c:pt idx="230">
                  <c:v>0.27063585207465307</c:v>
                </c:pt>
                <c:pt idx="231">
                  <c:v>0.26991005509087646</c:v>
                </c:pt>
                <c:pt idx="232">
                  <c:v>0.26918620456488668</c:v>
                </c:pt>
                <c:pt idx="233">
                  <c:v>0.26846429527663179</c:v>
                </c:pt>
                <c:pt idx="234">
                  <c:v>0.26774432202005921</c:v>
                </c:pt>
                <c:pt idx="235">
                  <c:v>0.26702627960307795</c:v>
                </c:pt>
                <c:pt idx="236">
                  <c:v>0.26631016284752135</c:v>
                </c:pt>
                <c:pt idx="237">
                  <c:v>0.26559596658910961</c:v>
                </c:pt>
                <c:pt idx="238">
                  <c:v>0.26488368567741272</c:v>
                </c:pt>
                <c:pt idx="239">
                  <c:v>0.26417331497581303</c:v>
                </c:pt>
                <c:pt idx="240">
                  <c:v>0.26337295098171909</c:v>
                </c:pt>
                <c:pt idx="241">
                  <c:v>0.26257501184466681</c:v>
                </c:pt>
                <c:pt idx="242">
                  <c:v>0.26177949021808422</c:v>
                </c:pt>
                <c:pt idx="243">
                  <c:v>0.26098637877765729</c:v>
                </c:pt>
                <c:pt idx="244">
                  <c:v>0.26019567022126228</c:v>
                </c:pt>
                <c:pt idx="245">
                  <c:v>0.25940735726889874</c:v>
                </c:pt>
                <c:pt idx="246">
                  <c:v>0.25862143266262233</c:v>
                </c:pt>
                <c:pt idx="247">
                  <c:v>0.2578378891664781</c:v>
                </c:pt>
                <c:pt idx="248">
                  <c:v>0.25705671956643378</c:v>
                </c:pt>
                <c:pt idx="249">
                  <c:v>0.25627791667031341</c:v>
                </c:pt>
                <c:pt idx="250">
                  <c:v>0.2555014733077311</c:v>
                </c:pt>
                <c:pt idx="251">
                  <c:v>0.25472738233002507</c:v>
                </c:pt>
                <c:pt idx="252">
                  <c:v>0.25385426877524847</c:v>
                </c:pt>
                <c:pt idx="253">
                  <c:v>0.252984147938697</c:v>
                </c:pt>
                <c:pt idx="254">
                  <c:v>0.2521170095624124</c:v>
                </c:pt>
                <c:pt idx="255">
                  <c:v>0.25125284342359705</c:v>
                </c:pt>
                <c:pt idx="256">
                  <c:v>0.25039163933449332</c:v>
                </c:pt>
                <c:pt idx="257">
                  <c:v>0.24953338714226364</c:v>
                </c:pt>
                <c:pt idx="258">
                  <c:v>0.2486780767288706</c:v>
                </c:pt>
                <c:pt idx="259">
                  <c:v>0.2478256980109578</c:v>
                </c:pt>
                <c:pt idx="260">
                  <c:v>0.246976240939731</c:v>
                </c:pt>
                <c:pt idx="261">
                  <c:v>0.24612969550083955</c:v>
                </c:pt>
                <c:pt idx="262">
                  <c:v>0.24528605171425835</c:v>
                </c:pt>
                <c:pt idx="263">
                  <c:v>0.24444529963417033</c:v>
                </c:pt>
                <c:pt idx="264">
                  <c:v>0.24349688320578161</c:v>
                </c:pt>
                <c:pt idx="265">
                  <c:v>0.24255214651156237</c:v>
                </c:pt>
                <c:pt idx="266">
                  <c:v>0.24161107527461576</c:v>
                </c:pt>
                <c:pt idx="267">
                  <c:v>0.24067365527343737</c:v>
                </c:pt>
                <c:pt idx="268">
                  <c:v>0.23973987234170049</c:v>
                </c:pt>
                <c:pt idx="269">
                  <c:v>0.23880971236804191</c:v>
                </c:pt>
                <c:pt idx="270">
                  <c:v>0.23788316129584866</c:v>
                </c:pt>
                <c:pt idx="271">
                  <c:v>0.23696020512304569</c:v>
                </c:pt>
                <c:pt idx="272">
                  <c:v>0.23604082990188416</c:v>
                </c:pt>
                <c:pt idx="273">
                  <c:v>0.23512502173873073</c:v>
                </c:pt>
                <c:pt idx="274">
                  <c:v>0.23421276679385758</c:v>
                </c:pt>
                <c:pt idx="275">
                  <c:v>0.23330405128123324</c:v>
                </c:pt>
                <c:pt idx="276">
                  <c:v>0.23227920582318562</c:v>
                </c:pt>
                <c:pt idx="277">
                  <c:v>0.2312588622510123</c:v>
                </c:pt>
                <c:pt idx="278">
                  <c:v>0.23024300078907173</c:v>
                </c:pt>
                <c:pt idx="279">
                  <c:v>0.22923160174859172</c:v>
                </c:pt>
                <c:pt idx="280">
                  <c:v>0.22822464552728788</c:v>
                </c:pt>
                <c:pt idx="281">
                  <c:v>0.22722211260898367</c:v>
                </c:pt>
                <c:pt idx="282">
                  <c:v>0.22622398356323214</c:v>
                </c:pt>
                <c:pt idx="283">
                  <c:v>0.22523023904493938</c:v>
                </c:pt>
                <c:pt idx="284">
                  <c:v>0.22424085979398956</c:v>
                </c:pt>
                <c:pt idx="285">
                  <c:v>0.22325582663487165</c:v>
                </c:pt>
                <c:pt idx="286">
                  <c:v>0.22227512047630774</c:v>
                </c:pt>
                <c:pt idx="287">
                  <c:v>0.2212987223108831</c:v>
                </c:pt>
                <c:pt idx="288">
                  <c:v>0.22019644558268142</c:v>
                </c:pt>
                <c:pt idx="289">
                  <c:v>0.21909965923405741</c:v>
                </c:pt>
                <c:pt idx="290">
                  <c:v>0.21800833591773325</c:v>
                </c:pt>
                <c:pt idx="291">
                  <c:v>0.21692244842264638</c:v>
                </c:pt>
                <c:pt idx="292">
                  <c:v>0.2158419696732711</c:v>
                </c:pt>
                <c:pt idx="293">
                  <c:v>0.2147668727289434</c:v>
                </c:pt>
                <c:pt idx="294">
                  <c:v>0.21369713078318919</c:v>
                </c:pt>
                <c:pt idx="295">
                  <c:v>0.21263271716305601</c:v>
                </c:pt>
                <c:pt idx="296">
                  <c:v>0.21157360532844785</c:v>
                </c:pt>
                <c:pt idx="297">
                  <c:v>0.21051976887146348</c:v>
                </c:pt>
                <c:pt idx="298">
                  <c:v>0.20947118151573796</c:v>
                </c:pt>
                <c:pt idx="299">
                  <c:v>0.20842781711578748</c:v>
                </c:pt>
                <c:pt idx="300">
                  <c:v>0.20724833128411227</c:v>
                </c:pt>
                <c:pt idx="301">
                  <c:v>0.20607552012209668</c:v>
                </c:pt>
                <c:pt idx="302">
                  <c:v>0.20490934585801521</c:v>
                </c:pt>
                <c:pt idx="303">
                  <c:v>0.20374977093389124</c:v>
                </c:pt>
                <c:pt idx="304">
                  <c:v>0.20259675800428747</c:v>
                </c:pt>
                <c:pt idx="305">
                  <c:v>0.20145026993510312</c:v>
                </c:pt>
                <c:pt idx="306">
                  <c:v>0.20031026980237801</c:v>
                </c:pt>
                <c:pt idx="307">
                  <c:v>0.19917672089110341</c:v>
                </c:pt>
                <c:pt idx="308">
                  <c:v>0.19804958669403952</c:v>
                </c:pt>
                <c:pt idx="309">
                  <c:v>0.19692883091053975</c:v>
                </c:pt>
                <c:pt idx="310">
                  <c:v>0.19581441744538164</c:v>
                </c:pt>
                <c:pt idx="311">
                  <c:v>0.19470631040760436</c:v>
                </c:pt>
                <c:pt idx="312">
                  <c:v>0.19345272646743797</c:v>
                </c:pt>
                <c:pt idx="313">
                  <c:v>0.19220721351732709</c:v>
                </c:pt>
                <c:pt idx="314">
                  <c:v>0.19096971959355519</c:v>
                </c:pt>
                <c:pt idx="315">
                  <c:v>0.18974019306696549</c:v>
                </c:pt>
                <c:pt idx="316">
                  <c:v>0.18851858264080681</c:v>
                </c:pt>
                <c:pt idx="317">
                  <c:v>0.18730483734859354</c:v>
                </c:pt>
                <c:pt idx="318">
                  <c:v>0.18609890655197925</c:v>
                </c:pt>
                <c:pt idx="319">
                  <c:v>0.18490073993864398</c:v>
                </c:pt>
                <c:pt idx="320">
                  <c:v>0.18371028752019522</c:v>
                </c:pt>
                <c:pt idx="321">
                  <c:v>0.18252749963008238</c:v>
                </c:pt>
                <c:pt idx="322">
                  <c:v>0.18135232692152459</c:v>
                </c:pt>
                <c:pt idx="323">
                  <c:v>0.18018472036545197</c:v>
                </c:pt>
                <c:pt idx="324">
                  <c:v>0.1788638313204578</c:v>
                </c:pt>
                <c:pt idx="325">
                  <c:v>0.17755262538214242</c:v>
                </c:pt>
                <c:pt idx="326">
                  <c:v>0.17625103156607658</c:v>
                </c:pt>
                <c:pt idx="327">
                  <c:v>0.1749589794082001</c:v>
                </c:pt>
                <c:pt idx="328">
                  <c:v>0.17367639896100717</c:v>
                </c:pt>
                <c:pt idx="329">
                  <c:v>0.17240322078975964</c:v>
                </c:pt>
                <c:pt idx="330">
                  <c:v>0.17113937596872802</c:v>
                </c:pt>
                <c:pt idx="331">
                  <c:v>0.1698847960774601</c:v>
                </c:pt>
                <c:pt idx="332">
                  <c:v>0.16863941319707679</c:v>
                </c:pt>
                <c:pt idx="333">
                  <c:v>0.16740315990659538</c:v>
                </c:pt>
                <c:pt idx="334">
                  <c:v>0.16617596927927941</c:v>
                </c:pt>
                <c:pt idx="335">
                  <c:v>0.16495777487901564</c:v>
                </c:pt>
                <c:pt idx="336">
                  <c:v>0.16358228914537098</c:v>
                </c:pt>
                <c:pt idx="337">
                  <c:v>0.16221827277717363</c:v>
                </c:pt>
                <c:pt idx="338">
                  <c:v>0.16086563013813993</c:v>
                </c:pt>
                <c:pt idx="339">
                  <c:v>0.15952426638944089</c:v>
                </c:pt>
                <c:pt idx="340">
                  <c:v>0.15819408748305266</c:v>
                </c:pt>
                <c:pt idx="341">
                  <c:v>0.15687500015516248</c:v>
                </c:pt>
                <c:pt idx="342">
                  <c:v>0.15556691191962957</c:v>
                </c:pt>
                <c:pt idx="343">
                  <c:v>0.15426973106150063</c:v>
                </c:pt>
                <c:pt idx="344">
                  <c:v>0.15298336663057932</c:v>
                </c:pt>
                <c:pt idx="345">
                  <c:v>0.15170772843504945</c:v>
                </c:pt>
                <c:pt idx="346">
                  <c:v>0.15044272703515127</c:v>
                </c:pt>
                <c:pt idx="347">
                  <c:v>0.14918827373691046</c:v>
                </c:pt>
                <c:pt idx="348">
                  <c:v>0.14777487711795148</c:v>
                </c:pt>
                <c:pt idx="349">
                  <c:v>0.14637487089458087</c:v>
                </c:pt>
                <c:pt idx="350">
                  <c:v>0.1449881282073654</c:v>
                </c:pt>
                <c:pt idx="351">
                  <c:v>0.14361452339872699</c:v>
                </c:pt>
                <c:pt idx="352">
                  <c:v>0.14225393200155642</c:v>
                </c:pt>
                <c:pt idx="353">
                  <c:v>0.14090623072793496</c:v>
                </c:pt>
                <c:pt idx="354">
                  <c:v>0.13957129745796276</c:v>
                </c:pt>
                <c:pt idx="355">
                  <c:v>0.13824901122869326</c:v>
                </c:pt>
                <c:pt idx="356">
                  <c:v>0.13693925222317221</c:v>
                </c:pt>
                <c:pt idx="357">
                  <c:v>0.13564190175958066</c:v>
                </c:pt>
                <c:pt idx="358">
                  <c:v>0.13435684228048081</c:v>
                </c:pt>
                <c:pt idx="359">
                  <c:v>0.13308395734216374</c:v>
                </c:pt>
                <c:pt idx="360">
                  <c:v>0.13165240364614084</c:v>
                </c:pt>
                <c:pt idx="361">
                  <c:v>0.13023624884586407</c:v>
                </c:pt>
                <c:pt idx="362">
                  <c:v>0.12883532729893327</c:v>
                </c:pt>
                <c:pt idx="363">
                  <c:v>0.12744947514472565</c:v>
                </c:pt>
                <c:pt idx="364">
                  <c:v>0.12607853028522975</c:v>
                </c:pt>
                <c:pt idx="365">
                  <c:v>0.12472233236608525</c:v>
                </c:pt>
              </c:numCache>
            </c:numRef>
          </c:yVal>
          <c:smooth val="0"/>
          <c:extLst>
            <c:ext xmlns:c16="http://schemas.microsoft.com/office/drawing/2014/chart" uri="{C3380CC4-5D6E-409C-BE32-E72D297353CC}">
              <c16:uniqueId val="{00000002-A08E-4DA3-B37D-0C0B5D7053C0}"/>
            </c:ext>
          </c:extLst>
        </c:ser>
        <c:ser>
          <c:idx val="3"/>
          <c:order val="3"/>
          <c:tx>
            <c:strRef>
              <c:f>'Cure point analyses'!$AA$3</c:f>
              <c:strCache>
                <c:ptCount val="1"/>
                <c:pt idx="0">
                  <c:v>OS 20 year</c:v>
                </c:pt>
              </c:strCache>
            </c:strRef>
          </c:tx>
          <c:spPr>
            <a:ln w="3175" cap="rnd">
              <a:solidFill>
                <a:schemeClr val="accent4"/>
              </a:solidFill>
              <a:round/>
            </a:ln>
            <a:effectLst/>
          </c:spPr>
          <c:marker>
            <c:symbol val="circle"/>
            <c:size val="5"/>
            <c:spPr>
              <a:solidFill>
                <a:schemeClr val="accent4"/>
              </a:solidFill>
              <a:ln w="3175">
                <a:solidFill>
                  <a:schemeClr val="accent4"/>
                </a:solidFill>
              </a:ln>
              <a:effectLst/>
            </c:spPr>
          </c:marker>
          <c:xVal>
            <c:numRef>
              <c:f>'Cure point analyses'!$Z$4:$Z$369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analyses'!$AA$4:$AA$369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0.66838835482790826</c:v>
                </c:pt>
                <c:pt idx="61">
                  <c:v>0.66391531854285335</c:v>
                </c:pt>
                <c:pt idx="62">
                  <c:v>0.65947221703069325</c:v>
                </c:pt>
                <c:pt idx="63">
                  <c:v>0.65505884995980312</c:v>
                </c:pt>
                <c:pt idx="64">
                  <c:v>0.65067501833923125</c:v>
                </c:pt>
                <c:pt idx="65">
                  <c:v>0.64632052450972766</c:v>
                </c:pt>
                <c:pt idx="66">
                  <c:v>0.64199517213483148</c:v>
                </c:pt>
                <c:pt idx="67">
                  <c:v>0.63769876619201915</c:v>
                </c:pt>
                <c:pt idx="68">
                  <c:v>0.6334311129639103</c:v>
                </c:pt>
                <c:pt idx="69">
                  <c:v>0.629192020029534</c:v>
                </c:pt>
                <c:pt idx="70">
                  <c:v>0.62498129625565291</c:v>
                </c:pt>
                <c:pt idx="71">
                  <c:v>0.62079875178814492</c:v>
                </c:pt>
                <c:pt idx="72">
                  <c:v>0.61664419804344328</c:v>
                </c:pt>
                <c:pt idx="73">
                  <c:v>0.6125174477000338</c:v>
                </c:pt>
                <c:pt idx="74">
                  <c:v>0.60841831469000862</c:v>
                </c:pt>
                <c:pt idx="75">
                  <c:v>0.6043466141906767</c:v>
                </c:pt>
                <c:pt idx="76">
                  <c:v>0.60030216261623082</c:v>
                </c:pt>
                <c:pt idx="77">
                  <c:v>0.59628477760946963</c:v>
                </c:pt>
                <c:pt idx="78">
                  <c:v>0.59229427803357593</c:v>
                </c:pt>
                <c:pt idx="79">
                  <c:v>0.58833048396394882</c:v>
                </c:pt>
                <c:pt idx="80">
                  <c:v>0.58439321668009225</c:v>
                </c:pt>
                <c:pt idx="81">
                  <c:v>0.58048229865755552</c:v>
                </c:pt>
                <c:pt idx="82">
                  <c:v>0.57659755355993059</c:v>
                </c:pt>
                <c:pt idx="83">
                  <c:v>0.57273880623089968</c:v>
                </c:pt>
                <c:pt idx="84">
                  <c:v>0.56890588268633935</c:v>
                </c:pt>
                <c:pt idx="85">
                  <c:v>0.56509861010647444</c:v>
                </c:pt>
                <c:pt idx="86">
                  <c:v>0.56131681682808743</c:v>
                </c:pt>
                <c:pt idx="87">
                  <c:v>0.55756033233677682</c:v>
                </c:pt>
                <c:pt idx="88">
                  <c:v>0.55382898725927043</c:v>
                </c:pt>
                <c:pt idx="89">
                  <c:v>0.5501226133557876</c:v>
                </c:pt>
                <c:pt idx="90">
                  <c:v>0.54644104351245404</c:v>
                </c:pt>
                <c:pt idx="91">
                  <c:v>0.54278411173376706</c:v>
                </c:pt>
                <c:pt idx="92">
                  <c:v>0.5391516531351106</c:v>
                </c:pt>
                <c:pt idx="93">
                  <c:v>0.53554350393532146</c:v>
                </c:pt>
                <c:pt idx="94">
                  <c:v>0.53195950144930415</c:v>
                </c:pt>
                <c:pt idx="95">
                  <c:v>0.52839948408069648</c:v>
                </c:pt>
                <c:pt idx="96">
                  <c:v>0.52486329131458243</c:v>
                </c:pt>
                <c:pt idx="97">
                  <c:v>0.52135076371025579</c:v>
                </c:pt>
                <c:pt idx="98">
                  <c:v>0.51786174289403053</c:v>
                </c:pt>
                <c:pt idx="99">
                  <c:v>0.51439607155210054</c:v>
                </c:pt>
                <c:pt idx="100">
                  <c:v>0.51095359342344626</c:v>
                </c:pt>
                <c:pt idx="101">
                  <c:v>0.50753415329278939</c:v>
                </c:pt>
                <c:pt idx="102">
                  <c:v>0.50413759698359417</c:v>
                </c:pt>
                <c:pt idx="103">
                  <c:v>0.50076377135111638</c:v>
                </c:pt>
                <c:pt idx="104">
                  <c:v>0.49741252427549781</c:v>
                </c:pt>
                <c:pt idx="105">
                  <c:v>0.49408370465490764</c:v>
                </c:pt>
                <c:pt idx="106">
                  <c:v>0.49077716239872965</c:v>
                </c:pt>
                <c:pt idx="107">
                  <c:v>0.48749274842079449</c:v>
                </c:pt>
                <c:pt idx="108">
                  <c:v>0.48423031463265825</c:v>
                </c:pt>
                <c:pt idx="109">
                  <c:v>0.48098971393692475</c:v>
                </c:pt>
                <c:pt idx="110">
                  <c:v>0.47777080022061374</c:v>
                </c:pt>
                <c:pt idx="111">
                  <c:v>0.47457342834857263</c:v>
                </c:pt>
                <c:pt idx="112">
                  <c:v>0.47139745415693274</c:v>
                </c:pt>
                <c:pt idx="113">
                  <c:v>0.46824273444660891</c:v>
                </c:pt>
                <c:pt idx="114">
                  <c:v>0.46510912697684337</c:v>
                </c:pt>
                <c:pt idx="115">
                  <c:v>0.46199649045879193</c:v>
                </c:pt>
                <c:pt idx="116">
                  <c:v>0.45890468454915373</c:v>
                </c:pt>
                <c:pt idx="117">
                  <c:v>0.4558335698438436</c:v>
                </c:pt>
                <c:pt idx="118">
                  <c:v>0.45278300787170589</c:v>
                </c:pt>
                <c:pt idx="119">
                  <c:v>0.449752861088272</c:v>
                </c:pt>
                <c:pt idx="120">
                  <c:v>0.44674299286955788</c:v>
                </c:pt>
                <c:pt idx="121">
                  <c:v>0.44375326750590444</c:v>
                </c:pt>
                <c:pt idx="122">
                  <c:v>0.44078355019585835</c:v>
                </c:pt>
                <c:pt idx="123">
                  <c:v>0.43783370704009444</c:v>
                </c:pt>
                <c:pt idx="124">
                  <c:v>0.43490360503537784</c:v>
                </c:pt>
                <c:pt idx="125">
                  <c:v>0.43199311206856766</c:v>
                </c:pt>
                <c:pt idx="126">
                  <c:v>0.42910209691065981</c:v>
                </c:pt>
                <c:pt idx="127">
                  <c:v>0.42623042921087062</c:v>
                </c:pt>
                <c:pt idx="128">
                  <c:v>0.42337797949075889</c:v>
                </c:pt>
                <c:pt idx="129">
                  <c:v>0.42054461913838853</c:v>
                </c:pt>
                <c:pt idx="130">
                  <c:v>0.41773022040252944</c:v>
                </c:pt>
                <c:pt idx="131">
                  <c:v>0.41493465638689714</c:v>
                </c:pt>
                <c:pt idx="132">
                  <c:v>0.41215780104443195</c:v>
                </c:pt>
                <c:pt idx="133">
                  <c:v>0.40939952917161498</c:v>
                </c:pt>
                <c:pt idx="134">
                  <c:v>0.40665971640282345</c:v>
                </c:pt>
                <c:pt idx="135">
                  <c:v>0.40393823920472305</c:v>
                </c:pt>
                <c:pt idx="136">
                  <c:v>0.40123497487069804</c:v>
                </c:pt>
                <c:pt idx="137">
                  <c:v>0.3985498015153186</c:v>
                </c:pt>
                <c:pt idx="138">
                  <c:v>0.39588259806884551</c:v>
                </c:pt>
                <c:pt idx="139">
                  <c:v>0.39323324427177087</c:v>
                </c:pt>
                <c:pt idx="140">
                  <c:v>0.39060162066939619</c:v>
                </c:pt>
                <c:pt idx="141">
                  <c:v>0.3879876086064461</c:v>
                </c:pt>
                <c:pt idx="142">
                  <c:v>0.38539109022171869</c:v>
                </c:pt>
                <c:pt idx="143">
                  <c:v>0.38281194844277122</c:v>
                </c:pt>
                <c:pt idx="144">
                  <c:v>0.38025006698064129</c:v>
                </c:pt>
                <c:pt idx="145">
                  <c:v>0.37770533032460407</c:v>
                </c:pt>
                <c:pt idx="146">
                  <c:v>0.37517762373696367</c:v>
                </c:pt>
                <c:pt idx="147">
                  <c:v>0.37266683324788008</c:v>
                </c:pt>
                <c:pt idx="148">
                  <c:v>0.37017284565023034</c:v>
                </c:pt>
                <c:pt idx="149">
                  <c:v>0.36769554849450437</c:v>
                </c:pt>
                <c:pt idx="150">
                  <c:v>0.3652348300837347</c:v>
                </c:pt>
                <c:pt idx="151">
                  <c:v>0.36279057946846016</c:v>
                </c:pt>
                <c:pt idx="152">
                  <c:v>0.36036268644172365</c:v>
                </c:pt>
                <c:pt idx="153">
                  <c:v>0.3579510415341029</c:v>
                </c:pt>
                <c:pt idx="154">
                  <c:v>0.35555553600877471</c:v>
                </c:pt>
                <c:pt idx="155">
                  <c:v>0.35317606185661227</c:v>
                </c:pt>
                <c:pt idx="156">
                  <c:v>0.35081251179131495</c:v>
                </c:pt>
                <c:pt idx="157">
                  <c:v>0.34846477924457142</c:v>
                </c:pt>
                <c:pt idx="158">
                  <c:v>0.34613275836125429</c:v>
                </c:pt>
                <c:pt idx="159">
                  <c:v>0.3438163439946475</c:v>
                </c:pt>
                <c:pt idx="160">
                  <c:v>0.34151543170170517</c:v>
                </c:pt>
                <c:pt idx="161">
                  <c:v>0.33922991773834288</c:v>
                </c:pt>
                <c:pt idx="162">
                  <c:v>0.33695969905475953</c:v>
                </c:pt>
                <c:pt idx="163">
                  <c:v>0.33470467329079157</c:v>
                </c:pt>
                <c:pt idx="164">
                  <c:v>0.33246473877129701</c:v>
                </c:pt>
                <c:pt idx="165">
                  <c:v>0.33023979450157187</c:v>
                </c:pt>
                <c:pt idx="166">
                  <c:v>0.32802974016279607</c:v>
                </c:pt>
                <c:pt idx="167">
                  <c:v>0.32583447610751021</c:v>
                </c:pt>
                <c:pt idx="168">
                  <c:v>0.32365390335512284</c:v>
                </c:pt>
                <c:pt idx="169">
                  <c:v>0.32148792358744738</c:v>
                </c:pt>
                <c:pt idx="170">
                  <c:v>0.31933643914426929</c:v>
                </c:pt>
                <c:pt idx="171">
                  <c:v>0.3171993530189427</c:v>
                </c:pt>
                <c:pt idx="172">
                  <c:v>0.31507656885401664</c:v>
                </c:pt>
                <c:pt idx="173">
                  <c:v>0.31296799093689009</c:v>
                </c:pt>
                <c:pt idx="174">
                  <c:v>0.31087352419549702</c:v>
                </c:pt>
                <c:pt idx="175">
                  <c:v>0.30879307419401936</c:v>
                </c:pt>
                <c:pt idx="176">
                  <c:v>0.30672654712862918</c:v>
                </c:pt>
                <c:pt idx="177">
                  <c:v>0.30467384982325907</c:v>
                </c:pt>
                <c:pt idx="178">
                  <c:v>0.30263488972540137</c:v>
                </c:pt>
                <c:pt idx="179">
                  <c:v>0.30060957490193491</c:v>
                </c:pt>
                <c:pt idx="180">
                  <c:v>0.2985978140349797</c:v>
                </c:pt>
                <c:pt idx="181">
                  <c:v>0.29659951641778015</c:v>
                </c:pt>
                <c:pt idx="182">
                  <c:v>0.29461459195061451</c:v>
                </c:pt>
                <c:pt idx="183">
                  <c:v>0.29264295113673311</c:v>
                </c:pt>
                <c:pt idx="184">
                  <c:v>0.29068450507832261</c:v>
                </c:pt>
                <c:pt idx="185">
                  <c:v>0.28873916547249817</c:v>
                </c:pt>
                <c:pt idx="186">
                  <c:v>0.28680684460732164</c:v>
                </c:pt>
                <c:pt idx="187">
                  <c:v>0.28488745535784704</c:v>
                </c:pt>
                <c:pt idx="188">
                  <c:v>0.28298091118219221</c:v>
                </c:pt>
                <c:pt idx="189">
                  <c:v>0.28108712611763687</c:v>
                </c:pt>
                <c:pt idx="190">
                  <c:v>0.27920601477674617</c:v>
                </c:pt>
                <c:pt idx="191">
                  <c:v>0.27733749234352162</c:v>
                </c:pt>
                <c:pt idx="192">
                  <c:v>0.27548147456957622</c:v>
                </c:pt>
                <c:pt idx="193">
                  <c:v>0.27363787777033599</c:v>
                </c:pt>
                <c:pt idx="194">
                  <c:v>0.27180661882126694</c:v>
                </c:pt>
                <c:pt idx="195">
                  <c:v>0.26998761515412695</c:v>
                </c:pt>
                <c:pt idx="196">
                  <c:v>0.26818078475324297</c:v>
                </c:pt>
                <c:pt idx="197">
                  <c:v>0.26638604615181322</c:v>
                </c:pt>
                <c:pt idx="198">
                  <c:v>0.26460331842823376</c:v>
                </c:pt>
                <c:pt idx="199">
                  <c:v>0.26283252120244993</c:v>
                </c:pt>
                <c:pt idx="200">
                  <c:v>0.26107357463233238</c:v>
                </c:pt>
                <c:pt idx="201">
                  <c:v>0.2593263994100769</c:v>
                </c:pt>
                <c:pt idx="202">
                  <c:v>0.25759091675862861</c:v>
                </c:pt>
                <c:pt idx="203">
                  <c:v>0.25586704842812991</c:v>
                </c:pt>
                <c:pt idx="204">
                  <c:v>0.25415471669239281</c:v>
                </c:pt>
                <c:pt idx="205">
                  <c:v>0.25245384434539381</c:v>
                </c:pt>
                <c:pt idx="206">
                  <c:v>0.25076435469779312</c:v>
                </c:pt>
                <c:pt idx="207">
                  <c:v>0.24908617157347704</c:v>
                </c:pt>
                <c:pt idx="208">
                  <c:v>0.24741921930612271</c:v>
                </c:pt>
                <c:pt idx="209">
                  <c:v>0.24576342273578716</c:v>
                </c:pt>
                <c:pt idx="210">
                  <c:v>0.24411870720551801</c:v>
                </c:pt>
                <c:pt idx="211">
                  <c:v>0.24248499855798761</c:v>
                </c:pt>
                <c:pt idx="212">
                  <c:v>0.24086222313214906</c:v>
                </c:pt>
                <c:pt idx="213">
                  <c:v>0.23925030775991532</c:v>
                </c:pt>
                <c:pt idx="214">
                  <c:v>0.23764917976286004</c:v>
                </c:pt>
                <c:pt idx="215">
                  <c:v>0.23605876694894065</c:v>
                </c:pt>
                <c:pt idx="216">
                  <c:v>0.23447899760924318</c:v>
                </c:pt>
                <c:pt idx="217">
                  <c:v>0.23290980051474933</c:v>
                </c:pt>
                <c:pt idx="218">
                  <c:v>0.23135110491312469</c:v>
                </c:pt>
                <c:pt idx="219">
                  <c:v>0.2298028405255286</c:v>
                </c:pt>
                <c:pt idx="220">
                  <c:v>0.22826493754344562</c:v>
                </c:pt>
                <c:pt idx="221">
                  <c:v>0.22673732662553767</c:v>
                </c:pt>
                <c:pt idx="222">
                  <c:v>0.22521993889451783</c:v>
                </c:pt>
                <c:pt idx="223">
                  <c:v>0.22371270593404466</c:v>
                </c:pt>
                <c:pt idx="224">
                  <c:v>0.22221555978563751</c:v>
                </c:pt>
                <c:pt idx="225">
                  <c:v>0.22072843294561217</c:v>
                </c:pt>
                <c:pt idx="226">
                  <c:v>0.21925125836203752</c:v>
                </c:pt>
                <c:pt idx="227">
                  <c:v>0.21778396943171216</c:v>
                </c:pt>
                <c:pt idx="228">
                  <c:v>0.21632649999716141</c:v>
                </c:pt>
                <c:pt idx="229">
                  <c:v>0.21487878434365426</c:v>
                </c:pt>
                <c:pt idx="230">
                  <c:v>0.21344075719624062</c:v>
                </c:pt>
                <c:pt idx="231">
                  <c:v>0.21201235371680802</c:v>
                </c:pt>
                <c:pt idx="232">
                  <c:v>0.21059350950115832</c:v>
                </c:pt>
                <c:pt idx="233">
                  <c:v>0.2091841605761037</c:v>
                </c:pt>
                <c:pt idx="234">
                  <c:v>0.20778424339658222</c:v>
                </c:pt>
                <c:pt idx="235">
                  <c:v>0.20639369484279282</c:v>
                </c:pt>
                <c:pt idx="236">
                  <c:v>0.20501245221734929</c:v>
                </c:pt>
                <c:pt idx="237">
                  <c:v>0.20364045324245333</c:v>
                </c:pt>
                <c:pt idx="238">
                  <c:v>0.20227763605708649</c:v>
                </c:pt>
                <c:pt idx="239">
                  <c:v>0.20092393921422114</c:v>
                </c:pt>
                <c:pt idx="240">
                  <c:v>0.2003152013993767</c:v>
                </c:pt>
                <c:pt idx="241">
                  <c:v>0.19970830787311564</c:v>
                </c:pt>
                <c:pt idx="242">
                  <c:v>0.1991032530478101</c:v>
                </c:pt>
                <c:pt idx="243">
                  <c:v>0.19850003135276101</c:v>
                </c:pt>
                <c:pt idx="244">
                  <c:v>0.1978986372341468</c:v>
                </c:pt>
                <c:pt idx="245">
                  <c:v>0.19729906515497228</c:v>
                </c:pt>
                <c:pt idx="246">
                  <c:v>0.19670130959501764</c:v>
                </c:pt>
                <c:pt idx="247">
                  <c:v>0.19610536505078766</c:v>
                </c:pt>
                <c:pt idx="248">
                  <c:v>0.19551122603546103</c:v>
                </c:pt>
                <c:pt idx="249">
                  <c:v>0.19491888707883978</c:v>
                </c:pt>
                <c:pt idx="250">
                  <c:v>0.19432834272729899</c:v>
                </c:pt>
                <c:pt idx="251">
                  <c:v>0.19373958754373655</c:v>
                </c:pt>
                <c:pt idx="252">
                  <c:v>0.19307551814360391</c:v>
                </c:pt>
                <c:pt idx="253">
                  <c:v>0.19241372493376249</c:v>
                </c:pt>
                <c:pt idx="254">
                  <c:v>0.19175420011225328</c:v>
                </c:pt>
                <c:pt idx="255">
                  <c:v>0.19109693590385957</c:v>
                </c:pt>
                <c:pt idx="256">
                  <c:v>0.19044192456001527</c:v>
                </c:pt>
                <c:pt idx="257">
                  <c:v>0.1897891583587136</c:v>
                </c:pt>
                <c:pt idx="258">
                  <c:v>0.18913862960441602</c:v>
                </c:pt>
                <c:pt idx="259">
                  <c:v>0.18849033062796156</c:v>
                </c:pt>
                <c:pt idx="260">
                  <c:v>0.18784425378647629</c:v>
                </c:pt>
                <c:pt idx="261">
                  <c:v>0.18720039146328335</c:v>
                </c:pt>
                <c:pt idx="262">
                  <c:v>0.18655873606781309</c:v>
                </c:pt>
                <c:pt idx="263">
                  <c:v>0.18591928003551358</c:v>
                </c:pt>
                <c:pt idx="264">
                  <c:v>0.18519793706101673</c:v>
                </c:pt>
                <c:pt idx="265">
                  <c:v>0.18447939280479567</c:v>
                </c:pt>
                <c:pt idx="266">
                  <c:v>0.18376363640818222</c:v>
                </c:pt>
                <c:pt idx="267">
                  <c:v>0.18305065705463849</c:v>
                </c:pt>
                <c:pt idx="268">
                  <c:v>0.18234044396959334</c:v>
                </c:pt>
                <c:pt idx="269">
                  <c:v>0.18163298642027959</c:v>
                </c:pt>
                <c:pt idx="270">
                  <c:v>0.1809282737155718</c:v>
                </c:pt>
                <c:pt idx="271">
                  <c:v>0.18022629520582475</c:v>
                </c:pt>
                <c:pt idx="272">
                  <c:v>0.17952704028271252</c:v>
                </c:pt>
                <c:pt idx="273">
                  <c:v>0.17883049837906803</c:v>
                </c:pt>
                <c:pt idx="274">
                  <c:v>0.17813665896872355</c:v>
                </c:pt>
                <c:pt idx="275">
                  <c:v>0.17744551156635149</c:v>
                </c:pt>
                <c:pt idx="276">
                  <c:v>0.1766660384899903</c:v>
                </c:pt>
                <c:pt idx="277">
                  <c:v>0.1758899894409342</c:v>
                </c:pt>
                <c:pt idx="278">
                  <c:v>0.17511734937830067</c:v>
                </c:pt>
                <c:pt idx="279">
                  <c:v>0.17434810332727796</c:v>
                </c:pt>
                <c:pt idx="280">
                  <c:v>0.17358223637883483</c:v>
                </c:pt>
                <c:pt idx="281">
                  <c:v>0.17281973368943165</c:v>
                </c:pt>
                <c:pt idx="282">
                  <c:v>0.17206058048073269</c:v>
                </c:pt>
                <c:pt idx="283">
                  <c:v>0.17130476203931971</c:v>
                </c:pt>
                <c:pt idx="284">
                  <c:v>0.17055226371640678</c:v>
                </c:pt>
                <c:pt idx="285">
                  <c:v>0.16980307092755631</c:v>
                </c:pt>
                <c:pt idx="286">
                  <c:v>0.16905716915239652</c:v>
                </c:pt>
                <c:pt idx="287">
                  <c:v>0.16831454393433989</c:v>
                </c:pt>
                <c:pt idx="288">
                  <c:v>0.16747617847583504</c:v>
                </c:pt>
                <c:pt idx="289">
                  <c:v>0.16664198886943177</c:v>
                </c:pt>
                <c:pt idx="290">
                  <c:v>0.1658119543154411</c:v>
                </c:pt>
                <c:pt idx="291">
                  <c:v>0.1649860541177762</c:v>
                </c:pt>
                <c:pt idx="292">
                  <c:v>0.16416426768343625</c:v>
                </c:pt>
                <c:pt idx="293">
                  <c:v>0.16334657452199308</c:v>
                </c:pt>
                <c:pt idx="294">
                  <c:v>0.16253295424508019</c:v>
                </c:pt>
                <c:pt idx="295">
                  <c:v>0.16172338656588439</c:v>
                </c:pt>
                <c:pt idx="296">
                  <c:v>0.16091785129864</c:v>
                </c:pt>
                <c:pt idx="297">
                  <c:v>0.16011632835812556</c:v>
                </c:pt>
                <c:pt idx="298">
                  <c:v>0.15931879775916294</c:v>
                </c:pt>
                <c:pt idx="299">
                  <c:v>0.15852523961611911</c:v>
                </c:pt>
                <c:pt idx="300">
                  <c:v>0.1576281507501629</c:v>
                </c:pt>
                <c:pt idx="301">
                  <c:v>0.1567361384791727</c:v>
                </c:pt>
                <c:pt idx="302">
                  <c:v>0.15584917407487264</c:v>
                </c:pt>
                <c:pt idx="303">
                  <c:v>0.15496722897155912</c:v>
                </c:pt>
                <c:pt idx="304">
                  <c:v>0.15409027476518089</c:v>
                </c:pt>
                <c:pt idx="305">
                  <c:v>0.15321828321242426</c:v>
                </c:pt>
                <c:pt idx="306">
                  <c:v>0.15235122622980346</c:v>
                </c:pt>
                <c:pt idx="307">
                  <c:v>0.1514890758927562</c:v>
                </c:pt>
                <c:pt idx="308">
                  <c:v>0.15063180443474436</c:v>
                </c:pt>
                <c:pt idx="309">
                  <c:v>0.14977938424635967</c:v>
                </c:pt>
                <c:pt idx="310">
                  <c:v>0.14893178787443453</c:v>
                </c:pt>
                <c:pt idx="311">
                  <c:v>0.14808898802115791</c:v>
                </c:pt>
                <c:pt idx="312">
                  <c:v>0.14713554189652955</c:v>
                </c:pt>
                <c:pt idx="313">
                  <c:v>0.14618823437494466</c:v>
                </c:pt>
                <c:pt idx="314">
                  <c:v>0.14524702593403654</c:v>
                </c:pt>
                <c:pt idx="315">
                  <c:v>0.1443118773058967</c:v>
                </c:pt>
                <c:pt idx="316">
                  <c:v>0.14338274947543647</c:v>
                </c:pt>
                <c:pt idx="317">
                  <c:v>0.14245960367875926</c:v>
                </c:pt>
                <c:pt idx="318">
                  <c:v>0.14154240140154337</c:v>
                </c:pt>
                <c:pt idx="319">
                  <c:v>0.14063110437743506</c:v>
                </c:pt>
                <c:pt idx="320">
                  <c:v>0.13972567458645213</c:v>
                </c:pt>
                <c:pt idx="321">
                  <c:v>0.13882607425339763</c:v>
                </c:pt>
                <c:pt idx="322">
                  <c:v>0.13793226584628393</c:v>
                </c:pt>
                <c:pt idx="323">
                  <c:v>0.13704421207476677</c:v>
                </c:pt>
                <c:pt idx="324">
                  <c:v>0.13603957528846064</c:v>
                </c:pt>
                <c:pt idx="325">
                  <c:v>0.1350423032427526</c:v>
                </c:pt>
                <c:pt idx="326">
                  <c:v>0.13405234194857432</c:v>
                </c:pt>
                <c:pt idx="327">
                  <c:v>0.13306963781263786</c:v>
                </c:pt>
                <c:pt idx="328">
                  <c:v>0.1320941376345342</c:v>
                </c:pt>
                <c:pt idx="329">
                  <c:v>0.13112578860385321</c:v>
                </c:pt>
                <c:pt idx="330">
                  <c:v>0.13016453829732466</c:v>
                </c:pt>
                <c:pt idx="331">
                  <c:v>0.12921033467598017</c:v>
                </c:pt>
                <c:pt idx="332">
                  <c:v>0.12826312608233598</c:v>
                </c:pt>
                <c:pt idx="333">
                  <c:v>0.1273228612375964</c:v>
                </c:pt>
                <c:pt idx="334">
                  <c:v>0.1263894892388778</c:v>
                </c:pt>
                <c:pt idx="335">
                  <c:v>0.12546295955645279</c:v>
                </c:pt>
                <c:pt idx="336">
                  <c:v>0.12441679782750545</c:v>
                </c:pt>
                <c:pt idx="337">
                  <c:v>0.123379359425084</c:v>
                </c:pt>
                <c:pt idx="338">
                  <c:v>0.1223505716105061</c:v>
                </c:pt>
                <c:pt idx="339">
                  <c:v>0.12133036225161442</c:v>
                </c:pt>
                <c:pt idx="340">
                  <c:v>0.12031865981771925</c:v>
                </c:pt>
                <c:pt idx="341">
                  <c:v>0.11931539337458315</c:v>
                </c:pt>
                <c:pt idx="342">
                  <c:v>0.11832049257944752</c:v>
                </c:pt>
                <c:pt idx="343">
                  <c:v>0.11733388767610058</c:v>
                </c:pt>
                <c:pt idx="344">
                  <c:v>0.11635550948998653</c:v>
                </c:pt>
                <c:pt idx="345">
                  <c:v>0.11538528942335548</c:v>
                </c:pt>
                <c:pt idx="346">
                  <c:v>0.11442315945045371</c:v>
                </c:pt>
                <c:pt idx="347">
                  <c:v>0.11346905211275425</c:v>
                </c:pt>
                <c:pt idx="348">
                  <c:v>0.11239405626626119</c:v>
                </c:pt>
                <c:pt idx="349">
                  <c:v>0.11132924483612183</c:v>
                </c:pt>
                <c:pt idx="350">
                  <c:v>0.11027452133606901</c:v>
                </c:pt>
                <c:pt idx="351">
                  <c:v>0.10922979019393796</c:v>
                </c:pt>
                <c:pt idx="352">
                  <c:v>0.10819495674300625</c:v>
                </c:pt>
                <c:pt idx="353">
                  <c:v>0.10716992721341564</c:v>
                </c:pt>
                <c:pt idx="354">
                  <c:v>0.10615460872367534</c:v>
                </c:pt>
                <c:pt idx="355">
                  <c:v>0.10514890927224563</c:v>
                </c:pt>
                <c:pt idx="356">
                  <c:v>0.10415273772920129</c:v>
                </c:pt>
                <c:pt idx="357">
                  <c:v>0.10316600382797407</c:v>
                </c:pt>
                <c:pt idx="358">
                  <c:v>0.10218861815717323</c:v>
                </c:pt>
                <c:pt idx="359">
                  <c:v>0.10122049215248372</c:v>
                </c:pt>
                <c:pt idx="360">
                  <c:v>0.10013168646509649</c:v>
                </c:pt>
                <c:pt idx="361">
                  <c:v>9.9054592811504763E-2</c:v>
                </c:pt>
                <c:pt idx="362">
                  <c:v>9.7989085208039256E-2</c:v>
                </c:pt>
                <c:pt idx="363">
                  <c:v>9.6935039026208217E-2</c:v>
                </c:pt>
                <c:pt idx="364">
                  <c:v>9.5892330978120069E-2</c:v>
                </c:pt>
                <c:pt idx="365">
                  <c:v>9.4860839102062902E-2</c:v>
                </c:pt>
              </c:numCache>
            </c:numRef>
          </c:yVal>
          <c:smooth val="0"/>
          <c:extLst>
            <c:ext xmlns:c16="http://schemas.microsoft.com/office/drawing/2014/chart" uri="{C3380CC4-5D6E-409C-BE32-E72D297353CC}">
              <c16:uniqueId val="{00000003-A08E-4DA3-B37D-0C0B5D7053C0}"/>
            </c:ext>
          </c:extLst>
        </c:ser>
        <c:ser>
          <c:idx val="4"/>
          <c:order val="4"/>
          <c:tx>
            <c:strRef>
              <c:f>'Cure point analyses'!$AG$3</c:f>
              <c:strCache>
                <c:ptCount val="1"/>
                <c:pt idx="0">
                  <c:v>OS 25 year</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'Cure point analyses'!$AF$4:$AF$369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analyses'!$AG$4:$AG$369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0.66838835482790826</c:v>
                </c:pt>
                <c:pt idx="61">
                  <c:v>0.66391531854285335</c:v>
                </c:pt>
                <c:pt idx="62">
                  <c:v>0.65947221703069325</c:v>
                </c:pt>
                <c:pt idx="63">
                  <c:v>0.65505884995980312</c:v>
                </c:pt>
                <c:pt idx="64">
                  <c:v>0.65067501833923125</c:v>
                </c:pt>
                <c:pt idx="65">
                  <c:v>0.64632052450972766</c:v>
                </c:pt>
                <c:pt idx="66">
                  <c:v>0.64199517213483148</c:v>
                </c:pt>
                <c:pt idx="67">
                  <c:v>0.63769876619201915</c:v>
                </c:pt>
                <c:pt idx="68">
                  <c:v>0.6334311129639103</c:v>
                </c:pt>
                <c:pt idx="69">
                  <c:v>0.629192020029534</c:v>
                </c:pt>
                <c:pt idx="70">
                  <c:v>0.62498129625565291</c:v>
                </c:pt>
                <c:pt idx="71">
                  <c:v>0.62079875178814492</c:v>
                </c:pt>
                <c:pt idx="72">
                  <c:v>0.61664419804344328</c:v>
                </c:pt>
                <c:pt idx="73">
                  <c:v>0.6125174477000338</c:v>
                </c:pt>
                <c:pt idx="74">
                  <c:v>0.60841831469000862</c:v>
                </c:pt>
                <c:pt idx="75">
                  <c:v>0.6043466141906767</c:v>
                </c:pt>
                <c:pt idx="76">
                  <c:v>0.60030216261623082</c:v>
                </c:pt>
                <c:pt idx="77">
                  <c:v>0.59628477760946963</c:v>
                </c:pt>
                <c:pt idx="78">
                  <c:v>0.59229427803357593</c:v>
                </c:pt>
                <c:pt idx="79">
                  <c:v>0.58833048396394882</c:v>
                </c:pt>
                <c:pt idx="80">
                  <c:v>0.58439321668009225</c:v>
                </c:pt>
                <c:pt idx="81">
                  <c:v>0.58048229865755552</c:v>
                </c:pt>
                <c:pt idx="82">
                  <c:v>0.57659755355993059</c:v>
                </c:pt>
                <c:pt idx="83">
                  <c:v>0.57273880623089968</c:v>
                </c:pt>
                <c:pt idx="84">
                  <c:v>0.56890588268633935</c:v>
                </c:pt>
                <c:pt idx="85">
                  <c:v>0.56509861010647444</c:v>
                </c:pt>
                <c:pt idx="86">
                  <c:v>0.56131681682808743</c:v>
                </c:pt>
                <c:pt idx="87">
                  <c:v>0.55756033233677682</c:v>
                </c:pt>
                <c:pt idx="88">
                  <c:v>0.55382898725927043</c:v>
                </c:pt>
                <c:pt idx="89">
                  <c:v>0.5501226133557876</c:v>
                </c:pt>
                <c:pt idx="90">
                  <c:v>0.54644104351245404</c:v>
                </c:pt>
                <c:pt idx="91">
                  <c:v>0.54278411173376706</c:v>
                </c:pt>
                <c:pt idx="92">
                  <c:v>0.5391516531351106</c:v>
                </c:pt>
                <c:pt idx="93">
                  <c:v>0.53554350393532146</c:v>
                </c:pt>
                <c:pt idx="94">
                  <c:v>0.53195950144930415</c:v>
                </c:pt>
                <c:pt idx="95">
                  <c:v>0.52839948408069648</c:v>
                </c:pt>
                <c:pt idx="96">
                  <c:v>0.52486329131458243</c:v>
                </c:pt>
                <c:pt idx="97">
                  <c:v>0.52135076371025579</c:v>
                </c:pt>
                <c:pt idx="98">
                  <c:v>0.51786174289403053</c:v>
                </c:pt>
                <c:pt idx="99">
                  <c:v>0.51439607155210054</c:v>
                </c:pt>
                <c:pt idx="100">
                  <c:v>0.51095359342344626</c:v>
                </c:pt>
                <c:pt idx="101">
                  <c:v>0.50753415329278939</c:v>
                </c:pt>
                <c:pt idx="102">
                  <c:v>0.50413759698359417</c:v>
                </c:pt>
                <c:pt idx="103">
                  <c:v>0.50076377135111638</c:v>
                </c:pt>
                <c:pt idx="104">
                  <c:v>0.49741252427549781</c:v>
                </c:pt>
                <c:pt idx="105">
                  <c:v>0.49408370465490764</c:v>
                </c:pt>
                <c:pt idx="106">
                  <c:v>0.49077716239872965</c:v>
                </c:pt>
                <c:pt idx="107">
                  <c:v>0.48749274842079449</c:v>
                </c:pt>
                <c:pt idx="108">
                  <c:v>0.48423031463265825</c:v>
                </c:pt>
                <c:pt idx="109">
                  <c:v>0.48098971393692475</c:v>
                </c:pt>
                <c:pt idx="110">
                  <c:v>0.47777080022061374</c:v>
                </c:pt>
                <c:pt idx="111">
                  <c:v>0.47457342834857263</c:v>
                </c:pt>
                <c:pt idx="112">
                  <c:v>0.47139745415693274</c:v>
                </c:pt>
                <c:pt idx="113">
                  <c:v>0.46824273444660891</c:v>
                </c:pt>
                <c:pt idx="114">
                  <c:v>0.46510912697684337</c:v>
                </c:pt>
                <c:pt idx="115">
                  <c:v>0.46199649045879193</c:v>
                </c:pt>
                <c:pt idx="116">
                  <c:v>0.45890468454915373</c:v>
                </c:pt>
                <c:pt idx="117">
                  <c:v>0.4558335698438436</c:v>
                </c:pt>
                <c:pt idx="118">
                  <c:v>0.45278300787170589</c:v>
                </c:pt>
                <c:pt idx="119">
                  <c:v>0.449752861088272</c:v>
                </c:pt>
                <c:pt idx="120">
                  <c:v>0.44674299286955788</c:v>
                </c:pt>
                <c:pt idx="121">
                  <c:v>0.44375326750590444</c:v>
                </c:pt>
                <c:pt idx="122">
                  <c:v>0.44078355019585835</c:v>
                </c:pt>
                <c:pt idx="123">
                  <c:v>0.43783370704009444</c:v>
                </c:pt>
                <c:pt idx="124">
                  <c:v>0.43490360503537784</c:v>
                </c:pt>
                <c:pt idx="125">
                  <c:v>0.43199311206856766</c:v>
                </c:pt>
                <c:pt idx="126">
                  <c:v>0.42910209691065981</c:v>
                </c:pt>
                <c:pt idx="127">
                  <c:v>0.42623042921087062</c:v>
                </c:pt>
                <c:pt idx="128">
                  <c:v>0.42337797949075889</c:v>
                </c:pt>
                <c:pt idx="129">
                  <c:v>0.42054461913838853</c:v>
                </c:pt>
                <c:pt idx="130">
                  <c:v>0.41773022040252944</c:v>
                </c:pt>
                <c:pt idx="131">
                  <c:v>0.41493465638689714</c:v>
                </c:pt>
                <c:pt idx="132">
                  <c:v>0.41215780104443195</c:v>
                </c:pt>
                <c:pt idx="133">
                  <c:v>0.40939952917161498</c:v>
                </c:pt>
                <c:pt idx="134">
                  <c:v>0.40665971640282345</c:v>
                </c:pt>
                <c:pt idx="135">
                  <c:v>0.40393823920472305</c:v>
                </c:pt>
                <c:pt idx="136">
                  <c:v>0.40123497487069804</c:v>
                </c:pt>
                <c:pt idx="137">
                  <c:v>0.3985498015153186</c:v>
                </c:pt>
                <c:pt idx="138">
                  <c:v>0.39588259806884551</c:v>
                </c:pt>
                <c:pt idx="139">
                  <c:v>0.39323324427177087</c:v>
                </c:pt>
                <c:pt idx="140">
                  <c:v>0.39060162066939619</c:v>
                </c:pt>
                <c:pt idx="141">
                  <c:v>0.3879876086064461</c:v>
                </c:pt>
                <c:pt idx="142">
                  <c:v>0.38539109022171869</c:v>
                </c:pt>
                <c:pt idx="143">
                  <c:v>0.38281194844277122</c:v>
                </c:pt>
                <c:pt idx="144">
                  <c:v>0.38025006698064129</c:v>
                </c:pt>
                <c:pt idx="145">
                  <c:v>0.37770533032460407</c:v>
                </c:pt>
                <c:pt idx="146">
                  <c:v>0.37517762373696367</c:v>
                </c:pt>
                <c:pt idx="147">
                  <c:v>0.37266683324788008</c:v>
                </c:pt>
                <c:pt idx="148">
                  <c:v>0.37017284565023034</c:v>
                </c:pt>
                <c:pt idx="149">
                  <c:v>0.36769554849450437</c:v>
                </c:pt>
                <c:pt idx="150">
                  <c:v>0.3652348300837347</c:v>
                </c:pt>
                <c:pt idx="151">
                  <c:v>0.36279057946846016</c:v>
                </c:pt>
                <c:pt idx="152">
                  <c:v>0.36036268644172365</c:v>
                </c:pt>
                <c:pt idx="153">
                  <c:v>0.3579510415341029</c:v>
                </c:pt>
                <c:pt idx="154">
                  <c:v>0.35555553600877471</c:v>
                </c:pt>
                <c:pt idx="155">
                  <c:v>0.35317606185661227</c:v>
                </c:pt>
                <c:pt idx="156">
                  <c:v>0.35081251179131495</c:v>
                </c:pt>
                <c:pt idx="157">
                  <c:v>0.34846477924457142</c:v>
                </c:pt>
                <c:pt idx="158">
                  <c:v>0.34613275836125429</c:v>
                </c:pt>
                <c:pt idx="159">
                  <c:v>0.3438163439946475</c:v>
                </c:pt>
                <c:pt idx="160">
                  <c:v>0.34151543170170517</c:v>
                </c:pt>
                <c:pt idx="161">
                  <c:v>0.33922991773834288</c:v>
                </c:pt>
                <c:pt idx="162">
                  <c:v>0.33695969905475953</c:v>
                </c:pt>
                <c:pt idx="163">
                  <c:v>0.33470467329079157</c:v>
                </c:pt>
                <c:pt idx="164">
                  <c:v>0.33246473877129701</c:v>
                </c:pt>
                <c:pt idx="165">
                  <c:v>0.33023979450157187</c:v>
                </c:pt>
                <c:pt idx="166">
                  <c:v>0.32802974016279607</c:v>
                </c:pt>
                <c:pt idx="167">
                  <c:v>0.32583447610751021</c:v>
                </c:pt>
                <c:pt idx="168">
                  <c:v>0.32365390335512284</c:v>
                </c:pt>
                <c:pt idx="169">
                  <c:v>0.32148792358744738</c:v>
                </c:pt>
                <c:pt idx="170">
                  <c:v>0.31933643914426929</c:v>
                </c:pt>
                <c:pt idx="171">
                  <c:v>0.3171993530189427</c:v>
                </c:pt>
                <c:pt idx="172">
                  <c:v>0.31507656885401664</c:v>
                </c:pt>
                <c:pt idx="173">
                  <c:v>0.31296799093689009</c:v>
                </c:pt>
                <c:pt idx="174">
                  <c:v>0.31087352419549702</c:v>
                </c:pt>
                <c:pt idx="175">
                  <c:v>0.30879307419401936</c:v>
                </c:pt>
                <c:pt idx="176">
                  <c:v>0.30672654712862918</c:v>
                </c:pt>
                <c:pt idx="177">
                  <c:v>0.30467384982325907</c:v>
                </c:pt>
                <c:pt idx="178">
                  <c:v>0.30263488972540137</c:v>
                </c:pt>
                <c:pt idx="179">
                  <c:v>0.30060957490193491</c:v>
                </c:pt>
                <c:pt idx="180">
                  <c:v>0.2985978140349797</c:v>
                </c:pt>
                <c:pt idx="181">
                  <c:v>0.29659951641778015</c:v>
                </c:pt>
                <c:pt idx="182">
                  <c:v>0.29461459195061451</c:v>
                </c:pt>
                <c:pt idx="183">
                  <c:v>0.29264295113673311</c:v>
                </c:pt>
                <c:pt idx="184">
                  <c:v>0.29068450507832261</c:v>
                </c:pt>
                <c:pt idx="185">
                  <c:v>0.28873916547249817</c:v>
                </c:pt>
                <c:pt idx="186">
                  <c:v>0.28680684460732164</c:v>
                </c:pt>
                <c:pt idx="187">
                  <c:v>0.28488745535784704</c:v>
                </c:pt>
                <c:pt idx="188">
                  <c:v>0.28298091118219221</c:v>
                </c:pt>
                <c:pt idx="189">
                  <c:v>0.28108712611763687</c:v>
                </c:pt>
                <c:pt idx="190">
                  <c:v>0.27920601477674617</c:v>
                </c:pt>
                <c:pt idx="191">
                  <c:v>0.27733749234352162</c:v>
                </c:pt>
                <c:pt idx="192">
                  <c:v>0.27548147456957622</c:v>
                </c:pt>
                <c:pt idx="193">
                  <c:v>0.27363787777033599</c:v>
                </c:pt>
                <c:pt idx="194">
                  <c:v>0.27180661882126694</c:v>
                </c:pt>
                <c:pt idx="195">
                  <c:v>0.26998761515412695</c:v>
                </c:pt>
                <c:pt idx="196">
                  <c:v>0.26818078475324297</c:v>
                </c:pt>
                <c:pt idx="197">
                  <c:v>0.26638604615181322</c:v>
                </c:pt>
                <c:pt idx="198">
                  <c:v>0.26460331842823376</c:v>
                </c:pt>
                <c:pt idx="199">
                  <c:v>0.26283252120244993</c:v>
                </c:pt>
                <c:pt idx="200">
                  <c:v>0.26107357463233238</c:v>
                </c:pt>
                <c:pt idx="201">
                  <c:v>0.2593263994100769</c:v>
                </c:pt>
                <c:pt idx="202">
                  <c:v>0.25759091675862861</c:v>
                </c:pt>
                <c:pt idx="203">
                  <c:v>0.25586704842812991</c:v>
                </c:pt>
                <c:pt idx="204">
                  <c:v>0.25415471669239281</c:v>
                </c:pt>
                <c:pt idx="205">
                  <c:v>0.25245384434539381</c:v>
                </c:pt>
                <c:pt idx="206">
                  <c:v>0.25076435469779312</c:v>
                </c:pt>
                <c:pt idx="207">
                  <c:v>0.24908617157347704</c:v>
                </c:pt>
                <c:pt idx="208">
                  <c:v>0.24741921930612271</c:v>
                </c:pt>
                <c:pt idx="209">
                  <c:v>0.24576342273578716</c:v>
                </c:pt>
                <c:pt idx="210">
                  <c:v>0.24411870720551801</c:v>
                </c:pt>
                <c:pt idx="211">
                  <c:v>0.24248499855798761</c:v>
                </c:pt>
                <c:pt idx="212">
                  <c:v>0.24086222313214906</c:v>
                </c:pt>
                <c:pt idx="213">
                  <c:v>0.23925030775991532</c:v>
                </c:pt>
                <c:pt idx="214">
                  <c:v>0.23764917976286004</c:v>
                </c:pt>
                <c:pt idx="215">
                  <c:v>0.23605876694894065</c:v>
                </c:pt>
                <c:pt idx="216">
                  <c:v>0.23447899760924318</c:v>
                </c:pt>
                <c:pt idx="217">
                  <c:v>0.23290980051474933</c:v>
                </c:pt>
                <c:pt idx="218">
                  <c:v>0.23135110491312469</c:v>
                </c:pt>
                <c:pt idx="219">
                  <c:v>0.2298028405255286</c:v>
                </c:pt>
                <c:pt idx="220">
                  <c:v>0.22826493754344562</c:v>
                </c:pt>
                <c:pt idx="221">
                  <c:v>0.22673732662553767</c:v>
                </c:pt>
                <c:pt idx="222">
                  <c:v>0.22521993889451783</c:v>
                </c:pt>
                <c:pt idx="223">
                  <c:v>0.22371270593404466</c:v>
                </c:pt>
                <c:pt idx="224">
                  <c:v>0.22221555978563751</c:v>
                </c:pt>
                <c:pt idx="225">
                  <c:v>0.22072843294561217</c:v>
                </c:pt>
                <c:pt idx="226">
                  <c:v>0.21925125836203752</c:v>
                </c:pt>
                <c:pt idx="227">
                  <c:v>0.21778396943171216</c:v>
                </c:pt>
                <c:pt idx="228">
                  <c:v>0.21632649999716141</c:v>
                </c:pt>
                <c:pt idx="229">
                  <c:v>0.21487878434365426</c:v>
                </c:pt>
                <c:pt idx="230">
                  <c:v>0.21344075719624062</c:v>
                </c:pt>
                <c:pt idx="231">
                  <c:v>0.21201235371680802</c:v>
                </c:pt>
                <c:pt idx="232">
                  <c:v>0.21059350950115832</c:v>
                </c:pt>
                <c:pt idx="233">
                  <c:v>0.2091841605761037</c:v>
                </c:pt>
                <c:pt idx="234">
                  <c:v>0.20778424339658222</c:v>
                </c:pt>
                <c:pt idx="235">
                  <c:v>0.20639369484279282</c:v>
                </c:pt>
                <c:pt idx="236">
                  <c:v>0.20501245221734929</c:v>
                </c:pt>
                <c:pt idx="237">
                  <c:v>0.20364045324245333</c:v>
                </c:pt>
                <c:pt idx="238">
                  <c:v>0.20227763605708649</c:v>
                </c:pt>
                <c:pt idx="239">
                  <c:v>0.20092393921422114</c:v>
                </c:pt>
                <c:pt idx="240">
                  <c:v>0.19957930167804983</c:v>
                </c:pt>
                <c:pt idx="241">
                  <c:v>0.19824366282123329</c:v>
                </c:pt>
                <c:pt idx="242">
                  <c:v>0.19691696242216677</c:v>
                </c:pt>
                <c:pt idx="243">
                  <c:v>0.195599140662265</c:v>
                </c:pt>
                <c:pt idx="244">
                  <c:v>0.19429013812326479</c:v>
                </c:pt>
                <c:pt idx="245">
                  <c:v>0.1929898957845462</c:v>
                </c:pt>
                <c:pt idx="246">
                  <c:v>0.19169835502047125</c:v>
                </c:pt>
                <c:pt idx="247">
                  <c:v>0.19041545759774056</c:v>
                </c:pt>
                <c:pt idx="248">
                  <c:v>0.18914114567276791</c:v>
                </c:pt>
                <c:pt idx="249">
                  <c:v>0.18787536178907205</c:v>
                </c:pt>
                <c:pt idx="250">
                  <c:v>0.18661804887468605</c:v>
                </c:pt>
                <c:pt idx="251">
                  <c:v>0.18536915023958406</c:v>
                </c:pt>
                <c:pt idx="252">
                  <c:v>0.1841286095731253</c:v>
                </c:pt>
                <c:pt idx="253">
                  <c:v>0.18289637094151512</c:v>
                </c:pt>
                <c:pt idx="254">
                  <c:v>0.181672378785283</c:v>
                </c:pt>
                <c:pt idx="255">
                  <c:v>0.18045657791677736</c:v>
                </c:pt>
                <c:pt idx="256">
                  <c:v>0.17924891351767747</c:v>
                </c:pt>
                <c:pt idx="257">
                  <c:v>0.17804933113652169</c:v>
                </c:pt>
                <c:pt idx="258">
                  <c:v>0.17685777668625227</c:v>
                </c:pt>
                <c:pt idx="259">
                  <c:v>0.17567419644177687</c:v>
                </c:pt>
                <c:pt idx="260">
                  <c:v>0.17449853703754581</c:v>
                </c:pt>
                <c:pt idx="261">
                  <c:v>0.17333074546514635</c:v>
                </c:pt>
                <c:pt idx="262">
                  <c:v>0.17217076907091242</c:v>
                </c:pt>
                <c:pt idx="263">
                  <c:v>0.1710185555535505</c:v>
                </c:pt>
                <c:pt idx="264">
                  <c:v>0.16987405296178157</c:v>
                </c:pt>
                <c:pt idx="265">
                  <c:v>0.1687372096919986</c:v>
                </c:pt>
                <c:pt idx="266">
                  <c:v>0.16760797448594003</c:v>
                </c:pt>
                <c:pt idx="267">
                  <c:v>0.16648629642837842</c:v>
                </c:pt>
                <c:pt idx="268">
                  <c:v>0.16537212494482481</c:v>
                </c:pt>
                <c:pt idx="269">
                  <c:v>0.16426540979924853</c:v>
                </c:pt>
                <c:pt idx="270">
                  <c:v>0.16316610109181204</c:v>
                </c:pt>
                <c:pt idx="271">
                  <c:v>0.16207414925662103</c:v>
                </c:pt>
                <c:pt idx="272">
                  <c:v>0.16098950505948967</c:v>
                </c:pt>
                <c:pt idx="273">
                  <c:v>0.15991211959572055</c:v>
                </c:pt>
                <c:pt idx="274">
                  <c:v>0.15884194428789986</c:v>
                </c:pt>
                <c:pt idx="275">
                  <c:v>0.15777893088370704</c:v>
                </c:pt>
                <c:pt idx="276">
                  <c:v>0.15672303145373911</c:v>
                </c:pt>
                <c:pt idx="277">
                  <c:v>0.15567419838934962</c:v>
                </c:pt>
                <c:pt idx="278">
                  <c:v>0.15463238440050223</c:v>
                </c:pt>
                <c:pt idx="279">
                  <c:v>0.15359754251363825</c:v>
                </c:pt>
                <c:pt idx="280">
                  <c:v>0.15256962606955887</c:v>
                </c:pt>
                <c:pt idx="281">
                  <c:v>0.15154858872132121</c:v>
                </c:pt>
                <c:pt idx="282">
                  <c:v>0.15053438443214881</c:v>
                </c:pt>
                <c:pt idx="283">
                  <c:v>0.14952696747335575</c:v>
                </c:pt>
                <c:pt idx="284">
                  <c:v>0.14852629242228493</c:v>
                </c:pt>
                <c:pt idx="285">
                  <c:v>0.14753231416026</c:v>
                </c:pt>
                <c:pt idx="286">
                  <c:v>0.14654498787055092</c:v>
                </c:pt>
                <c:pt idx="287">
                  <c:v>0.14556426903635356</c:v>
                </c:pt>
                <c:pt idx="288">
                  <c:v>0.1445901134387822</c:v>
                </c:pt>
                <c:pt idx="289">
                  <c:v>0.14362247715487597</c:v>
                </c:pt>
                <c:pt idx="290">
                  <c:v>0.14266131655561828</c:v>
                </c:pt>
                <c:pt idx="291">
                  <c:v>0.1417065883039699</c:v>
                </c:pt>
                <c:pt idx="292">
                  <c:v>0.1407582493529147</c:v>
                </c:pt>
                <c:pt idx="293">
                  <c:v>0.13981625694351896</c:v>
                </c:pt>
                <c:pt idx="294">
                  <c:v>0.13888056860300327</c:v>
                </c:pt>
                <c:pt idx="295">
                  <c:v>0.13795114214282764</c:v>
                </c:pt>
                <c:pt idx="296">
                  <c:v>0.13702793565678925</c:v>
                </c:pt>
                <c:pt idx="297">
                  <c:v>0.13611090751913293</c:v>
                </c:pt>
                <c:pt idx="298">
                  <c:v>0.1352000163826744</c:v>
                </c:pt>
                <c:pt idx="299">
                  <c:v>0.1342952211769359</c:v>
                </c:pt>
                <c:pt idx="300">
                  <c:v>0.13353524915001644</c:v>
                </c:pt>
                <c:pt idx="301">
                  <c:v>0.13277957777859789</c:v>
                </c:pt>
                <c:pt idx="302">
                  <c:v>0.13202818272541902</c:v>
                </c:pt>
                <c:pt idx="303">
                  <c:v>0.13128103979094236</c:v>
                </c:pt>
                <c:pt idx="304">
                  <c:v>0.13053812491257472</c:v>
                </c:pt>
                <c:pt idx="305">
                  <c:v>0.12979941416389237</c:v>
                </c:pt>
                <c:pt idx="306">
                  <c:v>0.12906488375387035</c:v>
                </c:pt>
                <c:pt idx="307">
                  <c:v>0.12833451002611629</c:v>
                </c:pt>
                <c:pt idx="308">
                  <c:v>0.12760826945810855</c:v>
                </c:pt>
                <c:pt idx="309">
                  <c:v>0.1268861386604386</c:v>
                </c:pt>
                <c:pt idx="310">
                  <c:v>0.12616809437605778</c:v>
                </c:pt>
                <c:pt idx="311">
                  <c:v>0.12545411347952826</c:v>
                </c:pt>
                <c:pt idx="312">
                  <c:v>0.12464639820026216</c:v>
                </c:pt>
                <c:pt idx="313">
                  <c:v>0.1238438832604211</c:v>
                </c:pt>
                <c:pt idx="314">
                  <c:v>0.12304653517849144</c:v>
                </c:pt>
                <c:pt idx="315">
                  <c:v>0.12225432068852465</c:v>
                </c:pt>
                <c:pt idx="316">
                  <c:v>0.12146720673874944</c:v>
                </c:pt>
                <c:pt idx="317">
                  <c:v>0.12068516049019283</c:v>
                </c:pt>
                <c:pt idx="318">
                  <c:v>0.11990814931531002</c:v>
                </c:pt>
                <c:pt idx="319">
                  <c:v>0.11913614079662323</c:v>
                </c:pt>
                <c:pt idx="320">
                  <c:v>0.11836910272536914</c:v>
                </c:pt>
                <c:pt idx="321">
                  <c:v>0.11760700310015518</c:v>
                </c:pt>
                <c:pt idx="322">
                  <c:v>0.11684981012562437</c:v>
                </c:pt>
                <c:pt idx="323">
                  <c:v>0.11609749221112881</c:v>
                </c:pt>
                <c:pt idx="324">
                  <c:v>0.11524641058055576</c:v>
                </c:pt>
                <c:pt idx="325">
                  <c:v>0.11440156801620287</c:v>
                </c:pt>
                <c:pt idx="326">
                  <c:v>0.11356291878103869</c:v>
                </c:pt>
                <c:pt idx="327">
                  <c:v>0.11273041747331849</c:v>
                </c:pt>
                <c:pt idx="328">
                  <c:v>0.11190401902412637</c:v>
                </c:pt>
                <c:pt idx="329">
                  <c:v>0.11108367869493535</c:v>
                </c:pt>
                <c:pt idx="330">
                  <c:v>0.11026935207518537</c:v>
                </c:pt>
                <c:pt idx="331">
                  <c:v>0.10946099507987909</c:v>
                </c:pt>
                <c:pt idx="332">
                  <c:v>0.10865856394719524</c:v>
                </c:pt>
                <c:pt idx="333">
                  <c:v>0.10786201523611946</c:v>
                </c:pt>
                <c:pt idx="334">
                  <c:v>0.10707130582409263</c:v>
                </c:pt>
                <c:pt idx="335">
                  <c:v>0.10628639290467629</c:v>
                </c:pt>
                <c:pt idx="336">
                  <c:v>0.10540013327109336</c:v>
                </c:pt>
                <c:pt idx="337">
                  <c:v>0.10452126363463662</c:v>
                </c:pt>
                <c:pt idx="338">
                  <c:v>0.10364972237447234</c:v>
                </c:pt>
                <c:pt idx="339">
                  <c:v>0.10278544838358662</c:v>
                </c:pt>
                <c:pt idx="340">
                  <c:v>0.10192838106450097</c:v>
                </c:pt>
                <c:pt idx="341">
                  <c:v>0.1010784603250236</c:v>
                </c:pt>
                <c:pt idx="342">
                  <c:v>0.10023562657403608</c:v>
                </c:pt>
                <c:pt idx="343">
                  <c:v>9.9399820717315235E-2</c:v>
                </c:pt>
                <c:pt idx="344">
                  <c:v>9.8570984153389843E-2</c:v>
                </c:pt>
                <c:pt idx="345">
                  <c:v>9.7749058769431796E-2</c:v>
                </c:pt>
                <c:pt idx="346">
                  <c:v>9.6933986937181651E-2</c:v>
                </c:pt>
                <c:pt idx="347">
                  <c:v>9.6125711508908099E-2</c:v>
                </c:pt>
                <c:pt idx="348">
                  <c:v>9.5215024949981159E-2</c:v>
                </c:pt>
                <c:pt idx="349">
                  <c:v>9.4312966155630326E-2</c:v>
                </c:pt>
                <c:pt idx="350">
                  <c:v>9.3419453387170823E-2</c:v>
                </c:pt>
                <c:pt idx="351">
                  <c:v>9.2534405680302981E-2</c:v>
                </c:pt>
                <c:pt idx="352">
                  <c:v>9.1657742837775821E-2</c:v>
                </c:pt>
                <c:pt idx="353">
                  <c:v>9.0789385422120075E-2</c:v>
                </c:pt>
                <c:pt idx="354">
                  <c:v>8.9929254748450108E-2</c:v>
                </c:pt>
                <c:pt idx="355">
                  <c:v>8.9077272877333954E-2</c:v>
                </c:pt>
                <c:pt idx="356">
                  <c:v>8.8233362607731028E-2</c:v>
                </c:pt>
                <c:pt idx="357">
                  <c:v>8.7397447469996614E-2</c:v>
                </c:pt>
                <c:pt idx="358">
                  <c:v>8.6569451718952695E-2</c:v>
                </c:pt>
                <c:pt idx="359">
                  <c:v>8.5749300327024436E-2</c:v>
                </c:pt>
                <c:pt idx="360">
                  <c:v>8.4826914712213444E-2</c:v>
                </c:pt>
                <c:pt idx="361">
                  <c:v>8.391445098853352E-2</c:v>
                </c:pt>
                <c:pt idx="362">
                  <c:v>8.3011802428470671E-2</c:v>
                </c:pt>
                <c:pt idx="363">
                  <c:v>8.2118863452554355E-2</c:v>
                </c:pt>
                <c:pt idx="364">
                  <c:v>8.1235529617008265E-2</c:v>
                </c:pt>
                <c:pt idx="365">
                  <c:v>8.0361697601533902E-2</c:v>
                </c:pt>
              </c:numCache>
            </c:numRef>
          </c:yVal>
          <c:smooth val="0"/>
          <c:extLst>
            <c:ext xmlns:c16="http://schemas.microsoft.com/office/drawing/2014/chart" uri="{C3380CC4-5D6E-409C-BE32-E72D297353CC}">
              <c16:uniqueId val="{00000004-A08E-4DA3-B37D-0C0B5D7053C0}"/>
            </c:ext>
          </c:extLst>
        </c:ser>
        <c:ser>
          <c:idx val="5"/>
          <c:order val="5"/>
          <c:tx>
            <c:strRef>
              <c:f>'Cure point analyses'!$AM$3</c:f>
              <c:strCache>
                <c:ptCount val="1"/>
                <c:pt idx="0">
                  <c:v>OS 30 year </c:v>
                </c:pt>
              </c:strCache>
            </c:strRef>
          </c:tx>
          <c:spPr>
            <a:ln w="3175" cap="rnd">
              <a:solidFill>
                <a:schemeClr val="accent6"/>
              </a:solidFill>
              <a:round/>
            </a:ln>
            <a:effectLst/>
          </c:spPr>
          <c:marker>
            <c:symbol val="circle"/>
            <c:size val="5"/>
            <c:spPr>
              <a:solidFill>
                <a:schemeClr val="accent6"/>
              </a:solidFill>
              <a:ln w="3175">
                <a:solidFill>
                  <a:schemeClr val="accent6"/>
                </a:solidFill>
              </a:ln>
              <a:effectLst/>
            </c:spPr>
          </c:marker>
          <c:xVal>
            <c:numRef>
              <c:f>'Cure point analyses'!$AL$4:$AL$369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point analyses'!$AM$4:$AM$369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0.66838835482790826</c:v>
                </c:pt>
                <c:pt idx="61">
                  <c:v>0.66391531854285335</c:v>
                </c:pt>
                <c:pt idx="62">
                  <c:v>0.65947221703069325</c:v>
                </c:pt>
                <c:pt idx="63">
                  <c:v>0.65505884995980312</c:v>
                </c:pt>
                <c:pt idx="64">
                  <c:v>0.65067501833923125</c:v>
                </c:pt>
                <c:pt idx="65">
                  <c:v>0.64632052450972766</c:v>
                </c:pt>
                <c:pt idx="66">
                  <c:v>0.64199517213483148</c:v>
                </c:pt>
                <c:pt idx="67">
                  <c:v>0.63769876619201915</c:v>
                </c:pt>
                <c:pt idx="68">
                  <c:v>0.6334311129639103</c:v>
                </c:pt>
                <c:pt idx="69">
                  <c:v>0.629192020029534</c:v>
                </c:pt>
                <c:pt idx="70">
                  <c:v>0.62498129625565291</c:v>
                </c:pt>
                <c:pt idx="71">
                  <c:v>0.62079875178814492</c:v>
                </c:pt>
                <c:pt idx="72">
                  <c:v>0.61664419804344328</c:v>
                </c:pt>
                <c:pt idx="73">
                  <c:v>0.6125174477000338</c:v>
                </c:pt>
                <c:pt idx="74">
                  <c:v>0.60841831469000862</c:v>
                </c:pt>
                <c:pt idx="75">
                  <c:v>0.6043466141906767</c:v>
                </c:pt>
                <c:pt idx="76">
                  <c:v>0.60030216261623082</c:v>
                </c:pt>
                <c:pt idx="77">
                  <c:v>0.59628477760946963</c:v>
                </c:pt>
                <c:pt idx="78">
                  <c:v>0.59229427803357593</c:v>
                </c:pt>
                <c:pt idx="79">
                  <c:v>0.58833048396394882</c:v>
                </c:pt>
                <c:pt idx="80">
                  <c:v>0.58439321668009225</c:v>
                </c:pt>
                <c:pt idx="81">
                  <c:v>0.58048229865755552</c:v>
                </c:pt>
                <c:pt idx="82">
                  <c:v>0.57659755355993059</c:v>
                </c:pt>
                <c:pt idx="83">
                  <c:v>0.57273880623089968</c:v>
                </c:pt>
                <c:pt idx="84">
                  <c:v>0.56890588268633935</c:v>
                </c:pt>
                <c:pt idx="85">
                  <c:v>0.56509861010647444</c:v>
                </c:pt>
                <c:pt idx="86">
                  <c:v>0.56131681682808743</c:v>
                </c:pt>
                <c:pt idx="87">
                  <c:v>0.55756033233677682</c:v>
                </c:pt>
                <c:pt idx="88">
                  <c:v>0.55382898725927043</c:v>
                </c:pt>
                <c:pt idx="89">
                  <c:v>0.5501226133557876</c:v>
                </c:pt>
                <c:pt idx="90">
                  <c:v>0.54644104351245404</c:v>
                </c:pt>
                <c:pt idx="91">
                  <c:v>0.54278411173376706</c:v>
                </c:pt>
                <c:pt idx="92">
                  <c:v>0.5391516531351106</c:v>
                </c:pt>
                <c:pt idx="93">
                  <c:v>0.53554350393532146</c:v>
                </c:pt>
                <c:pt idx="94">
                  <c:v>0.53195950144930415</c:v>
                </c:pt>
                <c:pt idx="95">
                  <c:v>0.52839948408069648</c:v>
                </c:pt>
                <c:pt idx="96">
                  <c:v>0.52486329131458243</c:v>
                </c:pt>
                <c:pt idx="97">
                  <c:v>0.52135076371025579</c:v>
                </c:pt>
                <c:pt idx="98">
                  <c:v>0.51786174289403053</c:v>
                </c:pt>
                <c:pt idx="99">
                  <c:v>0.51439607155210054</c:v>
                </c:pt>
                <c:pt idx="100">
                  <c:v>0.51095359342344626</c:v>
                </c:pt>
                <c:pt idx="101">
                  <c:v>0.50753415329278939</c:v>
                </c:pt>
                <c:pt idx="102">
                  <c:v>0.50413759698359417</c:v>
                </c:pt>
                <c:pt idx="103">
                  <c:v>0.50076377135111638</c:v>
                </c:pt>
                <c:pt idx="104">
                  <c:v>0.49741252427549781</c:v>
                </c:pt>
                <c:pt idx="105">
                  <c:v>0.49408370465490764</c:v>
                </c:pt>
                <c:pt idx="106">
                  <c:v>0.49077716239872965</c:v>
                </c:pt>
                <c:pt idx="107">
                  <c:v>0.48749274842079449</c:v>
                </c:pt>
                <c:pt idx="108">
                  <c:v>0.48423031463265825</c:v>
                </c:pt>
                <c:pt idx="109">
                  <c:v>0.48098971393692475</c:v>
                </c:pt>
                <c:pt idx="110">
                  <c:v>0.47777080022061374</c:v>
                </c:pt>
                <c:pt idx="111">
                  <c:v>0.47457342834857263</c:v>
                </c:pt>
                <c:pt idx="112">
                  <c:v>0.47139745415693274</c:v>
                </c:pt>
                <c:pt idx="113">
                  <c:v>0.46824273444660891</c:v>
                </c:pt>
                <c:pt idx="114">
                  <c:v>0.46510912697684337</c:v>
                </c:pt>
                <c:pt idx="115">
                  <c:v>0.46199649045879193</c:v>
                </c:pt>
                <c:pt idx="116">
                  <c:v>0.45890468454915373</c:v>
                </c:pt>
                <c:pt idx="117">
                  <c:v>0.4558335698438436</c:v>
                </c:pt>
                <c:pt idx="118">
                  <c:v>0.45278300787170589</c:v>
                </c:pt>
                <c:pt idx="119">
                  <c:v>0.449752861088272</c:v>
                </c:pt>
                <c:pt idx="120">
                  <c:v>0.44674299286955788</c:v>
                </c:pt>
                <c:pt idx="121">
                  <c:v>0.44375326750590444</c:v>
                </c:pt>
                <c:pt idx="122">
                  <c:v>0.44078355019585835</c:v>
                </c:pt>
                <c:pt idx="123">
                  <c:v>0.43783370704009444</c:v>
                </c:pt>
                <c:pt idx="124">
                  <c:v>0.43490360503537784</c:v>
                </c:pt>
                <c:pt idx="125">
                  <c:v>0.43199311206856766</c:v>
                </c:pt>
                <c:pt idx="126">
                  <c:v>0.42910209691065981</c:v>
                </c:pt>
                <c:pt idx="127">
                  <c:v>0.42623042921087062</c:v>
                </c:pt>
                <c:pt idx="128">
                  <c:v>0.42337797949075889</c:v>
                </c:pt>
                <c:pt idx="129">
                  <c:v>0.42054461913838853</c:v>
                </c:pt>
                <c:pt idx="130">
                  <c:v>0.41773022040252944</c:v>
                </c:pt>
                <c:pt idx="131">
                  <c:v>0.41493465638689714</c:v>
                </c:pt>
                <c:pt idx="132">
                  <c:v>0.41215780104443195</c:v>
                </c:pt>
                <c:pt idx="133">
                  <c:v>0.40939952917161498</c:v>
                </c:pt>
                <c:pt idx="134">
                  <c:v>0.40665971640282345</c:v>
                </c:pt>
                <c:pt idx="135">
                  <c:v>0.40393823920472305</c:v>
                </c:pt>
                <c:pt idx="136">
                  <c:v>0.40123497487069804</c:v>
                </c:pt>
                <c:pt idx="137">
                  <c:v>0.3985498015153186</c:v>
                </c:pt>
                <c:pt idx="138">
                  <c:v>0.39588259806884551</c:v>
                </c:pt>
                <c:pt idx="139">
                  <c:v>0.39323324427177087</c:v>
                </c:pt>
                <c:pt idx="140">
                  <c:v>0.39060162066939619</c:v>
                </c:pt>
                <c:pt idx="141">
                  <c:v>0.3879876086064461</c:v>
                </c:pt>
                <c:pt idx="142">
                  <c:v>0.38539109022171869</c:v>
                </c:pt>
                <c:pt idx="143">
                  <c:v>0.38281194844277122</c:v>
                </c:pt>
                <c:pt idx="144">
                  <c:v>0.38025006698064129</c:v>
                </c:pt>
                <c:pt idx="145">
                  <c:v>0.37770533032460407</c:v>
                </c:pt>
                <c:pt idx="146">
                  <c:v>0.37517762373696367</c:v>
                </c:pt>
                <c:pt idx="147">
                  <c:v>0.37266683324788008</c:v>
                </c:pt>
                <c:pt idx="148">
                  <c:v>0.37017284565023034</c:v>
                </c:pt>
                <c:pt idx="149">
                  <c:v>0.36769554849450437</c:v>
                </c:pt>
                <c:pt idx="150">
                  <c:v>0.3652348300837347</c:v>
                </c:pt>
                <c:pt idx="151">
                  <c:v>0.36279057946846016</c:v>
                </c:pt>
                <c:pt idx="152">
                  <c:v>0.36036268644172365</c:v>
                </c:pt>
                <c:pt idx="153">
                  <c:v>0.3579510415341029</c:v>
                </c:pt>
                <c:pt idx="154">
                  <c:v>0.35555553600877471</c:v>
                </c:pt>
                <c:pt idx="155">
                  <c:v>0.35317606185661227</c:v>
                </c:pt>
                <c:pt idx="156">
                  <c:v>0.35081251179131495</c:v>
                </c:pt>
                <c:pt idx="157">
                  <c:v>0.34846477924457142</c:v>
                </c:pt>
                <c:pt idx="158">
                  <c:v>0.34613275836125429</c:v>
                </c:pt>
                <c:pt idx="159">
                  <c:v>0.3438163439946475</c:v>
                </c:pt>
                <c:pt idx="160">
                  <c:v>0.34151543170170517</c:v>
                </c:pt>
                <c:pt idx="161">
                  <c:v>0.33922991773834288</c:v>
                </c:pt>
                <c:pt idx="162">
                  <c:v>0.33695969905475953</c:v>
                </c:pt>
                <c:pt idx="163">
                  <c:v>0.33470467329079157</c:v>
                </c:pt>
                <c:pt idx="164">
                  <c:v>0.33246473877129701</c:v>
                </c:pt>
                <c:pt idx="165">
                  <c:v>0.33023979450157187</c:v>
                </c:pt>
                <c:pt idx="166">
                  <c:v>0.32802974016279607</c:v>
                </c:pt>
                <c:pt idx="167">
                  <c:v>0.32583447610751021</c:v>
                </c:pt>
                <c:pt idx="168">
                  <c:v>0.32365390335512284</c:v>
                </c:pt>
                <c:pt idx="169">
                  <c:v>0.32148792358744738</c:v>
                </c:pt>
                <c:pt idx="170">
                  <c:v>0.31933643914426929</c:v>
                </c:pt>
                <c:pt idx="171">
                  <c:v>0.3171993530189427</c:v>
                </c:pt>
                <c:pt idx="172">
                  <c:v>0.31507656885401664</c:v>
                </c:pt>
                <c:pt idx="173">
                  <c:v>0.31296799093689009</c:v>
                </c:pt>
                <c:pt idx="174">
                  <c:v>0.31087352419549702</c:v>
                </c:pt>
                <c:pt idx="175">
                  <c:v>0.30879307419401936</c:v>
                </c:pt>
                <c:pt idx="176">
                  <c:v>0.30672654712862918</c:v>
                </c:pt>
                <c:pt idx="177">
                  <c:v>0.30467384982325907</c:v>
                </c:pt>
                <c:pt idx="178">
                  <c:v>0.30263488972540137</c:v>
                </c:pt>
                <c:pt idx="179">
                  <c:v>0.30060957490193491</c:v>
                </c:pt>
                <c:pt idx="180">
                  <c:v>0.2985978140349797</c:v>
                </c:pt>
                <c:pt idx="181">
                  <c:v>0.29659951641778015</c:v>
                </c:pt>
                <c:pt idx="182">
                  <c:v>0.29461459195061451</c:v>
                </c:pt>
                <c:pt idx="183">
                  <c:v>0.29264295113673311</c:v>
                </c:pt>
                <c:pt idx="184">
                  <c:v>0.29068450507832261</c:v>
                </c:pt>
                <c:pt idx="185">
                  <c:v>0.28873916547249817</c:v>
                </c:pt>
                <c:pt idx="186">
                  <c:v>0.28680684460732164</c:v>
                </c:pt>
                <c:pt idx="187">
                  <c:v>0.28488745535784704</c:v>
                </c:pt>
                <c:pt idx="188">
                  <c:v>0.28298091118219221</c:v>
                </c:pt>
                <c:pt idx="189">
                  <c:v>0.28108712611763687</c:v>
                </c:pt>
                <c:pt idx="190">
                  <c:v>0.27920601477674617</c:v>
                </c:pt>
                <c:pt idx="191">
                  <c:v>0.27733749234352162</c:v>
                </c:pt>
                <c:pt idx="192">
                  <c:v>0.27548147456957622</c:v>
                </c:pt>
                <c:pt idx="193">
                  <c:v>0.27363787777033599</c:v>
                </c:pt>
                <c:pt idx="194">
                  <c:v>0.27180661882126694</c:v>
                </c:pt>
                <c:pt idx="195">
                  <c:v>0.26998761515412695</c:v>
                </c:pt>
                <c:pt idx="196">
                  <c:v>0.26818078475324297</c:v>
                </c:pt>
                <c:pt idx="197">
                  <c:v>0.26638604615181322</c:v>
                </c:pt>
                <c:pt idx="198">
                  <c:v>0.26460331842823376</c:v>
                </c:pt>
                <c:pt idx="199">
                  <c:v>0.26283252120244993</c:v>
                </c:pt>
                <c:pt idx="200">
                  <c:v>0.26107357463233238</c:v>
                </c:pt>
                <c:pt idx="201">
                  <c:v>0.2593263994100769</c:v>
                </c:pt>
                <c:pt idx="202">
                  <c:v>0.25759091675862861</c:v>
                </c:pt>
                <c:pt idx="203">
                  <c:v>0.25586704842812991</c:v>
                </c:pt>
                <c:pt idx="204">
                  <c:v>0.25415471669239281</c:v>
                </c:pt>
                <c:pt idx="205">
                  <c:v>0.25245384434539381</c:v>
                </c:pt>
                <c:pt idx="206">
                  <c:v>0.25076435469779312</c:v>
                </c:pt>
                <c:pt idx="207">
                  <c:v>0.24908617157347704</c:v>
                </c:pt>
                <c:pt idx="208">
                  <c:v>0.24741921930612271</c:v>
                </c:pt>
                <c:pt idx="209">
                  <c:v>0.24576342273578716</c:v>
                </c:pt>
                <c:pt idx="210">
                  <c:v>0.24411870720551801</c:v>
                </c:pt>
                <c:pt idx="211">
                  <c:v>0.24248499855798761</c:v>
                </c:pt>
                <c:pt idx="212">
                  <c:v>0.24086222313214906</c:v>
                </c:pt>
                <c:pt idx="213">
                  <c:v>0.23925030775991532</c:v>
                </c:pt>
                <c:pt idx="214">
                  <c:v>0.23764917976286004</c:v>
                </c:pt>
                <c:pt idx="215">
                  <c:v>0.23605876694894065</c:v>
                </c:pt>
                <c:pt idx="216">
                  <c:v>0.23447899760924318</c:v>
                </c:pt>
                <c:pt idx="217">
                  <c:v>0.23290980051474933</c:v>
                </c:pt>
                <c:pt idx="218">
                  <c:v>0.23135110491312469</c:v>
                </c:pt>
                <c:pt idx="219">
                  <c:v>0.2298028405255286</c:v>
                </c:pt>
                <c:pt idx="220">
                  <c:v>0.22826493754344562</c:v>
                </c:pt>
                <c:pt idx="221">
                  <c:v>0.22673732662553767</c:v>
                </c:pt>
                <c:pt idx="222">
                  <c:v>0.22521993889451783</c:v>
                </c:pt>
                <c:pt idx="223">
                  <c:v>0.22371270593404466</c:v>
                </c:pt>
                <c:pt idx="224">
                  <c:v>0.22221555978563751</c:v>
                </c:pt>
                <c:pt idx="225">
                  <c:v>0.22072843294561217</c:v>
                </c:pt>
                <c:pt idx="226">
                  <c:v>0.21925125836203752</c:v>
                </c:pt>
                <c:pt idx="227">
                  <c:v>0.21778396943171216</c:v>
                </c:pt>
                <c:pt idx="228">
                  <c:v>0.21632649999716141</c:v>
                </c:pt>
                <c:pt idx="229">
                  <c:v>0.21487878434365426</c:v>
                </c:pt>
                <c:pt idx="230">
                  <c:v>0.21344075719624062</c:v>
                </c:pt>
                <c:pt idx="231">
                  <c:v>0.21201235371680802</c:v>
                </c:pt>
                <c:pt idx="232">
                  <c:v>0.21059350950115832</c:v>
                </c:pt>
                <c:pt idx="233">
                  <c:v>0.2091841605761037</c:v>
                </c:pt>
                <c:pt idx="234">
                  <c:v>0.20778424339658222</c:v>
                </c:pt>
                <c:pt idx="235">
                  <c:v>0.20639369484279282</c:v>
                </c:pt>
                <c:pt idx="236">
                  <c:v>0.20501245221734929</c:v>
                </c:pt>
                <c:pt idx="237">
                  <c:v>0.20364045324245333</c:v>
                </c:pt>
                <c:pt idx="238">
                  <c:v>0.20227763605708649</c:v>
                </c:pt>
                <c:pt idx="239">
                  <c:v>0.20092393921422114</c:v>
                </c:pt>
                <c:pt idx="240">
                  <c:v>0.19957930167804983</c:v>
                </c:pt>
                <c:pt idx="241">
                  <c:v>0.19824366282123329</c:v>
                </c:pt>
                <c:pt idx="242">
                  <c:v>0.19691696242216677</c:v>
                </c:pt>
                <c:pt idx="243">
                  <c:v>0.195599140662265</c:v>
                </c:pt>
                <c:pt idx="244">
                  <c:v>0.19429013812326479</c:v>
                </c:pt>
                <c:pt idx="245">
                  <c:v>0.1929898957845462</c:v>
                </c:pt>
                <c:pt idx="246">
                  <c:v>0.19169835502047125</c:v>
                </c:pt>
                <c:pt idx="247">
                  <c:v>0.19041545759774056</c:v>
                </c:pt>
                <c:pt idx="248">
                  <c:v>0.18914114567276791</c:v>
                </c:pt>
                <c:pt idx="249">
                  <c:v>0.18787536178907205</c:v>
                </c:pt>
                <c:pt idx="250">
                  <c:v>0.18661804887468605</c:v>
                </c:pt>
                <c:pt idx="251">
                  <c:v>0.18536915023958406</c:v>
                </c:pt>
                <c:pt idx="252">
                  <c:v>0.1841286095731253</c:v>
                </c:pt>
                <c:pt idx="253">
                  <c:v>0.18289637094151512</c:v>
                </c:pt>
                <c:pt idx="254">
                  <c:v>0.181672378785283</c:v>
                </c:pt>
                <c:pt idx="255">
                  <c:v>0.18045657791677736</c:v>
                </c:pt>
                <c:pt idx="256">
                  <c:v>0.17924891351767747</c:v>
                </c:pt>
                <c:pt idx="257">
                  <c:v>0.17804933113652169</c:v>
                </c:pt>
                <c:pt idx="258">
                  <c:v>0.17685777668625227</c:v>
                </c:pt>
                <c:pt idx="259">
                  <c:v>0.17567419644177687</c:v>
                </c:pt>
                <c:pt idx="260">
                  <c:v>0.17449853703754581</c:v>
                </c:pt>
                <c:pt idx="261">
                  <c:v>0.17333074546514635</c:v>
                </c:pt>
                <c:pt idx="262">
                  <c:v>0.17217076907091242</c:v>
                </c:pt>
                <c:pt idx="263">
                  <c:v>0.1710185555535505</c:v>
                </c:pt>
                <c:pt idx="264">
                  <c:v>0.16987405296178157</c:v>
                </c:pt>
                <c:pt idx="265">
                  <c:v>0.1687372096919986</c:v>
                </c:pt>
                <c:pt idx="266">
                  <c:v>0.16760797448594003</c:v>
                </c:pt>
                <c:pt idx="267">
                  <c:v>0.16648629642837842</c:v>
                </c:pt>
                <c:pt idx="268">
                  <c:v>0.16537212494482481</c:v>
                </c:pt>
                <c:pt idx="269">
                  <c:v>0.16426540979924853</c:v>
                </c:pt>
                <c:pt idx="270">
                  <c:v>0.16316610109181204</c:v>
                </c:pt>
                <c:pt idx="271">
                  <c:v>0.16207414925662103</c:v>
                </c:pt>
                <c:pt idx="272">
                  <c:v>0.16098950505948967</c:v>
                </c:pt>
                <c:pt idx="273">
                  <c:v>0.15991211959572055</c:v>
                </c:pt>
                <c:pt idx="274">
                  <c:v>0.15884194428789986</c:v>
                </c:pt>
                <c:pt idx="275">
                  <c:v>0.15777893088370704</c:v>
                </c:pt>
                <c:pt idx="276">
                  <c:v>0.15672303145373911</c:v>
                </c:pt>
                <c:pt idx="277">
                  <c:v>0.15567419838934962</c:v>
                </c:pt>
                <c:pt idx="278">
                  <c:v>0.15463238440050223</c:v>
                </c:pt>
                <c:pt idx="279">
                  <c:v>0.15359754251363825</c:v>
                </c:pt>
                <c:pt idx="280">
                  <c:v>0.15256962606955887</c:v>
                </c:pt>
                <c:pt idx="281">
                  <c:v>0.15154858872132121</c:v>
                </c:pt>
                <c:pt idx="282">
                  <c:v>0.15053438443214881</c:v>
                </c:pt>
                <c:pt idx="283">
                  <c:v>0.14952696747335575</c:v>
                </c:pt>
                <c:pt idx="284">
                  <c:v>0.14852629242228493</c:v>
                </c:pt>
                <c:pt idx="285">
                  <c:v>0.14753231416026</c:v>
                </c:pt>
                <c:pt idx="286">
                  <c:v>0.14654498787055092</c:v>
                </c:pt>
                <c:pt idx="287">
                  <c:v>0.14556426903635356</c:v>
                </c:pt>
                <c:pt idx="288">
                  <c:v>0.1445901134387822</c:v>
                </c:pt>
                <c:pt idx="289">
                  <c:v>0.14362247715487597</c:v>
                </c:pt>
                <c:pt idx="290">
                  <c:v>0.14266131655561828</c:v>
                </c:pt>
                <c:pt idx="291">
                  <c:v>0.1417065883039699</c:v>
                </c:pt>
                <c:pt idx="292">
                  <c:v>0.1407582493529147</c:v>
                </c:pt>
                <c:pt idx="293">
                  <c:v>0.13981625694351896</c:v>
                </c:pt>
                <c:pt idx="294">
                  <c:v>0.13888056860300327</c:v>
                </c:pt>
                <c:pt idx="295">
                  <c:v>0.13795114214282764</c:v>
                </c:pt>
                <c:pt idx="296">
                  <c:v>0.13702793565678925</c:v>
                </c:pt>
                <c:pt idx="297">
                  <c:v>0.13611090751913293</c:v>
                </c:pt>
                <c:pt idx="298">
                  <c:v>0.1352000163826744</c:v>
                </c:pt>
                <c:pt idx="299">
                  <c:v>0.1342952211769359</c:v>
                </c:pt>
                <c:pt idx="300">
                  <c:v>0.13339648110629454</c:v>
                </c:pt>
                <c:pt idx="301">
                  <c:v>0.13250375564814268</c:v>
                </c:pt>
                <c:pt idx="302">
                  <c:v>0.1316170045510611</c:v>
                </c:pt>
                <c:pt idx="303">
                  <c:v>0.13073618783300392</c:v>
                </c:pt>
                <c:pt idx="304">
                  <c:v>0.12986126577949603</c:v>
                </c:pt>
                <c:pt idx="305">
                  <c:v>0.12899219894184233</c:v>
                </c:pt>
                <c:pt idx="306">
                  <c:v>0.12812894813534906</c:v>
                </c:pt>
                <c:pt idx="307">
                  <c:v>0.12727147443755712</c:v>
                </c:pt>
                <c:pt idx="308">
                  <c:v>0.12641973918648708</c:v>
                </c:pt>
                <c:pt idx="309">
                  <c:v>0.12557370397889597</c:v>
                </c:pt>
                <c:pt idx="310">
                  <c:v>0.1247333306685456</c:v>
                </c:pt>
                <c:pt idx="311">
                  <c:v>0.12389858136448295</c:v>
                </c:pt>
                <c:pt idx="312">
                  <c:v>0.12306941842933147</c:v>
                </c:pt>
                <c:pt idx="313">
                  <c:v>0.12224580447759416</c:v>
                </c:pt>
                <c:pt idx="314">
                  <c:v>0.12142770237396788</c:v>
                </c:pt>
                <c:pt idx="315">
                  <c:v>0.12061507523166905</c:v>
                </c:pt>
                <c:pt idx="316">
                  <c:v>0.11980788641077043</c:v>
                </c:pt>
                <c:pt idx="317">
                  <c:v>0.11900609951654922</c:v>
                </c:pt>
                <c:pt idx="318">
                  <c:v>0.11820967839784578</c:v>
                </c:pt>
                <c:pt idx="319">
                  <c:v>0.11741858714543402</c:v>
                </c:pt>
                <c:pt idx="320">
                  <c:v>0.11663279009040207</c:v>
                </c:pt>
                <c:pt idx="321">
                  <c:v>0.1158522518025441</c:v>
                </c:pt>
                <c:pt idx="322">
                  <c:v>0.11507693708876288</c:v>
                </c:pt>
                <c:pt idx="323">
                  <c:v>0.11430681099148285</c:v>
                </c:pt>
                <c:pt idx="324">
                  <c:v>0.11353804530785482</c:v>
                </c:pt>
                <c:pt idx="325">
                  <c:v>0.11277444992572673</c:v>
                </c:pt>
                <c:pt idx="326">
                  <c:v>0.11201599007245179</c:v>
                </c:pt>
                <c:pt idx="327">
                  <c:v>0.11126263120924515</c:v>
                </c:pt>
                <c:pt idx="328">
                  <c:v>0.11051433902961114</c:v>
                </c:pt>
                <c:pt idx="329">
                  <c:v>0.10977107945778099</c:v>
                </c:pt>
                <c:pt idx="330">
                  <c:v>0.10903281864716108</c:v>
                </c:pt>
                <c:pt idx="331">
                  <c:v>0.10829952297879165</c:v>
                </c:pt>
                <c:pt idx="332">
                  <c:v>0.10757115905981586</c:v>
                </c:pt>
                <c:pt idx="333">
                  <c:v>0.10684769372195912</c:v>
                </c:pt>
                <c:pt idx="334">
                  <c:v>0.10612909402001869</c:v>
                </c:pt>
                <c:pt idx="335">
                  <c:v>0.10541532723036341</c:v>
                </c:pt>
                <c:pt idx="336">
                  <c:v>0.1046089085790472</c:v>
                </c:pt>
                <c:pt idx="337">
                  <c:v>0.10380865896460899</c:v>
                </c:pt>
                <c:pt idx="338">
                  <c:v>0.10301453119442006</c:v>
                </c:pt>
                <c:pt idx="339">
                  <c:v>0.10222647843687145</c:v>
                </c:pt>
                <c:pt idx="340">
                  <c:v>0.1014444542186122</c:v>
                </c:pt>
                <c:pt idx="341">
                  <c:v>0.10066841242180867</c:v>
                </c:pt>
                <c:pt idx="342">
                  <c:v>9.9898307281424903E-2</c:v>
                </c:pt>
                <c:pt idx="343">
                  <c:v>9.9134093382523727E-2</c:v>
                </c:pt>
                <c:pt idx="344">
                  <c:v>9.8375725657588522E-2</c:v>
                </c:pt>
                <c:pt idx="345">
                  <c:v>9.762315938386551E-2</c:v>
                </c:pt>
                <c:pt idx="346">
                  <c:v>9.6876350180726309E-2</c:v>
                </c:pt>
                <c:pt idx="347">
                  <c:v>9.6135254007050752E-2</c:v>
                </c:pt>
                <c:pt idx="348">
                  <c:v>9.5299678810979838E-2</c:v>
                </c:pt>
                <c:pt idx="349">
                  <c:v>9.4471366152627259E-2</c:v>
                </c:pt>
                <c:pt idx="350">
                  <c:v>9.3650252908465237E-2</c:v>
                </c:pt>
                <c:pt idx="351">
                  <c:v>9.2836276503614396E-2</c:v>
                </c:pt>
                <c:pt idx="352">
                  <c:v>9.2029374907075079E-2</c:v>
                </c:pt>
                <c:pt idx="353">
                  <c:v>9.1229486627000173E-2</c:v>
                </c:pt>
                <c:pt idx="354">
                  <c:v>9.0436550706008964E-2</c:v>
                </c:pt>
                <c:pt idx="355">
                  <c:v>8.9650506716541692E-2</c:v>
                </c:pt>
                <c:pt idx="356">
                  <c:v>8.8871294756254604E-2</c:v>
                </c:pt>
                <c:pt idx="357">
                  <c:v>8.8098855443454874E-2</c:v>
                </c:pt>
                <c:pt idx="358">
                  <c:v>8.733312991257533E-2</c:v>
                </c:pt>
                <c:pt idx="359">
                  <c:v>8.6574059809688464E-2</c:v>
                </c:pt>
                <c:pt idx="360">
                  <c:v>8.5642802445725155E-2</c:v>
                </c:pt>
                <c:pt idx="361">
                  <c:v>8.4721562404269785E-2</c:v>
                </c:pt>
                <c:pt idx="362">
                  <c:v>8.3810231931274876E-2</c:v>
                </c:pt>
                <c:pt idx="363">
                  <c:v>8.2908704431778557E-2</c:v>
                </c:pt>
                <c:pt idx="364">
                  <c:v>8.201687445743662E-2</c:v>
                </c:pt>
                <c:pt idx="365">
                  <c:v>8.1134637694188577E-2</c:v>
                </c:pt>
              </c:numCache>
            </c:numRef>
          </c:yVal>
          <c:smooth val="0"/>
          <c:extLst>
            <c:ext xmlns:c16="http://schemas.microsoft.com/office/drawing/2014/chart" uri="{C3380CC4-5D6E-409C-BE32-E72D297353CC}">
              <c16:uniqueId val="{00000005-A08E-4DA3-B37D-0C0B5D7053C0}"/>
            </c:ext>
          </c:extLst>
        </c:ser>
        <c:dLbls>
          <c:showLegendKey val="0"/>
          <c:showVal val="0"/>
          <c:showCatName val="0"/>
          <c:showSerName val="0"/>
          <c:showPercent val="0"/>
          <c:showBubbleSize val="0"/>
        </c:dLbls>
        <c:axId val="394243920"/>
        <c:axId val="30714592"/>
      </c:scatterChart>
      <c:valAx>
        <c:axId val="394243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14592"/>
        <c:crosses val="autoZero"/>
        <c:crossBetween val="midCat"/>
      </c:valAx>
      <c:valAx>
        <c:axId val="30714592"/>
        <c:scaling>
          <c:orientation val="minMax"/>
          <c:max val="1"/>
        </c:scaling>
        <c:delete val="0"/>
        <c:axPos val="l"/>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243920"/>
        <c:crosses val="autoZero"/>
        <c:crossBetween val="midCat"/>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'cure fraction analyses'!$B$3</c:f>
              <c:strCache>
                <c:ptCount val="1"/>
                <c:pt idx="0">
                  <c:v>OS 40% (base case)</c:v>
                </c:pt>
              </c:strCache>
            </c:strRef>
          </c:tx>
          <c:spPr>
            <a:ln w="3175" cap="rnd">
              <a:solidFill>
                <a:schemeClr val="tx1"/>
              </a:solidFill>
              <a:round/>
            </a:ln>
            <a:effectLst/>
          </c:spPr>
          <c:marker>
            <c:symbol val="circle"/>
            <c:size val="5"/>
            <c:spPr>
              <a:solidFill>
                <a:schemeClr val="accent1"/>
              </a:solidFill>
              <a:ln w="3175">
                <a:solidFill>
                  <a:schemeClr val="accent1"/>
                </a:solidFill>
              </a:ln>
              <a:effectLst/>
            </c:spPr>
          </c:marker>
          <c:xVal>
            <c:numRef>
              <c:f>'cure fraction analyses'!$A$4:$A$369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fraction analyses'!$B$4:$B$369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0.67081614035893822</c:v>
                </c:pt>
                <c:pt idx="61">
                  <c:v>0.66874715423004027</c:v>
                </c:pt>
                <c:pt idx="62">
                  <c:v>0.66668454943776201</c:v>
                </c:pt>
                <c:pt idx="63">
                  <c:v>0.66462830630026204</c:v>
                </c:pt>
                <c:pt idx="64">
                  <c:v>0.6625784051964031</c:v>
                </c:pt>
                <c:pt idx="65">
                  <c:v>0.66053482656556517</c:v>
                </c:pt>
                <c:pt idx="66">
                  <c:v>0.65849755090745876</c:v>
                </c:pt>
                <c:pt idx="67">
                  <c:v>0.65646655878193871</c:v>
                </c:pt>
                <c:pt idx="68">
                  <c:v>0.65444183080881857</c:v>
                </c:pt>
                <c:pt idx="69">
                  <c:v>0.65242334766768617</c:v>
                </c:pt>
                <c:pt idx="70">
                  <c:v>0.65041109009771869</c:v>
                </c:pt>
                <c:pt idx="71">
                  <c:v>0.64840503889749934</c:v>
                </c:pt>
                <c:pt idx="72">
                  <c:v>0.64638351371560843</c:v>
                </c:pt>
                <c:pt idx="73">
                  <c:v>0.64436829102030524</c:v>
                </c:pt>
                <c:pt idx="74">
                  <c:v>0.6423593511623974</c:v>
                </c:pt>
                <c:pt idx="75">
                  <c:v>0.64035667455395251</c:v>
                </c:pt>
                <c:pt idx="76">
                  <c:v>0.63836024166810734</c:v>
                </c:pt>
                <c:pt idx="77">
                  <c:v>0.63637003303887729</c:v>
                </c:pt>
                <c:pt idx="78">
                  <c:v>0.63438602926096688</c:v>
                </c:pt>
                <c:pt idx="79">
                  <c:v>0.63240821098958</c:v>
                </c:pt>
                <c:pt idx="80">
                  <c:v>0.63043655894023187</c:v>
                </c:pt>
                <c:pt idx="81">
                  <c:v>0.62847105388856028</c:v>
                </c:pt>
                <c:pt idx="82">
                  <c:v>0.62651167667013929</c:v>
                </c:pt>
                <c:pt idx="83">
                  <c:v>0.62455840818029096</c:v>
                </c:pt>
                <c:pt idx="84">
                  <c:v>0.62258834962586684</c:v>
                </c:pt>
                <c:pt idx="85">
                  <c:v>0.62062450527119883</c:v>
                </c:pt>
                <c:pt idx="86">
                  <c:v>0.61866685551469791</c:v>
                </c:pt>
                <c:pt idx="87">
                  <c:v>0.61671538081660437</c:v>
                </c:pt>
                <c:pt idx="88">
                  <c:v>0.61477006169879345</c:v>
                </c:pt>
                <c:pt idx="89">
                  <c:v>0.61283087874458053</c:v>
                </c:pt>
                <c:pt idx="90">
                  <c:v>0.6108978125985276</c:v>
                </c:pt>
                <c:pt idx="91">
                  <c:v>0.6089708439662499</c:v>
                </c:pt>
                <c:pt idx="92">
                  <c:v>0.60704995361422331</c:v>
                </c:pt>
                <c:pt idx="93">
                  <c:v>0.60513512236959255</c:v>
                </c:pt>
                <c:pt idx="94">
                  <c:v>0.60322633111997959</c:v>
                </c:pt>
                <c:pt idx="95">
                  <c:v>0.60132356081329319</c:v>
                </c:pt>
                <c:pt idx="96">
                  <c:v>0.5994014416814426</c:v>
                </c:pt>
                <c:pt idx="97">
                  <c:v>0.59748546656622104</c:v>
                </c:pt>
                <c:pt idx="98">
                  <c:v>0.59557561582839802</c:v>
                </c:pt>
                <c:pt idx="99">
                  <c:v>0.59367186989151977</c:v>
                </c:pt>
                <c:pt idx="100">
                  <c:v>0.59177420924170809</c:v>
                </c:pt>
                <c:pt idx="101">
                  <c:v>0.58988261442746071</c:v>
                </c:pt>
                <c:pt idx="102">
                  <c:v>0.58799706605945135</c:v>
                </c:pt>
                <c:pt idx="103">
                  <c:v>0.58611754481033163</c:v>
                </c:pt>
                <c:pt idx="104">
                  <c:v>0.58424403141453263</c:v>
                </c:pt>
                <c:pt idx="105">
                  <c:v>0.5823765066680674</c:v>
                </c:pt>
                <c:pt idx="106">
                  <c:v>0.58051495142833431</c:v>
                </c:pt>
                <c:pt idx="107">
                  <c:v>0.57865934661392027</c:v>
                </c:pt>
                <c:pt idx="108">
                  <c:v>0.57678158236755872</c:v>
                </c:pt>
                <c:pt idx="109">
                  <c:v>0.57490991151377013</c:v>
                </c:pt>
                <c:pt idx="110">
                  <c:v>0.5730443142793411</c:v>
                </c:pt>
                <c:pt idx="111">
                  <c:v>0.5711847709552228</c:v>
                </c:pt>
                <c:pt idx="112">
                  <c:v>0.56933126189632299</c:v>
                </c:pt>
                <c:pt idx="113">
                  <c:v>0.56748376752129803</c:v>
                </c:pt>
                <c:pt idx="114">
                  <c:v>0.56564226831234632</c:v>
                </c:pt>
                <c:pt idx="115">
                  <c:v>0.56380674481500193</c:v>
                </c:pt>
                <c:pt idx="116">
                  <c:v>0.5619771776379292</c:v>
                </c:pt>
                <c:pt idx="117">
                  <c:v>0.56015354745271806</c:v>
                </c:pt>
                <c:pt idx="118">
                  <c:v>0.55833583499367934</c:v>
                </c:pt>
                <c:pt idx="119">
                  <c:v>0.55652402105764165</c:v>
                </c:pt>
                <c:pt idx="120">
                  <c:v>0.55468757069968988</c:v>
                </c:pt>
                <c:pt idx="121">
                  <c:v>0.55285718036752241</c:v>
                </c:pt>
                <c:pt idx="122">
                  <c:v>0.55103283006391346</c:v>
                </c:pt>
                <c:pt idx="123">
                  <c:v>0.54921449985762527</c:v>
                </c:pt>
                <c:pt idx="124">
                  <c:v>0.54740216988319035</c:v>
                </c:pt>
                <c:pt idx="125">
                  <c:v>0.5455958203406942</c:v>
                </c:pt>
                <c:pt idx="126">
                  <c:v>0.54379543149555953</c:v>
                </c:pt>
                <c:pt idx="127">
                  <c:v>0.54200098367833027</c:v>
                </c:pt>
                <c:pt idx="128">
                  <c:v>0.54021245728445666</c:v>
                </c:pt>
                <c:pt idx="129">
                  <c:v>0.53842983277408119</c:v>
                </c:pt>
                <c:pt idx="130">
                  <c:v>0.53665309067182521</c:v>
                </c:pt>
                <c:pt idx="131">
                  <c:v>0.534882211566576</c:v>
                </c:pt>
                <c:pt idx="132">
                  <c:v>0.53308438155161131</c:v>
                </c:pt>
                <c:pt idx="133">
                  <c:v>0.53129259434886356</c:v>
                </c:pt>
                <c:pt idx="134">
                  <c:v>0.52950682964741402</c:v>
                </c:pt>
                <c:pt idx="135">
                  <c:v>0.52772706720461227</c:v>
                </c:pt>
                <c:pt idx="136">
                  <c:v>0.52595328684584697</c:v>
                </c:pt>
                <c:pt idx="137">
                  <c:v>0.52418546846431691</c:v>
                </c:pt>
                <c:pt idx="138">
                  <c:v>0.52242359202080357</c:v>
                </c:pt>
                <c:pt idx="139">
                  <c:v>0.52066763754344336</c:v>
                </c:pt>
                <c:pt idx="140">
                  <c:v>0.51891758512750163</c:v>
                </c:pt>
                <c:pt idx="141">
                  <c:v>0.51717341493514679</c:v>
                </c:pt>
                <c:pt idx="142">
                  <c:v>0.51543510719522578</c:v>
                </c:pt>
                <c:pt idx="143">
                  <c:v>0.51370264220303974</c:v>
                </c:pt>
                <c:pt idx="144">
                  <c:v>0.51194129227106455</c:v>
                </c:pt>
                <c:pt idx="145">
                  <c:v>0.51018598154023032</c:v>
                </c:pt>
                <c:pt idx="146">
                  <c:v>0.50843668930372021</c:v>
                </c:pt>
                <c:pt idx="147">
                  <c:v>0.50669339492571541</c:v>
                </c:pt>
                <c:pt idx="148">
                  <c:v>0.50495607784115215</c:v>
                </c:pt>
                <c:pt idx="149">
                  <c:v>0.5032247175554786</c:v>
                </c:pt>
                <c:pt idx="150">
                  <c:v>0.50149929364441337</c:v>
                </c:pt>
                <c:pt idx="151">
                  <c:v>0.49977978575370446</c:v>
                </c:pt>
                <c:pt idx="152">
                  <c:v>0.49806617359888922</c:v>
                </c:pt>
                <c:pt idx="153">
                  <c:v>0.49635843696505516</c:v>
                </c:pt>
                <c:pt idx="154">
                  <c:v>0.49465655570660116</c:v>
                </c:pt>
                <c:pt idx="155">
                  <c:v>0.49296050974700012</c:v>
                </c:pt>
                <c:pt idx="156">
                  <c:v>0.49123186074366676</c:v>
                </c:pt>
                <c:pt idx="157">
                  <c:v>0.48950927353903256</c:v>
                </c:pt>
                <c:pt idx="158">
                  <c:v>0.48779272687638009</c:v>
                </c:pt>
                <c:pt idx="159">
                  <c:v>0.4860821995735321</c:v>
                </c:pt>
                <c:pt idx="160">
                  <c:v>0.48437767052259023</c:v>
                </c:pt>
                <c:pt idx="161">
                  <c:v>0.48267911868967456</c:v>
                </c:pt>
                <c:pt idx="162">
                  <c:v>0.480986523114664</c:v>
                </c:pt>
                <c:pt idx="163">
                  <c:v>0.47929986291093768</c:v>
                </c:pt>
                <c:pt idx="164">
                  <c:v>0.47761911726511702</c:v>
                </c:pt>
                <c:pt idx="165">
                  <c:v>0.47594426543680923</c:v>
                </c:pt>
                <c:pt idx="166">
                  <c:v>0.47427528675835118</c:v>
                </c:pt>
                <c:pt idx="167">
                  <c:v>0.4726121606345543</c:v>
                </c:pt>
                <c:pt idx="168">
                  <c:v>0.47091271321149902</c:v>
                </c:pt>
                <c:pt idx="169">
                  <c:v>0.46921937676438608</c:v>
                </c:pt>
                <c:pt idx="170">
                  <c:v>0.46753212931899824</c:v>
                </c:pt>
                <c:pt idx="171">
                  <c:v>0.46585094898013446</c:v>
                </c:pt>
                <c:pt idx="172">
                  <c:v>0.46417581393132579</c:v>
                </c:pt>
                <c:pt idx="173">
                  <c:v>0.46250670243455205</c:v>
                </c:pt>
                <c:pt idx="174">
                  <c:v>0.46084359282996024</c:v>
                </c:pt>
                <c:pt idx="175">
                  <c:v>0.45918646353558301</c:v>
                </c:pt>
                <c:pt idx="176">
                  <c:v>0.45753529304705887</c:v>
                </c:pt>
                <c:pt idx="177">
                  <c:v>0.45589005993735282</c:v>
                </c:pt>
                <c:pt idx="178">
                  <c:v>0.45425074285647865</c:v>
                </c:pt>
                <c:pt idx="179">
                  <c:v>0.45261732053122172</c:v>
                </c:pt>
                <c:pt idx="180">
                  <c:v>0.450943138171637</c:v>
                </c:pt>
                <c:pt idx="181">
                  <c:v>0.44927514843095134</c:v>
                </c:pt>
                <c:pt idx="182">
                  <c:v>0.44761332840333928</c:v>
                </c:pt>
                <c:pt idx="183">
                  <c:v>0.44595765526770159</c:v>
                </c:pt>
                <c:pt idx="184">
                  <c:v>0.44430810628735173</c:v>
                </c:pt>
                <c:pt idx="185">
                  <c:v>0.4426646588097039</c:v>
                </c:pt>
                <c:pt idx="186">
                  <c:v>0.44102729026596155</c:v>
                </c:pt>
                <c:pt idx="187">
                  <c:v>0.43939597817080767</c:v>
                </c:pt>
                <c:pt idx="188">
                  <c:v>0.43777070012209612</c:v>
                </c:pt>
                <c:pt idx="189">
                  <c:v>0.43615143380054389</c:v>
                </c:pt>
                <c:pt idx="190">
                  <c:v>0.43453815696942427</c:v>
                </c:pt>
                <c:pt idx="191">
                  <c:v>0.43293084747426219</c:v>
                </c:pt>
                <c:pt idx="192">
                  <c:v>0.43127796482065051</c:v>
                </c:pt>
                <c:pt idx="193">
                  <c:v>0.42963139269233985</c:v>
                </c:pt>
                <c:pt idx="194">
                  <c:v>0.4279911069964345</c:v>
                </c:pt>
                <c:pt idx="195">
                  <c:v>0.42635708373202263</c:v>
                </c:pt>
                <c:pt idx="196">
                  <c:v>0.42472929898982531</c:v>
                </c:pt>
                <c:pt idx="197">
                  <c:v>0.42310772895184667</c:v>
                </c:pt>
                <c:pt idx="198">
                  <c:v>0.42149234989102535</c:v>
                </c:pt>
                <c:pt idx="199">
                  <c:v>0.41988313817088718</c:v>
                </c:pt>
                <c:pt idx="200">
                  <c:v>0.41828007024519959</c:v>
                </c:pt>
                <c:pt idx="201">
                  <c:v>0.41668312265762703</c:v>
                </c:pt>
                <c:pt idx="202">
                  <c:v>0.41509227204138743</c:v>
                </c:pt>
                <c:pt idx="203">
                  <c:v>0.41350749511891072</c:v>
                </c:pt>
                <c:pt idx="204">
                  <c:v>0.4118727393135333</c:v>
                </c:pt>
                <c:pt idx="205">
                  <c:v>0.41024444633307383</c:v>
                </c:pt>
                <c:pt idx="206">
                  <c:v>0.40862259062747414</c:v>
                </c:pt>
                <c:pt idx="207">
                  <c:v>0.4070071467476854</c:v>
                </c:pt>
                <c:pt idx="208">
                  <c:v>0.40539808934526866</c:v>
                </c:pt>
                <c:pt idx="209">
                  <c:v>0.40379539317199736</c:v>
                </c:pt>
                <c:pt idx="210">
                  <c:v>0.40219903307946081</c:v>
                </c:pt>
                <c:pt idx="211">
                  <c:v>0.4006089840186699</c:v>
                </c:pt>
                <c:pt idx="212">
                  <c:v>0.39902522103966381</c:v>
                </c:pt>
                <c:pt idx="213">
                  <c:v>0.39744771929111872</c:v>
                </c:pt>
                <c:pt idx="214">
                  <c:v>0.39587645401995764</c:v>
                </c:pt>
                <c:pt idx="215">
                  <c:v>0.39431140057096215</c:v>
                </c:pt>
                <c:pt idx="216">
                  <c:v>0.39269059281729873</c:v>
                </c:pt>
                <c:pt idx="217">
                  <c:v>0.39107644735585034</c:v>
                </c:pt>
                <c:pt idx="218">
                  <c:v>0.38946893680142131</c:v>
                </c:pt>
                <c:pt idx="219">
                  <c:v>0.38786803388138213</c:v>
                </c:pt>
                <c:pt idx="220">
                  <c:v>0.38627371143520678</c:v>
                </c:pt>
                <c:pt idx="221">
                  <c:v>0.38468594241401188</c:v>
                </c:pt>
                <c:pt idx="222">
                  <c:v>0.38310469988009799</c:v>
                </c:pt>
                <c:pt idx="223">
                  <c:v>0.38152995700649239</c:v>
                </c:pt>
                <c:pt idx="224">
                  <c:v>0.37996168707649403</c:v>
                </c:pt>
                <c:pt idx="225">
                  <c:v>0.37839986348322008</c:v>
                </c:pt>
                <c:pt idx="226">
                  <c:v>0.37684445972915487</c:v>
                </c:pt>
                <c:pt idx="227">
                  <c:v>0.37529544942570003</c:v>
                </c:pt>
                <c:pt idx="228">
                  <c:v>0.3736846064509517</c:v>
                </c:pt>
                <c:pt idx="229">
                  <c:v>0.37208067753576163</c:v>
                </c:pt>
                <c:pt idx="230">
                  <c:v>0.37048363300360632</c:v>
                </c:pt>
                <c:pt idx="231">
                  <c:v>0.36889344330533963</c:v>
                </c:pt>
                <c:pt idx="232">
                  <c:v>0.36731007901864637</c:v>
                </c:pt>
                <c:pt idx="233">
                  <c:v>0.36573351084749783</c:v>
                </c:pt>
                <c:pt idx="234">
                  <c:v>0.3641637096216096</c:v>
                </c:pt>
                <c:pt idx="235">
                  <c:v>0.362600646295902</c:v>
                </c:pt>
                <c:pt idx="236">
                  <c:v>0.36104429194996257</c:v>
                </c:pt>
                <c:pt idx="237">
                  <c:v>0.35949461778751118</c:v>
                </c:pt>
                <c:pt idx="238">
                  <c:v>0.35795159513586694</c:v>
                </c:pt>
                <c:pt idx="239">
                  <c:v>0.35641519544541789</c:v>
                </c:pt>
                <c:pt idx="240">
                  <c:v>0.35481118989077126</c:v>
                </c:pt>
                <c:pt idx="241">
                  <c:v>0.35321440297846152</c:v>
                </c:pt>
                <c:pt idx="242">
                  <c:v>0.3516248022218198</c:v>
                </c:pt>
                <c:pt idx="243">
                  <c:v>0.35004235528037986</c:v>
                </c:pt>
                <c:pt idx="244">
                  <c:v>0.34846702995921996</c:v>
                </c:pt>
                <c:pt idx="245">
                  <c:v>0.34689879420830794</c:v>
                </c:pt>
                <c:pt idx="246">
                  <c:v>0.3453376161218491</c:v>
                </c:pt>
                <c:pt idx="247">
                  <c:v>0.34378346393763703</c:v>
                </c:pt>
                <c:pt idx="248">
                  <c:v>0.34223630603640753</c:v>
                </c:pt>
                <c:pt idx="249">
                  <c:v>0.34069611094119534</c:v>
                </c:pt>
                <c:pt idx="250">
                  <c:v>0.33916284731669349</c:v>
                </c:pt>
                <c:pt idx="251">
                  <c:v>0.33763648396861606</c:v>
                </c:pt>
                <c:pt idx="252">
                  <c:v>0.3360365807759122</c:v>
                </c:pt>
                <c:pt idx="253">
                  <c:v>0.33444425878473005</c:v>
                </c:pt>
                <c:pt idx="254">
                  <c:v>0.33285948207126065</c:v>
                </c:pt>
                <c:pt idx="255">
                  <c:v>0.33128221488192144</c:v>
                </c:pt>
                <c:pt idx="256">
                  <c:v>0.32971242163254955</c:v>
                </c:pt>
                <c:pt idx="257">
                  <c:v>0.32815006690759912</c:v>
                </c:pt>
                <c:pt idx="258">
                  <c:v>0.326595115459342</c:v>
                </c:pt>
                <c:pt idx="259">
                  <c:v>0.32504753220707289</c:v>
                </c:pt>
                <c:pt idx="260">
                  <c:v>0.32350728223631753</c:v>
                </c:pt>
                <c:pt idx="261">
                  <c:v>0.32197433079804544</c:v>
                </c:pt>
                <c:pt idx="262">
                  <c:v>0.32044864330788564</c:v>
                </c:pt>
                <c:pt idx="263">
                  <c:v>0.3189301853453464</c:v>
                </c:pt>
                <c:pt idx="264">
                  <c:v>0.317332607181805</c:v>
                </c:pt>
                <c:pt idx="265">
                  <c:v>0.3157430315721324</c:v>
                </c:pt>
                <c:pt idx="266">
                  <c:v>0.31416141843010953</c:v>
                </c:pt>
                <c:pt idx="267">
                  <c:v>0.31258772787031613</c:v>
                </c:pt>
                <c:pt idx="268">
                  <c:v>0.31102192020712521</c:v>
                </c:pt>
                <c:pt idx="269">
                  <c:v>0.30946395595370219</c:v>
                </c:pt>
                <c:pt idx="270">
                  <c:v>0.30791379582100914</c:v>
                </c:pt>
                <c:pt idx="271">
                  <c:v>0.30637140071681379</c:v>
                </c:pt>
                <c:pt idx="272">
                  <c:v>0.30483673174470388</c:v>
                </c:pt>
                <c:pt idx="273">
                  <c:v>0.30330975020310624</c:v>
                </c:pt>
                <c:pt idx="274">
                  <c:v>0.30179041758431074</c:v>
                </c:pt>
                <c:pt idx="275">
                  <c:v>0.30027869557349929</c:v>
                </c:pt>
                <c:pt idx="276">
                  <c:v>0.29868238093696858</c:v>
                </c:pt>
                <c:pt idx="277">
                  <c:v>0.29709455248496031</c:v>
                </c:pt>
                <c:pt idx="278">
                  <c:v>0.2955151651039824</c:v>
                </c:pt>
                <c:pt idx="279">
                  <c:v>0.29394417392037103</c:v>
                </c:pt>
                <c:pt idx="280">
                  <c:v>0.29238153429901581</c:v>
                </c:pt>
                <c:pt idx="281">
                  <c:v>0.29082720184209132</c:v>
                </c:pt>
                <c:pt idx="282">
                  <c:v>0.28928113238779607</c:v>
                </c:pt>
                <c:pt idx="283">
                  <c:v>0.28774328200909749</c:v>
                </c:pt>
                <c:pt idx="284">
                  <c:v>0.28621360701248394</c:v>
                </c:pt>
                <c:pt idx="285">
                  <c:v>0.28469206393672336</c:v>
                </c:pt>
                <c:pt idx="286">
                  <c:v>0.28317860955162832</c:v>
                </c:pt>
                <c:pt idx="287">
                  <c:v>0.28167320085682784</c:v>
                </c:pt>
                <c:pt idx="288">
                  <c:v>0.28007664324843806</c:v>
                </c:pt>
                <c:pt idx="289">
                  <c:v>0.27848913512075557</c:v>
                </c:pt>
                <c:pt idx="290">
                  <c:v>0.27691062518023435</c:v>
                </c:pt>
                <c:pt idx="291">
                  <c:v>0.27534106242406642</c:v>
                </c:pt>
                <c:pt idx="292">
                  <c:v>0.27378039613853394</c:v>
                </c:pt>
                <c:pt idx="293">
                  <c:v>0.27222857589737037</c:v>
                </c:pt>
                <c:pt idx="294">
                  <c:v>0.27068555156013147</c:v>
                </c:pt>
                <c:pt idx="295">
                  <c:v>0.26915127327057498</c:v>
                </c:pt>
                <c:pt idx="296">
                  <c:v>0.26762569145504983</c:v>
                </c:pt>
                <c:pt idx="297">
                  <c:v>0.26610875682089441</c:v>
                </c:pt>
                <c:pt idx="298">
                  <c:v>0.26460042035484382</c:v>
                </c:pt>
                <c:pt idx="299">
                  <c:v>0.26310063332144623</c:v>
                </c:pt>
                <c:pt idx="300">
                  <c:v>0.26150259036095863</c:v>
                </c:pt>
                <c:pt idx="301">
                  <c:v>0.25991425372945748</c:v>
                </c:pt>
                <c:pt idx="302">
                  <c:v>0.25833556447181782</c:v>
                </c:pt>
                <c:pt idx="303">
                  <c:v>0.25676646399100139</c:v>
                </c:pt>
                <c:pt idx="304">
                  <c:v>0.25520689404588159</c:v>
                </c:pt>
                <c:pt idx="305">
                  <c:v>0.25365679674908165</c:v>
                </c:pt>
                <c:pt idx="306">
                  <c:v>0.25211611456482608</c:v>
                </c:pt>
                <c:pt idx="307">
                  <c:v>0.25058479030680508</c:v>
                </c:pt>
                <c:pt idx="308">
                  <c:v>0.24906276713605199</c:v>
                </c:pt>
                <c:pt idx="309">
                  <c:v>0.24754998855883342</c:v>
                </c:pt>
                <c:pt idx="310">
                  <c:v>0.24604639842455231</c:v>
                </c:pt>
                <c:pt idx="311">
                  <c:v>0.24455194092366403</c:v>
                </c:pt>
                <c:pt idx="312">
                  <c:v>0.24295249775246727</c:v>
                </c:pt>
                <c:pt idx="313">
                  <c:v>0.24136351542017545</c:v>
                </c:pt>
                <c:pt idx="314">
                  <c:v>0.23978492550975905</c:v>
                </c:pt>
                <c:pt idx="315">
                  <c:v>0.23821666005165656</c:v>
                </c:pt>
                <c:pt idx="316">
                  <c:v>0.23665865152084775</c:v>
                </c:pt>
                <c:pt idx="317">
                  <c:v>0.23511083283394643</c:v>
                </c:pt>
                <c:pt idx="318">
                  <c:v>0.23357313734631169</c:v>
                </c:pt>
                <c:pt idx="319">
                  <c:v>0.2320454988491788</c:v>
                </c:pt>
                <c:pt idx="320">
                  <c:v>0.23052785156680816</c:v>
                </c:pt>
                <c:pt idx="321">
                  <c:v>0.2290201301536533</c:v>
                </c:pt>
                <c:pt idx="322">
                  <c:v>0.22752226969154726</c:v>
                </c:pt>
                <c:pt idx="323">
                  <c:v>0.22603420568690735</c:v>
                </c:pt>
                <c:pt idx="324">
                  <c:v>0.22443515575090189</c:v>
                </c:pt>
                <c:pt idx="325">
                  <c:v>0.22284741808814315</c:v>
                </c:pt>
                <c:pt idx="326">
                  <c:v>0.22127091267140805</c:v>
                </c:pt>
                <c:pt idx="327">
                  <c:v>0.21970556003961575</c:v>
                </c:pt>
                <c:pt idx="328">
                  <c:v>0.21815128129382261</c:v>
                </c:pt>
                <c:pt idx="329">
                  <c:v>0.21660799809324549</c:v>
                </c:pt>
                <c:pt idx="330">
                  <c:v>0.21507563265131299</c:v>
                </c:pt>
                <c:pt idx="331">
                  <c:v>0.21355410773174488</c:v>
                </c:pt>
                <c:pt idx="332">
                  <c:v>0.21204334664465896</c:v>
                </c:pt>
                <c:pt idx="333">
                  <c:v>0.21054327324270583</c:v>
                </c:pt>
                <c:pt idx="334">
                  <c:v>0.20905381191723074</c:v>
                </c:pt>
                <c:pt idx="335">
                  <c:v>0.20757488759446263</c:v>
                </c:pt>
                <c:pt idx="336">
                  <c:v>0.20598124985947983</c:v>
                </c:pt>
                <c:pt idx="337">
                  <c:v>0.20439984713644765</c:v>
                </c:pt>
                <c:pt idx="338">
                  <c:v>0.20283058549215013</c:v>
                </c:pt>
                <c:pt idx="339">
                  <c:v>0.20127337171453533</c:v>
                </c:pt>
                <c:pt idx="340">
                  <c:v>0.19972811330717843</c:v>
                </c:pt>
                <c:pt idx="341">
                  <c:v>0.19819471848378784</c:v>
                </c:pt>
                <c:pt idx="342">
                  <c:v>0.19667309616275289</c:v>
                </c:pt>
                <c:pt idx="343">
                  <c:v>0.195163155961734</c:v>
                </c:pt>
                <c:pt idx="344">
                  <c:v>0.19366480819229387</c:v>
                </c:pt>
                <c:pt idx="345">
                  <c:v>0.19217796385457026</c:v>
                </c:pt>
                <c:pt idx="346">
                  <c:v>0.19070253463198944</c:v>
                </c:pt>
                <c:pt idx="347">
                  <c:v>0.1892384328860203</c:v>
                </c:pt>
                <c:pt idx="348">
                  <c:v>0.18759363626800446</c:v>
                </c:pt>
                <c:pt idx="349">
                  <c:v>0.18596313566731121</c:v>
                </c:pt>
                <c:pt idx="350">
                  <c:v>0.18434680682778082</c:v>
                </c:pt>
                <c:pt idx="351">
                  <c:v>0.18274452657324616</c:v>
                </c:pt>
                <c:pt idx="352">
                  <c:v>0.18115617279814583</c:v>
                </c:pt>
                <c:pt idx="353">
                  <c:v>0.17958162445821876</c:v>
                </c:pt>
                <c:pt idx="354">
                  <c:v>0.17802076156127977</c:v>
                </c:pt>
                <c:pt idx="355">
                  <c:v>0.17647346515807527</c:v>
                </c:pt>
                <c:pt idx="356">
                  <c:v>0.17493961733321844</c:v>
                </c:pt>
                <c:pt idx="357">
                  <c:v>0.17341910119620324</c:v>
                </c:pt>
                <c:pt idx="358">
                  <c:v>0.17191180087249647</c:v>
                </c:pt>
                <c:pt idx="359">
                  <c:v>0.17041760149470728</c:v>
                </c:pt>
                <c:pt idx="360">
                  <c:v>0.16873581877097929</c:v>
                </c:pt>
                <c:pt idx="361">
                  <c:v>0.16707063288410984</c:v>
                </c:pt>
                <c:pt idx="362">
                  <c:v>0.16542188004659544</c:v>
                </c:pt>
                <c:pt idx="363">
                  <c:v>0.16378939808728557</c:v>
                </c:pt>
                <c:pt idx="364">
                  <c:v>0.16217302643543152</c:v>
                </c:pt>
                <c:pt idx="365">
                  <c:v>0.16057260610489271</c:v>
                </c:pt>
              </c:numCache>
            </c:numRef>
          </c:yVal>
          <c:smooth val="0"/>
          <c:extLst>
            <c:ext xmlns:c16="http://schemas.microsoft.com/office/drawing/2014/chart" uri="{C3380CC4-5D6E-409C-BE32-E72D297353CC}">
              <c16:uniqueId val="{00000000-103E-4B37-BC25-29578DEBDDCD}"/>
            </c:ext>
          </c:extLst>
        </c:ser>
        <c:ser>
          <c:idx val="1"/>
          <c:order val="1"/>
          <c:tx>
            <c:strRef>
              <c:f>'cure fraction analyses'!$N$3</c:f>
              <c:strCache>
                <c:ptCount val="1"/>
                <c:pt idx="0">
                  <c:v>OS 20%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'cure fraction analyses'!$M$4:$M$369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fraction analyses'!$N$4:$N$369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0.66960224759342324</c:v>
                </c:pt>
                <c:pt idx="61">
                  <c:v>0.66632904653030245</c:v>
                </c:pt>
                <c:pt idx="62">
                  <c:v>0.66307184577966272</c:v>
                </c:pt>
                <c:pt idx="63">
                  <c:v>0.65983056712754962</c:v>
                </c:pt>
                <c:pt idx="64">
                  <c:v>0.65660513274233989</c:v>
                </c:pt>
                <c:pt idx="65">
                  <c:v>0.65339546517287284</c:v>
                </c:pt>
                <c:pt idx="66">
                  <c:v>0.65020148734659045</c:v>
                </c:pt>
                <c:pt idx="67">
                  <c:v>0.6470231225676869</c:v>
                </c:pt>
                <c:pt idx="68">
                  <c:v>0.64386029451526627</c:v>
                </c:pt>
                <c:pt idx="69">
                  <c:v>0.64071292724151063</c:v>
                </c:pt>
                <c:pt idx="70">
                  <c:v>0.63758094516985608</c:v>
                </c:pt>
                <c:pt idx="71">
                  <c:v>0.63446427309317754</c:v>
                </c:pt>
                <c:pt idx="72">
                  <c:v>0.63135223842632993</c:v>
                </c:pt>
                <c:pt idx="73">
                  <c:v>0.62825546822775635</c:v>
                </c:pt>
                <c:pt idx="74">
                  <c:v>0.62517388762554293</c:v>
                </c:pt>
                <c:pt idx="75">
                  <c:v>0.62210742211502101</c:v>
                </c:pt>
                <c:pt idx="76">
                  <c:v>0.61905599755696583</c:v>
                </c:pt>
                <c:pt idx="77">
                  <c:v>0.61601954017580407</c:v>
                </c:pt>
                <c:pt idx="78">
                  <c:v>0.61299797655783017</c:v>
                </c:pt>
                <c:pt idx="79">
                  <c:v>0.6099912336494312</c:v>
                </c:pt>
                <c:pt idx="80">
                  <c:v>0.60699923875532102</c:v>
                </c:pt>
                <c:pt idx="81">
                  <c:v>0.60402191953678197</c:v>
                </c:pt>
                <c:pt idx="82">
                  <c:v>0.60105920400991697</c:v>
                </c:pt>
                <c:pt idx="83">
                  <c:v>0.59811102054390797</c:v>
                </c:pt>
                <c:pt idx="84">
                  <c:v>0.59516634241519306</c:v>
                </c:pt>
                <c:pt idx="85">
                  <c:v>0.59223616181115801</c:v>
                </c:pt>
                <c:pt idx="86">
                  <c:v>0.58932040735618496</c:v>
                </c:pt>
                <c:pt idx="87">
                  <c:v>0.58641900802605873</c:v>
                </c:pt>
                <c:pt idx="88">
                  <c:v>0.58353189314623799</c:v>
                </c:pt>
                <c:pt idx="89">
                  <c:v>0.58065899239013286</c:v>
                </c:pt>
                <c:pt idx="90">
                  <c:v>0.57780023577739226</c:v>
                </c:pt>
                <c:pt idx="91">
                  <c:v>0.57495555367219919</c:v>
                </c:pt>
                <c:pt idx="92">
                  <c:v>0.5721248767815742</c:v>
                </c:pt>
                <c:pt idx="93">
                  <c:v>0.56930813615368814</c:v>
                </c:pt>
                <c:pt idx="94">
                  <c:v>0.56650526317618177</c:v>
                </c:pt>
                <c:pt idx="95">
                  <c:v>0.56371618957449521</c:v>
                </c:pt>
                <c:pt idx="96">
                  <c:v>0.56092896475348275</c:v>
                </c:pt>
                <c:pt idx="97">
                  <c:v>0.55815552102009303</c:v>
                </c:pt>
                <c:pt idx="98">
                  <c:v>0.5553957902354465</c:v>
                </c:pt>
                <c:pt idx="99">
                  <c:v>0.55264970459756813</c:v>
                </c:pt>
                <c:pt idx="100">
                  <c:v>0.54991719663972105</c:v>
                </c:pt>
                <c:pt idx="101">
                  <c:v>0.54719819922874946</c:v>
                </c:pt>
                <c:pt idx="102">
                  <c:v>0.54449264556342913</c:v>
                </c:pt>
                <c:pt idx="103">
                  <c:v>0.5418004691728262</c:v>
                </c:pt>
                <c:pt idx="104">
                  <c:v>0.53912160391466402</c:v>
                </c:pt>
                <c:pt idx="105">
                  <c:v>0.5364559839736982</c:v>
                </c:pt>
                <c:pt idx="106">
                  <c:v>0.53380354386009998</c:v>
                </c:pt>
                <c:pt idx="107">
                  <c:v>0.53116421840784656</c:v>
                </c:pt>
                <c:pt idx="108">
                  <c:v>0.52852505017276286</c:v>
                </c:pt>
                <c:pt idx="109">
                  <c:v>0.52589899503666371</c:v>
                </c:pt>
                <c:pt idx="110">
                  <c:v>0.52328598784517111</c:v>
                </c:pt>
                <c:pt idx="111">
                  <c:v>0.52068596376763621</c:v>
                </c:pt>
                <c:pt idx="112">
                  <c:v>0.51809885829553082</c:v>
                </c:pt>
                <c:pt idx="113">
                  <c:v>0.51552460724084703</c:v>
                </c:pt>
                <c:pt idx="114">
                  <c:v>0.51296314673450438</c:v>
                </c:pt>
                <c:pt idx="115">
                  <c:v>0.51041441322476555</c:v>
                </c:pt>
                <c:pt idx="116">
                  <c:v>0.50787834347565941</c:v>
                </c:pt>
                <c:pt idx="117">
                  <c:v>0.50535487456541228</c:v>
                </c:pt>
                <c:pt idx="118">
                  <c:v>0.5028439438848864</c:v>
                </c:pt>
                <c:pt idx="119">
                  <c:v>0.50034548913602706</c:v>
                </c:pt>
                <c:pt idx="120">
                  <c:v>0.49784573064309168</c:v>
                </c:pt>
                <c:pt idx="121">
                  <c:v>0.49535846110560544</c:v>
                </c:pt>
                <c:pt idx="122">
                  <c:v>0.49288361812793741</c:v>
                </c:pt>
                <c:pt idx="123">
                  <c:v>0.4904211396261895</c:v>
                </c:pt>
                <c:pt idx="124">
                  <c:v>0.48797096382663846</c:v>
                </c:pt>
                <c:pt idx="125">
                  <c:v>0.48553302926418684</c:v>
                </c:pt>
                <c:pt idx="126">
                  <c:v>0.48310727478082055</c:v>
                </c:pt>
                <c:pt idx="127">
                  <c:v>0.48069363952407523</c:v>
                </c:pt>
                <c:pt idx="128">
                  <c:v>0.47829206294550902</c:v>
                </c:pt>
                <c:pt idx="129">
                  <c:v>0.47590248479918423</c:v>
                </c:pt>
                <c:pt idx="130">
                  <c:v>0.4735248451401558</c:v>
                </c:pt>
                <c:pt idx="131">
                  <c:v>0.47115908432296727</c:v>
                </c:pt>
                <c:pt idx="132">
                  <c:v>0.46879069920826244</c:v>
                </c:pt>
                <c:pt idx="133">
                  <c:v>0.46643421930400175</c:v>
                </c:pt>
                <c:pt idx="134">
                  <c:v>0.46408958476601764</c:v>
                </c:pt>
                <c:pt idx="135">
                  <c:v>0.46175673605096246</c:v>
                </c:pt>
                <c:pt idx="136">
                  <c:v>0.45943561391479631</c:v>
                </c:pt>
                <c:pt idx="137">
                  <c:v>0.45712615941128248</c:v>
                </c:pt>
                <c:pt idx="138">
                  <c:v>0.45482831389049072</c:v>
                </c:pt>
                <c:pt idx="139">
                  <c:v>0.45254201899730734</c:v>
                </c:pt>
                <c:pt idx="140">
                  <c:v>0.45026721666995373</c:v>
                </c:pt>
                <c:pt idx="141">
                  <c:v>0.44800384913851132</c:v>
                </c:pt>
                <c:pt idx="142">
                  <c:v>0.44575185892345515</c:v>
                </c:pt>
                <c:pt idx="143">
                  <c:v>0.44351118883419366</c:v>
                </c:pt>
                <c:pt idx="144">
                  <c:v>0.4412667991674179</c:v>
                </c:pt>
                <c:pt idx="145">
                  <c:v>0.43903376724110765</c:v>
                </c:pt>
                <c:pt idx="146">
                  <c:v>0.43681203557938414</c:v>
                </c:pt>
                <c:pt idx="147">
                  <c:v>0.43460154699722536</c:v>
                </c:pt>
                <c:pt idx="148">
                  <c:v>0.43240224459899435</c:v>
                </c:pt>
                <c:pt idx="149">
                  <c:v>0.43021407177697468</c:v>
                </c:pt>
                <c:pt idx="150">
                  <c:v>0.42803697220991344</c:v>
                </c:pt>
                <c:pt idx="151">
                  <c:v>0.42587088986157146</c:v>
                </c:pt>
                <c:pt idx="152">
                  <c:v>0.42371576897928132</c:v>
                </c:pt>
                <c:pt idx="153">
                  <c:v>0.42157155409251201</c:v>
                </c:pt>
                <c:pt idx="154">
                  <c:v>0.41943819001144134</c:v>
                </c:pt>
                <c:pt idx="155">
                  <c:v>0.41731562182553544</c:v>
                </c:pt>
                <c:pt idx="156">
                  <c:v>0.4151875333852395</c:v>
                </c:pt>
                <c:pt idx="157">
                  <c:v>0.41307029706782816</c:v>
                </c:pt>
                <c:pt idx="158">
                  <c:v>0.41096385753322773</c:v>
                </c:pt>
                <c:pt idx="159">
                  <c:v>0.40886815972356966</c:v>
                </c:pt>
                <c:pt idx="160">
                  <c:v>0.40678314886175104</c:v>
                </c:pt>
                <c:pt idx="161">
                  <c:v>0.40470877045000353</c:v>
                </c:pt>
                <c:pt idx="162">
                  <c:v>0.40264497026846824</c:v>
                </c:pt>
                <c:pt idx="163">
                  <c:v>0.40059169437377901</c:v>
                </c:pt>
                <c:pt idx="164">
                  <c:v>0.39854888909765201</c:v>
                </c:pt>
                <c:pt idx="165">
                  <c:v>0.39651650104548342</c:v>
                </c:pt>
                <c:pt idx="166">
                  <c:v>0.39449447709495356</c:v>
                </c:pt>
                <c:pt idx="167">
                  <c:v>0.39248276439463836</c:v>
                </c:pt>
                <c:pt idx="168">
                  <c:v>0.39046380715678786</c:v>
                </c:pt>
                <c:pt idx="169">
                  <c:v>0.38845523556818884</c:v>
                </c:pt>
                <c:pt idx="170">
                  <c:v>0.38645699620437629</c:v>
                </c:pt>
                <c:pt idx="171">
                  <c:v>0.38446903591570414</c:v>
                </c:pt>
                <c:pt idx="172">
                  <c:v>0.38249130182593166</c:v>
                </c:pt>
                <c:pt idx="173">
                  <c:v>0.38052374133081684</c:v>
                </c:pt>
                <c:pt idx="174">
                  <c:v>0.37856630209671749</c:v>
                </c:pt>
                <c:pt idx="175">
                  <c:v>0.37661893205919916</c:v>
                </c:pt>
                <c:pt idx="176">
                  <c:v>0.37468157942165026</c:v>
                </c:pt>
                <c:pt idx="177">
                  <c:v>0.37275419265390419</c:v>
                </c:pt>
                <c:pt idx="178">
                  <c:v>0.37083672049086919</c:v>
                </c:pt>
                <c:pt idx="179">
                  <c:v>0.36892911193116446</c:v>
                </c:pt>
                <c:pt idx="180">
                  <c:v>0.36701231067703372</c:v>
                </c:pt>
                <c:pt idx="181">
                  <c:v>0.36510546831996216</c:v>
                </c:pt>
                <c:pt idx="182">
                  <c:v>0.36320853311768875</c:v>
                </c:pt>
                <c:pt idx="183">
                  <c:v>0.3613214535967838</c:v>
                </c:pt>
                <c:pt idx="184">
                  <c:v>0.35944417855125183</c:v>
                </c:pt>
                <c:pt idx="185">
                  <c:v>0.35757665704114244</c:v>
                </c:pt>
                <c:pt idx="186">
                  <c:v>0.35571883839116775</c:v>
                </c:pt>
                <c:pt idx="187">
                  <c:v>0.3538706721893275</c:v>
                </c:pt>
                <c:pt idx="188">
                  <c:v>0.35203210828554116</c:v>
                </c:pt>
                <c:pt idx="189">
                  <c:v>0.35020309679028711</c:v>
                </c:pt>
                <c:pt idx="190">
                  <c:v>0.34838358807324843</c:v>
                </c:pt>
                <c:pt idx="191">
                  <c:v>0.34657353276196695</c:v>
                </c:pt>
                <c:pt idx="192">
                  <c:v>0.34475226075498411</c:v>
                </c:pt>
                <c:pt idx="193">
                  <c:v>0.3429405596800254</c:v>
                </c:pt>
                <c:pt idx="194">
                  <c:v>0.34113837924106721</c:v>
                </c:pt>
                <c:pt idx="195">
                  <c:v>0.33934566940639566</c:v>
                </c:pt>
                <c:pt idx="196">
                  <c:v>0.33756238040721748</c:v>
                </c:pt>
                <c:pt idx="197">
                  <c:v>0.3357884627362786</c:v>
                </c:pt>
                <c:pt idx="198">
                  <c:v>0.33402386714648952</c:v>
                </c:pt>
                <c:pt idx="199">
                  <c:v>0.33226854464955813</c:v>
                </c:pt>
                <c:pt idx="200">
                  <c:v>0.33052244651462981</c:v>
                </c:pt>
                <c:pt idx="201">
                  <c:v>0.32878552426693464</c:v>
                </c:pt>
                <c:pt idx="202">
                  <c:v>0.32705772968644137</c:v>
                </c:pt>
                <c:pt idx="203">
                  <c:v>0.32533901480651889</c:v>
                </c:pt>
                <c:pt idx="204">
                  <c:v>0.3236072905395998</c:v>
                </c:pt>
                <c:pt idx="205">
                  <c:v>0.32188478394655362</c:v>
                </c:pt>
                <c:pt idx="206">
                  <c:v>0.32017144596326935</c:v>
                </c:pt>
                <c:pt idx="207">
                  <c:v>0.31846722778679609</c:v>
                </c:pt>
                <c:pt idx="208">
                  <c:v>0.31677208087395242</c:v>
                </c:pt>
                <c:pt idx="209">
                  <c:v>0.31508595693994429</c:v>
                </c:pt>
                <c:pt idx="210">
                  <c:v>0.31340880795698922</c:v>
                </c:pt>
                <c:pt idx="211">
                  <c:v>0.31174058615294864</c:v>
                </c:pt>
                <c:pt idx="212">
                  <c:v>0.31008124400996678</c:v>
                </c:pt>
                <c:pt idx="213">
                  <c:v>0.3084307342631174</c:v>
                </c:pt>
                <c:pt idx="214">
                  <c:v>0.30678900989905744</c:v>
                </c:pt>
                <c:pt idx="215">
                  <c:v>0.3051560241546879</c:v>
                </c:pt>
                <c:pt idx="216">
                  <c:v>0.30350776234887916</c:v>
                </c:pt>
                <c:pt idx="217">
                  <c:v>0.30186840342148485</c:v>
                </c:pt>
                <c:pt idx="218">
                  <c:v>0.30023789928472933</c:v>
                </c:pt>
                <c:pt idx="219">
                  <c:v>0.29861620211057682</c:v>
                </c:pt>
                <c:pt idx="220">
                  <c:v>0.29700326432932883</c:v>
                </c:pt>
                <c:pt idx="221">
                  <c:v>0.29539903862822853</c:v>
                </c:pt>
                <c:pt idx="222">
                  <c:v>0.29380347795007294</c:v>
                </c:pt>
                <c:pt idx="223">
                  <c:v>0.29221653549183263</c:v>
                </c:pt>
                <c:pt idx="224">
                  <c:v>0.29063816470327897</c:v>
                </c:pt>
                <c:pt idx="225">
                  <c:v>0.28906831928561838</c:v>
                </c:pt>
                <c:pt idx="226">
                  <c:v>0.28750695319013442</c:v>
                </c:pt>
                <c:pt idx="227">
                  <c:v>0.28595402061683706</c:v>
                </c:pt>
                <c:pt idx="228">
                  <c:v>0.28438349379165739</c:v>
                </c:pt>
                <c:pt idx="229">
                  <c:v>0.28282159266967039</c:v>
                </c:pt>
                <c:pt idx="230">
                  <c:v>0.28126826987648279</c:v>
                </c:pt>
                <c:pt idx="231">
                  <c:v>0.27972347829789251</c:v>
                </c:pt>
                <c:pt idx="232">
                  <c:v>0.27818717107845992</c:v>
                </c:pt>
                <c:pt idx="233">
                  <c:v>0.2766593016200864</c:v>
                </c:pt>
                <c:pt idx="234">
                  <c:v>0.27513982358060102</c:v>
                </c:pt>
                <c:pt idx="235">
                  <c:v>0.27362869087235497</c:v>
                </c:pt>
                <c:pt idx="236">
                  <c:v>0.27212585766082381</c:v>
                </c:pt>
                <c:pt idx="237">
                  <c:v>0.27063127836321704</c:v>
                </c:pt>
                <c:pt idx="238">
                  <c:v>0.26914490764709537</c:v>
                </c:pt>
                <c:pt idx="239">
                  <c:v>0.26766670042899621</c:v>
                </c:pt>
                <c:pt idx="240">
                  <c:v>0.26616874973917959</c:v>
                </c:pt>
                <c:pt idx="241">
                  <c:v>0.26467918207297231</c:v>
                </c:pt>
                <c:pt idx="242">
                  <c:v>0.2631979505162233</c:v>
                </c:pt>
                <c:pt idx="243">
                  <c:v>0.2617250084173286</c:v>
                </c:pt>
                <c:pt idx="244">
                  <c:v>0.26026030938576189</c:v>
                </c:pt>
                <c:pt idx="245">
                  <c:v>0.25880380729061347</c:v>
                </c:pt>
                <c:pt idx="246">
                  <c:v>0.25735545625913742</c:v>
                </c:pt>
                <c:pt idx="247">
                  <c:v>0.25591521067530654</c:v>
                </c:pt>
                <c:pt idx="248">
                  <c:v>0.25448302517837601</c:v>
                </c:pt>
                <c:pt idx="249">
                  <c:v>0.25305885466145478</c:v>
                </c:pt>
                <c:pt idx="250">
                  <c:v>0.25164265427008453</c:v>
                </c:pt>
                <c:pt idx="251">
                  <c:v>0.25023437940082732</c:v>
                </c:pt>
                <c:pt idx="252">
                  <c:v>0.24880418869335785</c:v>
                </c:pt>
                <c:pt idx="253">
                  <c:v>0.24738217210434735</c:v>
                </c:pt>
                <c:pt idx="254">
                  <c:v>0.24596828291540215</c:v>
                </c:pt>
                <c:pt idx="255">
                  <c:v>0.24456247467514294</c:v>
                </c:pt>
                <c:pt idx="256">
                  <c:v>0.243164701197679</c:v>
                </c:pt>
                <c:pt idx="257">
                  <c:v>0.24177491656109054</c:v>
                </c:pt>
                <c:pt idx="258">
                  <c:v>0.24039307510592023</c:v>
                </c:pt>
                <c:pt idx="259">
                  <c:v>0.23901913143367298</c:v>
                </c:pt>
                <c:pt idx="260">
                  <c:v>0.23765304040532431</c:v>
                </c:pt>
                <c:pt idx="261">
                  <c:v>0.23629475713983775</c:v>
                </c:pt>
                <c:pt idx="262">
                  <c:v>0.23494423701268996</c:v>
                </c:pt>
                <c:pt idx="263">
                  <c:v>0.23360143565440492</c:v>
                </c:pt>
                <c:pt idx="264">
                  <c:v>0.2322346979274274</c:v>
                </c:pt>
                <c:pt idx="265">
                  <c:v>0.23087595660684657</c:v>
                </c:pt>
                <c:pt idx="266">
                  <c:v>0.22952516490788871</c:v>
                </c:pt>
                <c:pt idx="267">
                  <c:v>0.22818227631950502</c:v>
                </c:pt>
                <c:pt idx="268">
                  <c:v>0.22684724460276995</c:v>
                </c:pt>
                <c:pt idx="269">
                  <c:v>0.2255200237892892</c:v>
                </c:pt>
                <c:pt idx="270">
                  <c:v>0.22420056817961698</c:v>
                </c:pt>
                <c:pt idx="271">
                  <c:v>0.22288883234168227</c:v>
                </c:pt>
                <c:pt idx="272">
                  <c:v>0.2215847711092247</c:v>
                </c:pt>
                <c:pt idx="273">
                  <c:v>0.22028833958023916</c:v>
                </c:pt>
                <c:pt idx="274">
                  <c:v>0.21899949311542988</c:v>
                </c:pt>
                <c:pt idx="275">
                  <c:v>0.21771818733667336</c:v>
                </c:pt>
                <c:pt idx="276">
                  <c:v>0.21641096579694805</c:v>
                </c:pt>
                <c:pt idx="277">
                  <c:v>0.21511159306477901</c:v>
                </c:pt>
                <c:pt idx="278">
                  <c:v>0.21382002201442815</c:v>
                </c:pt>
                <c:pt idx="279">
                  <c:v>0.21253620580310914</c:v>
                </c:pt>
                <c:pt idx="280">
                  <c:v>0.21126009786928873</c:v>
                </c:pt>
                <c:pt idx="281">
                  <c:v>0.209991651930998</c:v>
                </c:pt>
                <c:pt idx="282">
                  <c:v>0.20873082198415382</c:v>
                </c:pt>
                <c:pt idx="283">
                  <c:v>0.20747756230089032</c:v>
                </c:pt>
                <c:pt idx="284">
                  <c:v>0.20623182742790047</c:v>
                </c:pt>
                <c:pt idx="285">
                  <c:v>0.20499357218478759</c:v>
                </c:pt>
                <c:pt idx="286">
                  <c:v>0.20376275166242663</c:v>
                </c:pt>
                <c:pt idx="287">
                  <c:v>0.20253932122133567</c:v>
                </c:pt>
                <c:pt idx="288">
                  <c:v>0.2012875885393253</c:v>
                </c:pt>
                <c:pt idx="289">
                  <c:v>0.20004359181050058</c:v>
                </c:pt>
                <c:pt idx="290">
                  <c:v>0.19880728322515526</c:v>
                </c:pt>
                <c:pt idx="291">
                  <c:v>0.19757861526905665</c:v>
                </c:pt>
                <c:pt idx="292">
                  <c:v>0.19635754072161921</c:v>
                </c:pt>
                <c:pt idx="293">
                  <c:v>0.19514401265408987</c:v>
                </c:pt>
                <c:pt idx="294">
                  <c:v>0.19393798442774449</c:v>
                </c:pt>
                <c:pt idx="295">
                  <c:v>0.1927394096920953</c:v>
                </c:pt>
                <c:pt idx="296">
                  <c:v>0.19154824238310975</c:v>
                </c:pt>
                <c:pt idx="297">
                  <c:v>0.19036443672143991</c:v>
                </c:pt>
                <c:pt idx="298">
                  <c:v>0.18918794721066329</c:v>
                </c:pt>
                <c:pt idx="299">
                  <c:v>0.18801872863553412</c:v>
                </c:pt>
                <c:pt idx="300">
                  <c:v>0.18681859039625165</c:v>
                </c:pt>
                <c:pt idx="301">
                  <c:v>0.185626112733146</c:v>
                </c:pt>
                <c:pt idx="302">
                  <c:v>0.18444124674816076</c:v>
                </c:pt>
                <c:pt idx="303">
                  <c:v>0.1832639438553596</c:v>
                </c:pt>
                <c:pt idx="304">
                  <c:v>0.18209415577893404</c:v>
                </c:pt>
                <c:pt idx="305">
                  <c:v>0.18093183455122386</c:v>
                </c:pt>
                <c:pt idx="306">
                  <c:v>0.17977693251075008</c:v>
                </c:pt>
                <c:pt idx="307">
                  <c:v>0.17862940230026078</c:v>
                </c:pt>
                <c:pt idx="308">
                  <c:v>0.17748919686478903</c:v>
                </c:pt>
                <c:pt idx="309">
                  <c:v>0.17635626944972349</c:v>
                </c:pt>
                <c:pt idx="310">
                  <c:v>0.17523057359889097</c:v>
                </c:pt>
                <c:pt idx="311">
                  <c:v>0.17411206315265185</c:v>
                </c:pt>
                <c:pt idx="312">
                  <c:v>0.17296008795734027</c:v>
                </c:pt>
                <c:pt idx="313">
                  <c:v>0.17181573455931595</c:v>
                </c:pt>
                <c:pt idx="314">
                  <c:v>0.17067895253058865</c:v>
                </c:pt>
                <c:pt idx="315">
                  <c:v>0.16954969177681414</c:v>
                </c:pt>
                <c:pt idx="316">
                  <c:v>0.16842790253508672</c:v>
                </c:pt>
                <c:pt idx="317">
                  <c:v>0.16731353537174631</c:v>
                </c:pt>
                <c:pt idx="318">
                  <c:v>0.16620654118019995</c:v>
                </c:pt>
                <c:pt idx="319">
                  <c:v>0.16510687117875811</c:v>
                </c:pt>
                <c:pt idx="320">
                  <c:v>0.16401447690848475</c:v>
                </c:pt>
                <c:pt idx="321">
                  <c:v>0.16292931023106202</c:v>
                </c:pt>
                <c:pt idx="322">
                  <c:v>0.16185132332666902</c:v>
                </c:pt>
                <c:pt idx="323">
                  <c:v>0.16078046869187437</c:v>
                </c:pt>
                <c:pt idx="324">
                  <c:v>0.15967376504370301</c:v>
                </c:pt>
                <c:pt idx="325">
                  <c:v>0.15857467919248697</c:v>
                </c:pt>
                <c:pt idx="326">
                  <c:v>0.15748315870248111</c:v>
                </c:pt>
                <c:pt idx="327">
                  <c:v>0.15639915149887235</c:v>
                </c:pt>
                <c:pt idx="328">
                  <c:v>0.15532260586529531</c:v>
                </c:pt>
                <c:pt idx="329">
                  <c:v>0.15425347044136498</c:v>
                </c:pt>
                <c:pt idx="330">
                  <c:v>0.15319169422022638</c:v>
                </c:pt>
                <c:pt idx="331">
                  <c:v>0.15213722654612111</c:v>
                </c:pt>
                <c:pt idx="332">
                  <c:v>0.15109001711197062</c:v>
                </c:pt>
                <c:pt idx="333">
                  <c:v>0.1500500159569762</c:v>
                </c:pt>
                <c:pt idx="334">
                  <c:v>0.14901717346423535</c:v>
                </c:pt>
                <c:pt idx="335">
                  <c:v>0.14799144035837469</c:v>
                </c:pt>
                <c:pt idx="336">
                  <c:v>0.14685931791588258</c:v>
                </c:pt>
                <c:pt idx="337">
                  <c:v>0.14573585611769321</c:v>
                </c:pt>
                <c:pt idx="338">
                  <c:v>0.14462098871058437</c:v>
                </c:pt>
                <c:pt idx="339">
                  <c:v>0.14351464994816562</c:v>
                </c:pt>
                <c:pt idx="340">
                  <c:v>0.14241677458700103</c:v>
                </c:pt>
                <c:pt idx="341">
                  <c:v>0.1413272978827616</c:v>
                </c:pt>
                <c:pt idx="342">
                  <c:v>0.14024615558640724</c:v>
                </c:pt>
                <c:pt idx="343">
                  <c:v>0.13917328394039769</c:v>
                </c:pt>
                <c:pt idx="344">
                  <c:v>0.13810861967493271</c:v>
                </c:pt>
                <c:pt idx="345">
                  <c:v>0.13705210000422088</c:v>
                </c:pt>
                <c:pt idx="346">
                  <c:v>0.13600366262277694</c:v>
                </c:pt>
                <c:pt idx="347">
                  <c:v>0.1349632457017475</c:v>
                </c:pt>
                <c:pt idx="348">
                  <c:v>0.1337901907007035</c:v>
                </c:pt>
                <c:pt idx="349">
                  <c:v>0.132627331497992</c:v>
                </c:pt>
                <c:pt idx="350">
                  <c:v>0.13147457947517349</c:v>
                </c:pt>
                <c:pt idx="351">
                  <c:v>0.13033184678405008</c:v>
                </c:pt>
                <c:pt idx="352">
                  <c:v>0.12919904633997073</c:v>
                </c:pt>
                <c:pt idx="353">
                  <c:v>0.12807609181519483</c:v>
                </c:pt>
                <c:pt idx="354">
                  <c:v>0.12696289763231339</c:v>
                </c:pt>
                <c:pt idx="355">
                  <c:v>0.12585937895772736</c:v>
                </c:pt>
                <c:pt idx="356">
                  <c:v>0.12476545169518272</c:v>
                </c:pt>
                <c:pt idx="357">
                  <c:v>0.12368103247936171</c:v>
                </c:pt>
                <c:pt idx="358">
                  <c:v>0.12260603866952982</c:v>
                </c:pt>
                <c:pt idx="359">
                  <c:v>0.1215403883432379</c:v>
                </c:pt>
                <c:pt idx="360">
                  <c:v>0.12034095516522079</c:v>
                </c:pt>
                <c:pt idx="361">
                  <c:v>0.11915335871051962</c:v>
                </c:pt>
                <c:pt idx="362">
                  <c:v>0.1179774821672757</c:v>
                </c:pt>
                <c:pt idx="363">
                  <c:v>0.11681320987639962</c:v>
                </c:pt>
                <c:pt idx="364">
                  <c:v>0.11566042732019494</c:v>
                </c:pt>
                <c:pt idx="365">
                  <c:v>0.11451902111109429</c:v>
                </c:pt>
              </c:numCache>
            </c:numRef>
          </c:yVal>
          <c:smooth val="0"/>
          <c:extLst>
            <c:ext xmlns:c16="http://schemas.microsoft.com/office/drawing/2014/chart" uri="{C3380CC4-5D6E-409C-BE32-E72D297353CC}">
              <c16:uniqueId val="{00000001-103E-4B37-BC25-29578DEBDDCD}"/>
            </c:ext>
          </c:extLst>
        </c:ser>
        <c:ser>
          <c:idx val="2"/>
          <c:order val="2"/>
          <c:tx>
            <c:strRef>
              <c:f>'cure fraction analyses'!$T$3</c:f>
              <c:strCache>
                <c:ptCount val="1"/>
                <c:pt idx="0">
                  <c:v>OS 30%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'cure fraction analyses'!$S$4:$S$369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fraction analyses'!$T$4:$T$369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0.67020919397618073</c:v>
                </c:pt>
                <c:pt idx="61">
                  <c:v>0.66753755291613526</c:v>
                </c:pt>
                <c:pt idx="62">
                  <c:v>0.66487656176363774</c:v>
                </c:pt>
                <c:pt idx="63">
                  <c:v>0.66222617806518203</c:v>
                </c:pt>
                <c:pt idx="64">
                  <c:v>0.65958635953649314</c:v>
                </c:pt>
                <c:pt idx="65">
                  <c:v>0.65695706406185328</c:v>
                </c:pt>
                <c:pt idx="66">
                  <c:v>0.65433824969342935</c:v>
                </c:pt>
                <c:pt idx="67">
                  <c:v>0.65172987465060439</c:v>
                </c:pt>
                <c:pt idx="68">
                  <c:v>0.64913189731931054</c:v>
                </c:pt>
                <c:pt idx="69">
                  <c:v>0.64654427625136501</c:v>
                </c:pt>
                <c:pt idx="70">
                  <c:v>0.64396697016380944</c:v>
                </c:pt>
                <c:pt idx="71">
                  <c:v>0.64139993793825056</c:v>
                </c:pt>
                <c:pt idx="72">
                  <c:v>0.63882706822737223</c:v>
                </c:pt>
                <c:pt idx="73">
                  <c:v>0.63626451915757543</c:v>
                </c:pt>
                <c:pt idx="74">
                  <c:v>0.63371224932931636</c:v>
                </c:pt>
                <c:pt idx="75">
                  <c:v>0.6311702175091185</c:v>
                </c:pt>
                <c:pt idx="76">
                  <c:v>0.6286383826289067</c:v>
                </c:pt>
                <c:pt idx="77">
                  <c:v>0.62611670378534379</c:v>
                </c:pt>
                <c:pt idx="78">
                  <c:v>0.62360514023916935</c:v>
                </c:pt>
                <c:pt idx="79">
                  <c:v>0.62110365141454171</c:v>
                </c:pt>
                <c:pt idx="80">
                  <c:v>0.61861219689838265</c:v>
                </c:pt>
                <c:pt idx="81">
                  <c:v>0.61613073643972416</c:v>
                </c:pt>
                <c:pt idx="82">
                  <c:v>0.61365922994905853</c:v>
                </c:pt>
                <c:pt idx="83">
                  <c:v>0.61119763749769029</c:v>
                </c:pt>
                <c:pt idx="84">
                  <c:v>0.60872912659471179</c:v>
                </c:pt>
                <c:pt idx="85">
                  <c:v>0.60627058553733504</c:v>
                </c:pt>
                <c:pt idx="86">
                  <c:v>0.60382197405925198</c:v>
                </c:pt>
                <c:pt idx="87">
                  <c:v>0.601383252056782</c:v>
                </c:pt>
                <c:pt idx="88">
                  <c:v>0.59895437958821574</c:v>
                </c:pt>
                <c:pt idx="89">
                  <c:v>0.59653531687316086</c:v>
                </c:pt>
                <c:pt idx="90">
                  <c:v>0.59412602429189043</c:v>
                </c:pt>
                <c:pt idx="91">
                  <c:v>0.59172646238469417</c:v>
                </c:pt>
                <c:pt idx="92">
                  <c:v>0.58933659185123177</c:v>
                </c:pt>
                <c:pt idx="93">
                  <c:v>0.58695637354988983</c:v>
                </c:pt>
                <c:pt idx="94">
                  <c:v>0.58458576849714017</c:v>
                </c:pt>
                <c:pt idx="95">
                  <c:v>0.58222473786690199</c:v>
                </c:pt>
                <c:pt idx="96">
                  <c:v>0.57985483378819314</c:v>
                </c:pt>
                <c:pt idx="97">
                  <c:v>0.57749457623423162</c:v>
                </c:pt>
                <c:pt idx="98">
                  <c:v>0.57514392593952945</c:v>
                </c:pt>
                <c:pt idx="99">
                  <c:v>0.57280284379842628</c:v>
                </c:pt>
                <c:pt idx="100">
                  <c:v>0.57047129086443837</c:v>
                </c:pt>
                <c:pt idx="101">
                  <c:v>0.56814922834961101</c:v>
                </c:pt>
                <c:pt idx="102">
                  <c:v>0.56583661762387294</c:v>
                </c:pt>
                <c:pt idx="103">
                  <c:v>0.56353342021439401</c:v>
                </c:pt>
                <c:pt idx="104">
                  <c:v>0.5612395978049447</c:v>
                </c:pt>
                <c:pt idx="105">
                  <c:v>0.55895511223525918</c:v>
                </c:pt>
                <c:pt idx="106">
                  <c:v>0.55667992550040035</c:v>
                </c:pt>
                <c:pt idx="107">
                  <c:v>0.55441399975012706</c:v>
                </c:pt>
                <c:pt idx="108">
                  <c:v>0.55213711189771031</c:v>
                </c:pt>
                <c:pt idx="109">
                  <c:v>0.5498695748522624</c:v>
                </c:pt>
                <c:pt idx="110">
                  <c:v>0.54761135021154461</c:v>
                </c:pt>
                <c:pt idx="111">
                  <c:v>0.54536239973102973</c:v>
                </c:pt>
                <c:pt idx="112">
                  <c:v>0.54312268532325492</c:v>
                </c:pt>
                <c:pt idx="113">
                  <c:v>0.54089216905717608</c:v>
                </c:pt>
                <c:pt idx="114">
                  <c:v>0.53867081315752585</c:v>
                </c:pt>
                <c:pt idx="115">
                  <c:v>0.53645858000417368</c:v>
                </c:pt>
                <c:pt idx="116">
                  <c:v>0.53425543213148874</c:v>
                </c:pt>
                <c:pt idx="117">
                  <c:v>0.53206133222770546</c:v>
                </c:pt>
                <c:pt idx="118">
                  <c:v>0.5298762431342916</c:v>
                </c:pt>
                <c:pt idx="119">
                  <c:v>0.52770012784531906</c:v>
                </c:pt>
                <c:pt idx="120">
                  <c:v>0.52551124802618154</c:v>
                </c:pt>
                <c:pt idx="121">
                  <c:v>0.52333144759628381</c:v>
                </c:pt>
                <c:pt idx="122">
                  <c:v>0.52116068889466882</c:v>
                </c:pt>
                <c:pt idx="123">
                  <c:v>0.51899893441659573</c:v>
                </c:pt>
                <c:pt idx="124">
                  <c:v>0.51684614681289176</c:v>
                </c:pt>
                <c:pt idx="125">
                  <c:v>0.51470228888930725</c:v>
                </c:pt>
                <c:pt idx="126">
                  <c:v>0.51256732360587276</c:v>
                </c:pt>
                <c:pt idx="127">
                  <c:v>0.5104412140762592</c:v>
                </c:pt>
                <c:pt idx="128">
                  <c:v>0.50832392356714051</c:v>
                </c:pt>
                <c:pt idx="129">
                  <c:v>0.50621541549755922</c:v>
                </c:pt>
                <c:pt idx="130">
                  <c:v>0.50411565343829412</c:v>
                </c:pt>
                <c:pt idx="131">
                  <c:v>0.50202460111123104</c:v>
                </c:pt>
                <c:pt idx="132">
                  <c:v>0.49991913738696697</c:v>
                </c:pt>
                <c:pt idx="133">
                  <c:v>0.49782250386242693</c:v>
                </c:pt>
                <c:pt idx="134">
                  <c:v>0.49573466350423617</c:v>
                </c:pt>
                <c:pt idx="135">
                  <c:v>0.49365557943433586</c:v>
                </c:pt>
                <c:pt idx="136">
                  <c:v>0.49158521492933172</c:v>
                </c:pt>
                <c:pt idx="137">
                  <c:v>0.48952353341984534</c:v>
                </c:pt>
                <c:pt idx="138">
                  <c:v>0.48747049848986845</c:v>
                </c:pt>
                <c:pt idx="139">
                  <c:v>0.48542607387611941</c:v>
                </c:pt>
                <c:pt idx="140">
                  <c:v>0.48339022346740279</c:v>
                </c:pt>
                <c:pt idx="141">
                  <c:v>0.48136291130397146</c:v>
                </c:pt>
                <c:pt idx="142">
                  <c:v>0.47934410157689172</c:v>
                </c:pt>
                <c:pt idx="143">
                  <c:v>0.47733375862741045</c:v>
                </c:pt>
                <c:pt idx="144">
                  <c:v>0.47530765884291287</c:v>
                </c:pt>
                <c:pt idx="145">
                  <c:v>0.47329015907939137</c:v>
                </c:pt>
                <c:pt idx="146">
                  <c:v>0.4712812228330362</c:v>
                </c:pt>
                <c:pt idx="147">
                  <c:v>0.46928081375498254</c:v>
                </c:pt>
                <c:pt idx="148">
                  <c:v>0.46728889565065262</c:v>
                </c:pt>
                <c:pt idx="149">
                  <c:v>0.46530543247910083</c:v>
                </c:pt>
                <c:pt idx="150">
                  <c:v>0.46333038835236162</c:v>
                </c:pt>
                <c:pt idx="151">
                  <c:v>0.46136372753480015</c:v>
                </c:pt>
                <c:pt idx="152">
                  <c:v>0.45940541444246574</c:v>
                </c:pt>
                <c:pt idx="153">
                  <c:v>0.45745541364244813</c:v>
                </c:pt>
                <c:pt idx="154">
                  <c:v>0.45551368985223606</c:v>
                </c:pt>
                <c:pt idx="155">
                  <c:v>0.45358020793907927</c:v>
                </c:pt>
                <c:pt idx="156">
                  <c:v>0.45162842096354777</c:v>
                </c:pt>
                <c:pt idx="157">
                  <c:v>0.44968503266223347</c:v>
                </c:pt>
                <c:pt idx="158">
                  <c:v>0.44775000689506084</c:v>
                </c:pt>
                <c:pt idx="159">
                  <c:v>0.44582330767746781</c:v>
                </c:pt>
                <c:pt idx="160">
                  <c:v>0.44390489917973602</c:v>
                </c:pt>
                <c:pt idx="161">
                  <c:v>0.44199474572632519</c:v>
                </c:pt>
                <c:pt idx="162">
                  <c:v>0.44009281179520909</c:v>
                </c:pt>
                <c:pt idx="163">
                  <c:v>0.43819906201721553</c:v>
                </c:pt>
                <c:pt idx="164">
                  <c:v>0.4363134611753679</c:v>
                </c:pt>
                <c:pt idx="165">
                  <c:v>0.43443597420423102</c:v>
                </c:pt>
                <c:pt idx="166">
                  <c:v>0.43256656618925865</c:v>
                </c:pt>
                <c:pt idx="167">
                  <c:v>0.43070520236614407</c:v>
                </c:pt>
                <c:pt idx="168">
                  <c:v>0.42882303645315056</c:v>
                </c:pt>
                <c:pt idx="169">
                  <c:v>0.42694909553605809</c:v>
                </c:pt>
                <c:pt idx="170">
                  <c:v>0.42508334367193673</c:v>
                </c:pt>
                <c:pt idx="171">
                  <c:v>0.42322574507492577</c:v>
                </c:pt>
                <c:pt idx="172">
                  <c:v>0.42137626411554757</c:v>
                </c:pt>
                <c:pt idx="173">
                  <c:v>0.41953486532002371</c:v>
                </c:pt>
                <c:pt idx="174">
                  <c:v>0.4177015133695951</c:v>
                </c:pt>
                <c:pt idx="175">
                  <c:v>0.41587617309984432</c:v>
                </c:pt>
                <c:pt idx="176">
                  <c:v>0.41405880950002111</c:v>
                </c:pt>
                <c:pt idx="177">
                  <c:v>0.41224938771237074</c:v>
                </c:pt>
                <c:pt idx="178">
                  <c:v>0.41044787303146585</c:v>
                </c:pt>
                <c:pt idx="179">
                  <c:v>0.40865423090354053</c:v>
                </c:pt>
                <c:pt idx="180">
                  <c:v>0.40683684890012622</c:v>
                </c:pt>
                <c:pt idx="181">
                  <c:v>0.40502754922425582</c:v>
                </c:pt>
                <c:pt idx="182">
                  <c:v>0.40322629593190734</c:v>
                </c:pt>
                <c:pt idx="183">
                  <c:v>0.40143305323891049</c:v>
                </c:pt>
                <c:pt idx="184">
                  <c:v>0.3996477855202355</c:v>
                </c:pt>
                <c:pt idx="185">
                  <c:v>0.39787045730928577</c:v>
                </c:pt>
                <c:pt idx="186">
                  <c:v>0.39610103329719287</c:v>
                </c:pt>
                <c:pt idx="187">
                  <c:v>0.39433947833211525</c:v>
                </c:pt>
                <c:pt idx="188">
                  <c:v>0.39258575741853996</c:v>
                </c:pt>
                <c:pt idx="189">
                  <c:v>0.39083983571658748</c:v>
                </c:pt>
                <c:pt idx="190">
                  <c:v>0.38910167854131922</c:v>
                </c:pt>
                <c:pt idx="191">
                  <c:v>0.38737125136204897</c:v>
                </c:pt>
                <c:pt idx="192">
                  <c:v>0.38561394715165737</c:v>
                </c:pt>
                <c:pt idx="193">
                  <c:v>0.38386461492699514</c:v>
                </c:pt>
                <c:pt idx="194">
                  <c:v>0.38212321852326175</c:v>
                </c:pt>
                <c:pt idx="195">
                  <c:v>0.3803897219397176</c:v>
                </c:pt>
                <c:pt idx="196">
                  <c:v>0.37866408933893997</c:v>
                </c:pt>
                <c:pt idx="197">
                  <c:v>0.37694628504608213</c:v>
                </c:pt>
                <c:pt idx="198">
                  <c:v>0.37523627354813582</c:v>
                </c:pt>
                <c:pt idx="199">
                  <c:v>0.37353401949319692</c:v>
                </c:pt>
                <c:pt idx="200">
                  <c:v>0.37183948768973479</c:v>
                </c:pt>
                <c:pt idx="201">
                  <c:v>0.37015264310586476</c:v>
                </c:pt>
                <c:pt idx="202">
                  <c:v>0.36847345086862365</c:v>
                </c:pt>
                <c:pt idx="203">
                  <c:v>0.366801876263249</c:v>
                </c:pt>
                <c:pt idx="204">
                  <c:v>0.36510060907565867</c:v>
                </c:pt>
                <c:pt idx="205">
                  <c:v>0.36340723255120522</c:v>
                </c:pt>
                <c:pt idx="206">
                  <c:v>0.36172171009213067</c:v>
                </c:pt>
                <c:pt idx="207">
                  <c:v>0.36004400527042157</c:v>
                </c:pt>
                <c:pt idx="208">
                  <c:v>0.35837408182702135</c:v>
                </c:pt>
                <c:pt idx="209">
                  <c:v>0.35671190367104716</c:v>
                </c:pt>
                <c:pt idx="210">
                  <c:v>0.35505743487900937</c:v>
                </c:pt>
                <c:pt idx="211">
                  <c:v>0.35341063969403563</c:v>
                </c:pt>
                <c:pt idx="212">
                  <c:v>0.35177148252509771</c:v>
                </c:pt>
                <c:pt idx="213">
                  <c:v>0.35013992794624255</c:v>
                </c:pt>
                <c:pt idx="214">
                  <c:v>0.34851594069582653</c:v>
                </c:pt>
                <c:pt idx="215">
                  <c:v>0.34689948567575335</c:v>
                </c:pt>
                <c:pt idx="216">
                  <c:v>0.34524965765424354</c:v>
                </c:pt>
                <c:pt idx="217">
                  <c:v>0.34360767609147164</c:v>
                </c:pt>
                <c:pt idx="218">
                  <c:v>0.34197350367026647</c:v>
                </c:pt>
                <c:pt idx="219">
                  <c:v>0.34034710325093448</c:v>
                </c:pt>
                <c:pt idx="220">
                  <c:v>0.33872843787041584</c:v>
                </c:pt>
                <c:pt idx="221">
                  <c:v>0.3371174707414441</c:v>
                </c:pt>
                <c:pt idx="222">
                  <c:v>0.33551416525171041</c:v>
                </c:pt>
                <c:pt idx="223">
                  <c:v>0.33391848496303123</c:v>
                </c:pt>
                <c:pt idx="224">
                  <c:v>0.33233039361052047</c:v>
                </c:pt>
                <c:pt idx="225">
                  <c:v>0.33074985510176497</c:v>
                </c:pt>
                <c:pt idx="226">
                  <c:v>0.32917683351600435</c:v>
                </c:pt>
                <c:pt idx="227">
                  <c:v>0.32761129310331494</c:v>
                </c:pt>
                <c:pt idx="228">
                  <c:v>0.32600854738597557</c:v>
                </c:pt>
                <c:pt idx="229">
                  <c:v>0.32441364264936096</c:v>
                </c:pt>
                <c:pt idx="230">
                  <c:v>0.32282654053368764</c:v>
                </c:pt>
                <c:pt idx="231">
                  <c:v>0.3212472028668365</c:v>
                </c:pt>
                <c:pt idx="232">
                  <c:v>0.31967559166343479</c:v>
                </c:pt>
                <c:pt idx="233">
                  <c:v>0.31811166912394245</c:v>
                </c:pt>
                <c:pt idx="234">
                  <c:v>0.31655539763374291</c:v>
                </c:pt>
                <c:pt idx="235">
                  <c:v>0.31500673976223859</c:v>
                </c:pt>
                <c:pt idx="236">
                  <c:v>0.3134656582619505</c:v>
                </c:pt>
                <c:pt idx="237">
                  <c:v>0.31193211606762244</c:v>
                </c:pt>
                <c:pt idx="238">
                  <c:v>0.3104060762953294</c:v>
                </c:pt>
                <c:pt idx="239">
                  <c:v>0.30888750224159073</c:v>
                </c:pt>
                <c:pt idx="240">
                  <c:v>0.30732812800844017</c:v>
                </c:pt>
                <c:pt idx="241">
                  <c:v>0.3057766260523529</c:v>
                </c:pt>
                <c:pt idx="242">
                  <c:v>0.30423295663126765</c:v>
                </c:pt>
                <c:pt idx="243">
                  <c:v>0.30269708020375535</c:v>
                </c:pt>
                <c:pt idx="244">
                  <c:v>0.3011689574280062</c:v>
                </c:pt>
                <c:pt idx="245">
                  <c:v>0.29964854916082184</c:v>
                </c:pt>
                <c:pt idx="246">
                  <c:v>0.29813581645661275</c:v>
                </c:pt>
                <c:pt idx="247">
                  <c:v>0.2966307205664005</c:v>
                </c:pt>
                <c:pt idx="248">
                  <c:v>0.29513322293682548</c:v>
                </c:pt>
                <c:pt idx="249">
                  <c:v>0.29364328520915917</c:v>
                </c:pt>
                <c:pt idx="250">
                  <c:v>0.29216086921832152</c:v>
                </c:pt>
                <c:pt idx="251">
                  <c:v>0.29068593699190343</c:v>
                </c:pt>
                <c:pt idx="252">
                  <c:v>0.28916653000128029</c:v>
                </c:pt>
                <c:pt idx="253">
                  <c:v>0.28765506490707998</c:v>
                </c:pt>
                <c:pt idx="254">
                  <c:v>0.28615150019723945</c:v>
                </c:pt>
                <c:pt idx="255">
                  <c:v>0.28465579457667795</c:v>
                </c:pt>
                <c:pt idx="256">
                  <c:v>0.28316790696616295</c:v>
                </c:pt>
                <c:pt idx="257">
                  <c:v>0.28168779650118203</c:v>
                </c:pt>
                <c:pt idx="258">
                  <c:v>0.28021542253082016</c:v>
                </c:pt>
                <c:pt idx="259">
                  <c:v>0.27875074461664373</c:v>
                </c:pt>
                <c:pt idx="260">
                  <c:v>0.27729372253158935</c:v>
                </c:pt>
                <c:pt idx="261">
                  <c:v>0.27584431625885952</c:v>
                </c:pt>
                <c:pt idx="262">
                  <c:v>0.2744024859908234</c:v>
                </c:pt>
                <c:pt idx="263">
                  <c:v>0.27296819212792345</c:v>
                </c:pt>
                <c:pt idx="264">
                  <c:v>0.2714859880617973</c:v>
                </c:pt>
                <c:pt idx="265">
                  <c:v>0.27001183229198178</c:v>
                </c:pt>
                <c:pt idx="266">
                  <c:v>0.2685456811166177</c:v>
                </c:pt>
                <c:pt idx="267">
                  <c:v>0.26708749107114482</c:v>
                </c:pt>
                <c:pt idx="268">
                  <c:v>0.2656372189270132</c:v>
                </c:pt>
                <c:pt idx="269">
                  <c:v>0.26419482169040198</c:v>
                </c:pt>
                <c:pt idx="270">
                  <c:v>0.26276025660094465</c:v>
                </c:pt>
                <c:pt idx="271">
                  <c:v>0.2613334811304614</c:v>
                </c:pt>
                <c:pt idx="272">
                  <c:v>0.25991445298169835</c:v>
                </c:pt>
                <c:pt idx="273">
                  <c:v>0.25850313008707371</c:v>
                </c:pt>
                <c:pt idx="274">
                  <c:v>0.25709947060743055</c:v>
                </c:pt>
                <c:pt idx="275">
                  <c:v>0.25570343293079667</c:v>
                </c:pt>
                <c:pt idx="276">
                  <c:v>0.25425611301561218</c:v>
                </c:pt>
                <c:pt idx="277">
                  <c:v>0.25281698514897732</c:v>
                </c:pt>
                <c:pt idx="278">
                  <c:v>0.25138600296266439</c:v>
                </c:pt>
                <c:pt idx="279">
                  <c:v>0.24996312035089682</c:v>
                </c:pt>
                <c:pt idx="280">
                  <c:v>0.24854829146886367</c:v>
                </c:pt>
                <c:pt idx="281">
                  <c:v>0.24714147073124246</c:v>
                </c:pt>
                <c:pt idx="282">
                  <c:v>0.24574261281073057</c:v>
                </c:pt>
                <c:pt idx="283">
                  <c:v>0.24435167263658472</c:v>
                </c:pt>
                <c:pt idx="284">
                  <c:v>0.24296860539316881</c:v>
                </c:pt>
                <c:pt idx="285">
                  <c:v>0.24159336651851004</c:v>
                </c:pt>
                <c:pt idx="286">
                  <c:v>0.24022591170286292</c:v>
                </c:pt>
                <c:pt idx="287">
                  <c:v>0.23886619688728195</c:v>
                </c:pt>
                <c:pt idx="288">
                  <c:v>0.23745111576376945</c:v>
                </c:pt>
                <c:pt idx="289">
                  <c:v>0.2360444178046068</c:v>
                </c:pt>
                <c:pt idx="290">
                  <c:v>0.23464605334660268</c:v>
                </c:pt>
                <c:pt idx="291">
                  <c:v>0.23325597302077844</c:v>
                </c:pt>
                <c:pt idx="292">
                  <c:v>0.23187412775062496</c:v>
                </c:pt>
                <c:pt idx="293">
                  <c:v>0.23050046875037028</c:v>
                </c:pt>
                <c:pt idx="294">
                  <c:v>0.22913494752325689</c:v>
                </c:pt>
                <c:pt idx="295">
                  <c:v>0.22777751585982989</c:v>
                </c:pt>
                <c:pt idx="296">
                  <c:v>0.22642812583623476</c:v>
                </c:pt>
                <c:pt idx="297">
                  <c:v>0.22508672981252545</c:v>
                </c:pt>
                <c:pt idx="298">
                  <c:v>0.22375328043098253</c:v>
                </c:pt>
                <c:pt idx="299">
                  <c:v>0.22242773061444113</c:v>
                </c:pt>
                <c:pt idx="300">
                  <c:v>0.22104234360467206</c:v>
                </c:pt>
                <c:pt idx="301">
                  <c:v>0.21966558545229201</c:v>
                </c:pt>
                <c:pt idx="302">
                  <c:v>0.21829740241262219</c:v>
                </c:pt>
                <c:pt idx="303">
                  <c:v>0.21693774107573152</c:v>
                </c:pt>
                <c:pt idx="304">
                  <c:v>0.21558654836435179</c:v>
                </c:pt>
                <c:pt idx="305">
                  <c:v>0.21424377153180546</c:v>
                </c:pt>
                <c:pt idx="306">
                  <c:v>0.21290935815994672</c:v>
                </c:pt>
                <c:pt idx="307">
                  <c:v>0.21158325615711526</c:v>
                </c:pt>
                <c:pt idx="308">
                  <c:v>0.21026541375610269</c:v>
                </c:pt>
                <c:pt idx="309">
                  <c:v>0.20895577951213176</c:v>
                </c:pt>
                <c:pt idx="310">
                  <c:v>0.20765430230084789</c:v>
                </c:pt>
                <c:pt idx="311">
                  <c:v>0.2063609313163238</c:v>
                </c:pt>
                <c:pt idx="312">
                  <c:v>0.20500342860538442</c:v>
                </c:pt>
                <c:pt idx="313">
                  <c:v>0.20365485594529556</c:v>
                </c:pt>
                <c:pt idx="314">
                  <c:v>0.20231515459156441</c:v>
                </c:pt>
                <c:pt idx="315">
                  <c:v>0.20098426618613666</c:v>
                </c:pt>
                <c:pt idx="316">
                  <c:v>0.19966213275485448</c:v>
                </c:pt>
                <c:pt idx="317">
                  <c:v>0.19834869670493102</c:v>
                </c:pt>
                <c:pt idx="318">
                  <c:v>0.19704390082244155</c:v>
                </c:pt>
                <c:pt idx="319">
                  <c:v>0.19574768826983147</c:v>
                </c:pt>
                <c:pt idx="320">
                  <c:v>0.19446000258344018</c:v>
                </c:pt>
                <c:pt idx="321">
                  <c:v>0.19318078767104163</c:v>
                </c:pt>
                <c:pt idx="322">
                  <c:v>0.19190998780940091</c:v>
                </c:pt>
                <c:pt idx="323">
                  <c:v>0.1906475476418468</c:v>
                </c:pt>
                <c:pt idx="324">
                  <c:v>0.18931704767928256</c:v>
                </c:pt>
                <c:pt idx="325">
                  <c:v>0.18799583307166928</c:v>
                </c:pt>
                <c:pt idx="326">
                  <c:v>0.18668383901794047</c:v>
                </c:pt>
                <c:pt idx="327">
                  <c:v>0.18538100116926626</c:v>
                </c:pt>
                <c:pt idx="328">
                  <c:v>0.18408725562589745</c:v>
                </c:pt>
                <c:pt idx="329">
                  <c:v>0.18280253893403139</c:v>
                </c:pt>
                <c:pt idx="330">
                  <c:v>0.18152678808269973</c:v>
                </c:pt>
                <c:pt idx="331">
                  <c:v>0.18025994050067803</c:v>
                </c:pt>
                <c:pt idx="332">
                  <c:v>0.1790019340534168</c:v>
                </c:pt>
                <c:pt idx="333">
                  <c:v>0.17775270703999405</c:v>
                </c:pt>
                <c:pt idx="334">
                  <c:v>0.17651219819008901</c:v>
                </c:pt>
                <c:pt idx="335">
                  <c:v>0.17528034666097714</c:v>
                </c:pt>
                <c:pt idx="336">
                  <c:v>0.17393946631207213</c:v>
                </c:pt>
                <c:pt idx="337">
                  <c:v>0.17260884358841908</c:v>
                </c:pt>
                <c:pt idx="338">
                  <c:v>0.17128840002002182</c:v>
                </c:pt>
                <c:pt idx="339">
                  <c:v>0.16997805773717331</c:v>
                </c:pt>
                <c:pt idx="340">
                  <c:v>0.16867773946586334</c:v>
                </c:pt>
                <c:pt idx="341">
                  <c:v>0.16738736852322161</c:v>
                </c:pt>
                <c:pt idx="342">
                  <c:v>0.16610686881299555</c:v>
                </c:pt>
                <c:pt idx="343">
                  <c:v>0.16483616482106264</c:v>
                </c:pt>
                <c:pt idx="344">
                  <c:v>0.16357518161097731</c:v>
                </c:pt>
                <c:pt idx="345">
                  <c:v>0.16232384481955164</c:v>
                </c:pt>
                <c:pt idx="346">
                  <c:v>0.16108208065247004</c:v>
                </c:pt>
                <c:pt idx="347">
                  <c:v>0.15984981587993741</c:v>
                </c:pt>
                <c:pt idx="348">
                  <c:v>0.15846045520652635</c:v>
                </c:pt>
                <c:pt idx="349">
                  <c:v>0.15708317038738009</c:v>
                </c:pt>
                <c:pt idx="350">
                  <c:v>0.15571785646324723</c:v>
                </c:pt>
                <c:pt idx="351">
                  <c:v>0.15436440938714674</c:v>
                </c:pt>
                <c:pt idx="352">
                  <c:v>0.15302272601643888</c:v>
                </c:pt>
                <c:pt idx="353">
                  <c:v>0.15169270410496491</c:v>
                </c:pt>
                <c:pt idx="354">
                  <c:v>0.15037424229525526</c:v>
                </c:pt>
                <c:pt idx="355">
                  <c:v>0.14906724011080522</c:v>
                </c:pt>
                <c:pt idx="356">
                  <c:v>0.14777159794841802</c:v>
                </c:pt>
                <c:pt idx="357">
                  <c:v>0.14648721707061427</c:v>
                </c:pt>
                <c:pt idx="358">
                  <c:v>0.14521399959810741</c:v>
                </c:pt>
                <c:pt idx="359">
                  <c:v>0.14395184850234463</c:v>
                </c:pt>
                <c:pt idx="360">
                  <c:v>0.14253124564362249</c:v>
                </c:pt>
                <c:pt idx="361">
                  <c:v>0.1411246621427843</c:v>
                </c:pt>
                <c:pt idx="362">
                  <c:v>0.13973195964842924</c:v>
                </c:pt>
                <c:pt idx="363">
                  <c:v>0.13835300117449084</c:v>
                </c:pt>
                <c:pt idx="364">
                  <c:v>0.13698765108676295</c:v>
                </c:pt>
                <c:pt idx="365">
                  <c:v>0.13563577508955879</c:v>
                </c:pt>
              </c:numCache>
            </c:numRef>
          </c:yVal>
          <c:smooth val="0"/>
          <c:extLst>
            <c:ext xmlns:c16="http://schemas.microsoft.com/office/drawing/2014/chart" uri="{C3380CC4-5D6E-409C-BE32-E72D297353CC}">
              <c16:uniqueId val="{00000002-103E-4B37-BC25-29578DEBDDCD}"/>
            </c:ext>
          </c:extLst>
        </c:ser>
        <c:ser>
          <c:idx val="3"/>
          <c:order val="3"/>
          <c:tx>
            <c:strRef>
              <c:f>'cure fraction analyses'!$Z$3</c:f>
              <c:strCache>
                <c:ptCount val="1"/>
                <c:pt idx="0">
                  <c:v>OS 50%</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'cure fraction analyses'!$Y$4:$Y$369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fraction analyses'!$Z$4:$Z$369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0.67142308674169582</c:v>
                </c:pt>
                <c:pt idx="61">
                  <c:v>0.66995785047201761</c:v>
                </c:pt>
                <c:pt idx="62">
                  <c:v>0.66849581176490225</c:v>
                </c:pt>
                <c:pt idx="63">
                  <c:v>0.6670369636423582</c:v>
                </c:pt>
                <c:pt idx="64">
                  <c:v>0.66558129914162178</c:v>
                </c:pt>
                <c:pt idx="65">
                  <c:v>0.66412881131512413</c:v>
                </c:pt>
                <c:pt idx="66">
                  <c:v>0.66267949323045794</c:v>
                </c:pt>
                <c:pt idx="67">
                  <c:v>0.66123333797034434</c:v>
                </c:pt>
                <c:pt idx="68">
                  <c:v>0.65979033863260006</c:v>
                </c:pt>
                <c:pt idx="69">
                  <c:v>0.65835048833010423</c:v>
                </c:pt>
                <c:pt idx="70">
                  <c:v>0.65691378019076574</c:v>
                </c:pt>
                <c:pt idx="71">
                  <c:v>0.65548020735749024</c:v>
                </c:pt>
                <c:pt idx="72">
                  <c:v>0.65402239102721493</c:v>
                </c:pt>
                <c:pt idx="73">
                  <c:v>0.65256781694350785</c:v>
                </c:pt>
                <c:pt idx="74">
                  <c:v>0.65111647789547233</c:v>
                </c:pt>
                <c:pt idx="75">
                  <c:v>0.64966836668824912</c:v>
                </c:pt>
                <c:pt idx="76">
                  <c:v>0.6482234761429807</c:v>
                </c:pt>
                <c:pt idx="77">
                  <c:v>0.64678179909677558</c:v>
                </c:pt>
                <c:pt idx="78">
                  <c:v>0.64534332840267294</c:v>
                </c:pt>
                <c:pt idx="79">
                  <c:v>0.64390805692960684</c:v>
                </c:pt>
                <c:pt idx="80">
                  <c:v>0.64247597756237151</c:v>
                </c:pt>
                <c:pt idx="81">
                  <c:v>0.64104708320158543</c:v>
                </c:pt>
                <c:pt idx="82">
                  <c:v>0.63962136676365655</c:v>
                </c:pt>
                <c:pt idx="83">
                  <c:v>0.63819882118074689</c:v>
                </c:pt>
                <c:pt idx="84">
                  <c:v>0.63675021509594787</c:v>
                </c:pt>
                <c:pt idx="85">
                  <c:v>0.63530489710808546</c:v>
                </c:pt>
                <c:pt idx="86">
                  <c:v>0.63386285975372192</c:v>
                </c:pt>
                <c:pt idx="87">
                  <c:v>0.63242409558636015</c:v>
                </c:pt>
                <c:pt idx="88">
                  <c:v>0.63098859717640543</c:v>
                </c:pt>
                <c:pt idx="89">
                  <c:v>0.62955635711112701</c:v>
                </c:pt>
                <c:pt idx="90">
                  <c:v>0.62812736799461966</c:v>
                </c:pt>
                <c:pt idx="91">
                  <c:v>0.62670162244776584</c:v>
                </c:pt>
                <c:pt idx="92">
                  <c:v>0.62527911310819728</c:v>
                </c:pt>
                <c:pt idx="93">
                  <c:v>0.62385983263025713</c:v>
                </c:pt>
                <c:pt idx="94">
                  <c:v>0.62244377368496184</c:v>
                </c:pt>
                <c:pt idx="95">
                  <c:v>0.62103092895996359</c:v>
                </c:pt>
                <c:pt idx="96">
                  <c:v>0.6195885641530916</c:v>
                </c:pt>
                <c:pt idx="97">
                  <c:v>0.61814954928603594</c:v>
                </c:pt>
                <c:pt idx="98">
                  <c:v>0.61671387657845089</c:v>
                </c:pt>
                <c:pt idx="99">
                  <c:v>0.61528153826806098</c:v>
                </c:pt>
                <c:pt idx="100">
                  <c:v>0.61385252661061884</c:v>
                </c:pt>
                <c:pt idx="101">
                  <c:v>0.61242683387986319</c:v>
                </c:pt>
                <c:pt idx="102">
                  <c:v>0.61100445236747747</c:v>
                </c:pt>
                <c:pt idx="103">
                  <c:v>0.60958537438304783</c:v>
                </c:pt>
                <c:pt idx="104">
                  <c:v>0.60816959225402167</c:v>
                </c:pt>
                <c:pt idx="105">
                  <c:v>0.60675709832566616</c:v>
                </c:pt>
                <c:pt idx="106">
                  <c:v>0.60534788496102687</c:v>
                </c:pt>
                <c:pt idx="107">
                  <c:v>0.60394194454088634</c:v>
                </c:pt>
                <c:pt idx="108">
                  <c:v>0.60250262174791114</c:v>
                </c:pt>
                <c:pt idx="109">
                  <c:v>0.60106672916891768</c:v>
                </c:pt>
                <c:pt idx="110">
                  <c:v>0.59963425862897268</c:v>
                </c:pt>
                <c:pt idx="111">
                  <c:v>0.59820520197262528</c:v>
                </c:pt>
                <c:pt idx="112">
                  <c:v>0.59677955106386105</c:v>
                </c:pt>
                <c:pt idx="113">
                  <c:v>0.59535729778605506</c:v>
                </c:pt>
                <c:pt idx="114">
                  <c:v>0.59393843404192648</c:v>
                </c:pt>
                <c:pt idx="115">
                  <c:v>0.59252295175349157</c:v>
                </c:pt>
                <c:pt idx="116">
                  <c:v>0.59111084286201843</c:v>
                </c:pt>
                <c:pt idx="117">
                  <c:v>0.58970209932798079</c:v>
                </c:pt>
                <c:pt idx="118">
                  <c:v>0.58829671313101217</c:v>
                </c:pt>
                <c:pt idx="119">
                  <c:v>0.58689467626986058</c:v>
                </c:pt>
                <c:pt idx="120">
                  <c:v>0.58545575436989061</c:v>
                </c:pt>
                <c:pt idx="121">
                  <c:v>0.58402036035374361</c:v>
                </c:pt>
                <c:pt idx="122">
                  <c:v>0.58258848557191312</c:v>
                </c:pt>
                <c:pt idx="123">
                  <c:v>0.58116012139609918</c:v>
                </c:pt>
                <c:pt idx="124">
                  <c:v>0.57973525921915636</c:v>
                </c:pt>
                <c:pt idx="125">
                  <c:v>0.57831389045504167</c:v>
                </c:pt>
                <c:pt idx="126">
                  <c:v>0.57689600653876305</c:v>
                </c:pt>
                <c:pt idx="127">
                  <c:v>0.57548159892632778</c:v>
                </c:pt>
                <c:pt idx="128">
                  <c:v>0.57407065909469079</c:v>
                </c:pt>
                <c:pt idx="129">
                  <c:v>0.57266317854170357</c:v>
                </c:pt>
                <c:pt idx="130">
                  <c:v>0.57125914878606276</c:v>
                </c:pt>
                <c:pt idx="131">
                  <c:v>0.56985856136725899</c:v>
                </c:pt>
                <c:pt idx="132">
                  <c:v>0.56841773406981799</c:v>
                </c:pt>
                <c:pt idx="133">
                  <c:v>0.56698054975230538</c:v>
                </c:pt>
                <c:pt idx="134">
                  <c:v>0.56554699920383034</c:v>
                </c:pt>
                <c:pt idx="135">
                  <c:v>0.56411707323679106</c:v>
                </c:pt>
                <c:pt idx="136">
                  <c:v>0.56269076268681539</c:v>
                </c:pt>
                <c:pt idx="137">
                  <c:v>0.56126805841270244</c:v>
                </c:pt>
                <c:pt idx="138">
                  <c:v>0.55984895129636392</c:v>
                </c:pt>
                <c:pt idx="139">
                  <c:v>0.55843343224276554</c:v>
                </c:pt>
                <c:pt idx="140">
                  <c:v>0.55702149217986896</c:v>
                </c:pt>
                <c:pt idx="141">
                  <c:v>0.55561312205857349</c:v>
                </c:pt>
                <c:pt idx="142">
                  <c:v>0.55420831285265815</c:v>
                </c:pt>
                <c:pt idx="143">
                  <c:v>0.55280705555872378</c:v>
                </c:pt>
                <c:pt idx="144">
                  <c:v>0.55136265354839298</c:v>
                </c:pt>
                <c:pt idx="145">
                  <c:v>0.54992202554410374</c:v>
                </c:pt>
                <c:pt idx="146">
                  <c:v>0.54848516168494366</c:v>
                </c:pt>
                <c:pt idx="147">
                  <c:v>0.54705205213576535</c:v>
                </c:pt>
                <c:pt idx="148">
                  <c:v>0.54562268708711947</c:v>
                </c:pt>
                <c:pt idx="149">
                  <c:v>0.54419705675518715</c:v>
                </c:pt>
                <c:pt idx="150">
                  <c:v>0.54277515138171317</c:v>
                </c:pt>
                <c:pt idx="151">
                  <c:v>0.54135696123393917</c:v>
                </c:pt>
                <c:pt idx="152">
                  <c:v>0.53994247660453709</c:v>
                </c:pt>
                <c:pt idx="153">
                  <c:v>0.53853168781154259</c:v>
                </c:pt>
                <c:pt idx="154">
                  <c:v>0.53712458519828887</c:v>
                </c:pt>
                <c:pt idx="155">
                  <c:v>0.53572115913334051</c:v>
                </c:pt>
                <c:pt idx="156">
                  <c:v>0.53426921146161122</c:v>
                </c:pt>
                <c:pt idx="157">
                  <c:v>0.53282119895653623</c:v>
                </c:pt>
                <c:pt idx="158">
                  <c:v>0.53137711095276108</c:v>
                </c:pt>
                <c:pt idx="159">
                  <c:v>0.52993693681383724</c:v>
                </c:pt>
                <c:pt idx="160">
                  <c:v>0.52850066593214395</c:v>
                </c:pt>
                <c:pt idx="161">
                  <c:v>0.52706828772880965</c:v>
                </c:pt>
                <c:pt idx="162">
                  <c:v>0.52563979165363461</c:v>
                </c:pt>
                <c:pt idx="163">
                  <c:v>0.52421516718501282</c:v>
                </c:pt>
                <c:pt idx="164">
                  <c:v>0.52279440382985476</c:v>
                </c:pt>
                <c:pt idx="165">
                  <c:v>0.52137749112350984</c:v>
                </c:pt>
                <c:pt idx="166">
                  <c:v>0.51996441862968956</c:v>
                </c:pt>
                <c:pt idx="167">
                  <c:v>0.51855517594039047</c:v>
                </c:pt>
                <c:pt idx="168">
                  <c:v>0.51709193881233528</c:v>
                </c:pt>
                <c:pt idx="169">
                  <c:v>0.51563283058510356</c:v>
                </c:pt>
                <c:pt idx="170">
                  <c:v>0.51417783960793695</c:v>
                </c:pt>
                <c:pt idx="171">
                  <c:v>0.51272695426295289</c:v>
                </c:pt>
                <c:pt idx="172">
                  <c:v>0.51128016296505163</c:v>
                </c:pt>
                <c:pt idx="173">
                  <c:v>0.50983745416182369</c:v>
                </c:pt>
                <c:pt idx="174">
                  <c:v>0.50839881633345785</c:v>
                </c:pt>
                <c:pt idx="175">
                  <c:v>0.506964237992649</c:v>
                </c:pt>
                <c:pt idx="176">
                  <c:v>0.50553370768450623</c:v>
                </c:pt>
                <c:pt idx="177">
                  <c:v>0.50410721398646163</c:v>
                </c:pt>
                <c:pt idx="178">
                  <c:v>0.5026847455081791</c:v>
                </c:pt>
                <c:pt idx="179">
                  <c:v>0.50126629089146324</c:v>
                </c:pt>
                <c:pt idx="180">
                  <c:v>0.49978728138150091</c:v>
                </c:pt>
                <c:pt idx="181">
                  <c:v>0.49831263575790063</c:v>
                </c:pt>
                <c:pt idx="182">
                  <c:v>0.49684234114481263</c:v>
                </c:pt>
                <c:pt idx="183">
                  <c:v>0.495376384704378</c:v>
                </c:pt>
                <c:pt idx="184">
                  <c:v>0.49391475363661652</c:v>
                </c:pt>
                <c:pt idx="185">
                  <c:v>0.4924574351793149</c:v>
                </c:pt>
                <c:pt idx="186">
                  <c:v>0.49100441660791538</c:v>
                </c:pt>
                <c:pt idx="187">
                  <c:v>0.48955568523540455</c:v>
                </c:pt>
                <c:pt idx="188">
                  <c:v>0.48811122841220267</c:v>
                </c:pt>
                <c:pt idx="189">
                  <c:v>0.48667103352605318</c:v>
                </c:pt>
                <c:pt idx="190">
                  <c:v>0.48523508800191245</c:v>
                </c:pt>
                <c:pt idx="191">
                  <c:v>0.48380337930184025</c:v>
                </c:pt>
                <c:pt idx="192">
                  <c:v>0.48230392965969032</c:v>
                </c:pt>
                <c:pt idx="193">
                  <c:v>0.48080912725508679</c:v>
                </c:pt>
                <c:pt idx="194">
                  <c:v>0.4793189576848671</c:v>
                </c:pt>
                <c:pt idx="195">
                  <c:v>0.47783340659050849</c:v>
                </c:pt>
                <c:pt idx="196">
                  <c:v>0.47635245965798945</c:v>
                </c:pt>
                <c:pt idx="197">
                  <c:v>0.47487610261765184</c:v>
                </c:pt>
                <c:pt idx="198">
                  <c:v>0.4734043212440634</c:v>
                </c:pt>
                <c:pt idx="199">
                  <c:v>0.47193710135588074</c:v>
                </c:pt>
                <c:pt idx="200">
                  <c:v>0.47047442881571261</c:v>
                </c:pt>
                <c:pt idx="201">
                  <c:v>0.46901628952998375</c:v>
                </c:pt>
                <c:pt idx="202">
                  <c:v>0.46756266944879898</c:v>
                </c:pt>
                <c:pt idx="203">
                  <c:v>0.46611355456580789</c:v>
                </c:pt>
                <c:pt idx="204">
                  <c:v>0.46458998417135849</c:v>
                </c:pt>
                <c:pt idx="205">
                  <c:v>0.46307139382248835</c:v>
                </c:pt>
                <c:pt idx="206">
                  <c:v>0.46155776724108249</c:v>
                </c:pt>
                <c:pt idx="207">
                  <c:v>0.46004908820223384</c:v>
                </c:pt>
                <c:pt idx="208">
                  <c:v>0.45854534053406898</c:v>
                </c:pt>
                <c:pt idx="209">
                  <c:v>0.45704650811757513</c:v>
                </c:pt>
                <c:pt idx="210">
                  <c:v>0.45555257488642703</c:v>
                </c:pt>
                <c:pt idx="211">
                  <c:v>0.45406352482681511</c:v>
                </c:pt>
                <c:pt idx="212">
                  <c:v>0.45257934197727345</c:v>
                </c:pt>
                <c:pt idx="213">
                  <c:v>0.45110001042850895</c:v>
                </c:pt>
                <c:pt idx="214">
                  <c:v>0.44962551432323072</c:v>
                </c:pt>
                <c:pt idx="215">
                  <c:v>0.44815583785598001</c:v>
                </c:pt>
                <c:pt idx="216">
                  <c:v>0.44660296542134625</c:v>
                </c:pt>
                <c:pt idx="217">
                  <c:v>0.44505547373286047</c:v>
                </c:pt>
                <c:pt idx="218">
                  <c:v>0.44351334414608773</c:v>
                </c:pt>
                <c:pt idx="219">
                  <c:v>0.44197655808119651</c:v>
                </c:pt>
                <c:pt idx="220">
                  <c:v>0.44044509702273504</c:v>
                </c:pt>
                <c:pt idx="221">
                  <c:v>0.438918942519408</c:v>
                </c:pt>
                <c:pt idx="222">
                  <c:v>0.43739807618385435</c:v>
                </c:pt>
                <c:pt idx="223">
                  <c:v>0.43588247969242577</c:v>
                </c:pt>
                <c:pt idx="224">
                  <c:v>0.43437213478496589</c:v>
                </c:pt>
                <c:pt idx="225">
                  <c:v>0.43286702326459031</c:v>
                </c:pt>
                <c:pt idx="226">
                  <c:v>0.43136712699746732</c:v>
                </c:pt>
                <c:pt idx="227">
                  <c:v>0.42987242791259944</c:v>
                </c:pt>
                <c:pt idx="228">
                  <c:v>0.42828526082918433</c:v>
                </c:pt>
                <c:pt idx="229">
                  <c:v>0.4267039538549251</c:v>
                </c:pt>
                <c:pt idx="230">
                  <c:v>0.42512848535323433</c:v>
                </c:pt>
                <c:pt idx="231">
                  <c:v>0.42355883376741088</c:v>
                </c:pt>
                <c:pt idx="232">
                  <c:v>0.42199497762034482</c:v>
                </c:pt>
                <c:pt idx="233">
                  <c:v>0.42043689551422364</c:v>
                </c:pt>
                <c:pt idx="234">
                  <c:v>0.41888456613023928</c:v>
                </c:pt>
                <c:pt idx="235">
                  <c:v>0.41733796822829677</c:v>
                </c:pt>
                <c:pt idx="236">
                  <c:v>0.41579708064672344</c:v>
                </c:pt>
                <c:pt idx="237">
                  <c:v>0.4142618823019793</c:v>
                </c:pt>
                <c:pt idx="238">
                  <c:v>0.41273235218836851</c:v>
                </c:pt>
                <c:pt idx="239">
                  <c:v>0.41120846937775229</c:v>
                </c:pt>
                <c:pt idx="240">
                  <c:v>0.40958320357981182</c:v>
                </c:pt>
                <c:pt idx="241">
                  <c:v>0.40796436150392634</c:v>
                </c:pt>
                <c:pt idx="242">
                  <c:v>0.4063519177608918</c:v>
                </c:pt>
                <c:pt idx="243">
                  <c:v>0.40474584706185274</c:v>
                </c:pt>
                <c:pt idx="244">
                  <c:v>0.40314612421790569</c:v>
                </c:pt>
                <c:pt idx="245">
                  <c:v>0.40155272413970416</c:v>
                </c:pt>
                <c:pt idx="246">
                  <c:v>0.39996562183706513</c:v>
                </c:pt>
                <c:pt idx="247">
                  <c:v>0.3983847924185771</c:v>
                </c:pt>
                <c:pt idx="248">
                  <c:v>0.39681021109120967</c:v>
                </c:pt>
                <c:pt idx="249">
                  <c:v>0.39524185315992483</c:v>
                </c:pt>
                <c:pt idx="250">
                  <c:v>0.39367969402728953</c:v>
                </c:pt>
                <c:pt idx="251">
                  <c:v>0.39212370919308986</c:v>
                </c:pt>
                <c:pt idx="252">
                  <c:v>0.39045714256483322</c:v>
                </c:pt>
                <c:pt idx="253">
                  <c:v>0.38879765901842372</c:v>
                </c:pt>
                <c:pt idx="254">
                  <c:v>0.38714522845002541</c:v>
                </c:pt>
                <c:pt idx="255">
                  <c:v>0.38549982088374662</c:v>
                </c:pt>
                <c:pt idx="256">
                  <c:v>0.38386140647109657</c:v>
                </c:pt>
                <c:pt idx="257">
                  <c:v>0.38222995549044347</c:v>
                </c:pt>
                <c:pt idx="258">
                  <c:v>0.38060543834647576</c:v>
                </c:pt>
                <c:pt idx="259">
                  <c:v>0.37898782556966487</c:v>
                </c:pt>
                <c:pt idx="260">
                  <c:v>0.37737708781573087</c:v>
                </c:pt>
                <c:pt idx="261">
                  <c:v>0.37577319586511004</c:v>
                </c:pt>
                <c:pt idx="262">
                  <c:v>0.37417612062242495</c:v>
                </c:pt>
                <c:pt idx="263">
                  <c:v>0.37258583311595644</c:v>
                </c:pt>
                <c:pt idx="264">
                  <c:v>0.37087625840914112</c:v>
                </c:pt>
                <c:pt idx="265">
                  <c:v>0.36917452792349154</c:v>
                </c:pt>
                <c:pt idx="266">
                  <c:v>0.36748060566654395</c:v>
                </c:pt>
                <c:pt idx="267">
                  <c:v>0.36579445581098252</c:v>
                </c:pt>
                <c:pt idx="268">
                  <c:v>0.36411604269388176</c:v>
                </c:pt>
                <c:pt idx="269">
                  <c:v>0.36244533081595204</c:v>
                </c:pt>
                <c:pt idx="270">
                  <c:v>0.360782284840789</c:v>
                </c:pt>
                <c:pt idx="271">
                  <c:v>0.35912686959412582</c:v>
                </c:pt>
                <c:pt idx="272">
                  <c:v>0.35747905006308961</c:v>
                </c:pt>
                <c:pt idx="273">
                  <c:v>0.3558387913954606</c:v>
                </c:pt>
                <c:pt idx="274">
                  <c:v>0.35420605889893514</c:v>
                </c:pt>
                <c:pt idx="275">
                  <c:v>0.3525808180403921</c:v>
                </c:pt>
                <c:pt idx="276">
                  <c:v>0.35082776156931567</c:v>
                </c:pt>
                <c:pt idx="277">
                  <c:v>0.34908342141754395</c:v>
                </c:pt>
                <c:pt idx="278">
                  <c:v>0.34734775424692821</c:v>
                </c:pt>
                <c:pt idx="279">
                  <c:v>0.34562071693479995</c:v>
                </c:pt>
                <c:pt idx="280">
                  <c:v>0.34390226657289957</c:v>
                </c:pt>
                <c:pt idx="281">
                  <c:v>0.34219236046631035</c:v>
                </c:pt>
                <c:pt idx="282">
                  <c:v>0.34049095613239766</c:v>
                </c:pt>
                <c:pt idx="283">
                  <c:v>0.33879801129975351</c:v>
                </c:pt>
                <c:pt idx="284">
                  <c:v>0.33711348390714635</c:v>
                </c:pt>
                <c:pt idx="285">
                  <c:v>0.335437332102476</c:v>
                </c:pt>
                <c:pt idx="286">
                  <c:v>0.33376951424173373</c:v>
                </c:pt>
                <c:pt idx="287">
                  <c:v>0.33210998888796789</c:v>
                </c:pt>
                <c:pt idx="288">
                  <c:v>0.33031258219203147</c:v>
                </c:pt>
                <c:pt idx="289">
                  <c:v>0.32852490320961975</c:v>
                </c:pt>
                <c:pt idx="290">
                  <c:v>0.32674689929354345</c:v>
                </c:pt>
                <c:pt idx="291">
                  <c:v>0.32497851808154443</c:v>
                </c:pt>
                <c:pt idx="292">
                  <c:v>0.32321970749475321</c:v>
                </c:pt>
                <c:pt idx="293">
                  <c:v>0.32147041573615553</c:v>
                </c:pt>
                <c:pt idx="294">
                  <c:v>0.31973059128906683</c:v>
                </c:pt>
                <c:pt idx="295">
                  <c:v>0.3180001829156151</c:v>
                </c:pt>
                <c:pt idx="296">
                  <c:v>0.31627913965523202</c:v>
                </c:pt>
                <c:pt idx="297">
                  <c:v>0.31456741082315193</c:v>
                </c:pt>
                <c:pt idx="298">
                  <c:v>0.3128649460089194</c:v>
                </c:pt>
                <c:pt idx="299">
                  <c:v>0.3111716950749045</c:v>
                </c:pt>
                <c:pt idx="300">
                  <c:v>0.30932978011542095</c:v>
                </c:pt>
                <c:pt idx="301">
                  <c:v>0.30749876798152109</c:v>
                </c:pt>
                <c:pt idx="302">
                  <c:v>0.30567859413623744</c:v>
                </c:pt>
                <c:pt idx="303">
                  <c:v>0.30386919442461552</c:v>
                </c:pt>
                <c:pt idx="304">
                  <c:v>0.30207050507145256</c:v>
                </c:pt>
                <c:pt idx="305">
                  <c:v>0.30028246267904946</c:v>
                </c:pt>
                <c:pt idx="306">
                  <c:v>0.2985050042249765</c:v>
                </c:pt>
                <c:pt idx="307">
                  <c:v>0.29673806705985184</c:v>
                </c:pt>
                <c:pt idx="308">
                  <c:v>0.29498158890513343</c:v>
                </c:pt>
                <c:pt idx="309">
                  <c:v>0.29323550785092384</c:v>
                </c:pt>
                <c:pt idx="310">
                  <c:v>0.29149976235378805</c:v>
                </c:pt>
                <c:pt idx="311">
                  <c:v>0.28977429123458459</c:v>
                </c:pt>
                <c:pt idx="312">
                  <c:v>0.28789008962446566</c:v>
                </c:pt>
                <c:pt idx="313">
                  <c:v>0.28601813967301687</c:v>
                </c:pt>
                <c:pt idx="314">
                  <c:v>0.28415836171618342</c:v>
                </c:pt>
                <c:pt idx="315">
                  <c:v>0.28231067660791082</c:v>
                </c:pt>
                <c:pt idx="316">
                  <c:v>0.28047500571677658</c:v>
                </c:pt>
                <c:pt idx="317">
                  <c:v>0.27865127092264391</c:v>
                </c:pt>
                <c:pt idx="318">
                  <c:v>0.27683939461333706</c:v>
                </c:pt>
                <c:pt idx="319">
                  <c:v>0.27503929968133872</c:v>
                </c:pt>
                <c:pt idx="320">
                  <c:v>0.27325090952050823</c:v>
                </c:pt>
                <c:pt idx="321">
                  <c:v>0.27147414802282177</c:v>
                </c:pt>
                <c:pt idx="322">
                  <c:v>0.2697089395751332</c:v>
                </c:pt>
                <c:pt idx="323">
                  <c:v>0.26795520905595638</c:v>
                </c:pt>
                <c:pt idx="324">
                  <c:v>0.26603399794506266</c:v>
                </c:pt>
                <c:pt idx="325">
                  <c:v>0.26412656171895516</c:v>
                </c:pt>
                <c:pt idx="326">
                  <c:v>0.26223280161313595</c:v>
                </c:pt>
                <c:pt idx="327">
                  <c:v>0.26035261957123823</c:v>
                </c:pt>
                <c:pt idx="328">
                  <c:v>0.25848591823994932</c:v>
                </c:pt>
                <c:pt idx="329">
                  <c:v>0.25663260096396961</c:v>
                </c:pt>
                <c:pt idx="330">
                  <c:v>0.254792571781008</c:v>
                </c:pt>
                <c:pt idx="331">
                  <c:v>0.25296573541681311</c:v>
                </c:pt>
                <c:pt idx="332">
                  <c:v>0.25115199728024007</c:v>
                </c:pt>
                <c:pt idx="333">
                  <c:v>0.24935126345835273</c:v>
                </c:pt>
                <c:pt idx="334">
                  <c:v>0.24756344071156097</c:v>
                </c:pt>
                <c:pt idx="335">
                  <c:v>0.24578843646879292</c:v>
                </c:pt>
                <c:pt idx="336">
                  <c:v>0.24384088362948969</c:v>
                </c:pt>
                <c:pt idx="337">
                  <c:v>0.24190876260673719</c:v>
                </c:pt>
                <c:pt idx="338">
                  <c:v>0.23999195112351307</c:v>
                </c:pt>
                <c:pt idx="339">
                  <c:v>0.23809032787168094</c:v>
                </c:pt>
                <c:pt idx="340">
                  <c:v>0.23620377250431318</c:v>
                </c:pt>
                <c:pt idx="341">
                  <c:v>0.23433216562807466</c:v>
                </c:pt>
                <c:pt idx="342">
                  <c:v>0.2324753887956667</c:v>
                </c:pt>
                <c:pt idx="343">
                  <c:v>0.23063332449833104</c:v>
                </c:pt>
                <c:pt idx="344">
                  <c:v>0.22880585615841303</c:v>
                </c:pt>
                <c:pt idx="345">
                  <c:v>0.22699286812198399</c:v>
                </c:pt>
                <c:pt idx="346">
                  <c:v>0.22519424565152174</c:v>
                </c:pt>
                <c:pt idx="347">
                  <c:v>0.22340987491864939</c:v>
                </c:pt>
                <c:pt idx="348">
                  <c:v>0.2214498714476591</c:v>
                </c:pt>
                <c:pt idx="349">
                  <c:v>0.21950706333836753</c:v>
                </c:pt>
                <c:pt idx="350">
                  <c:v>0.21758129973366228</c:v>
                </c:pt>
                <c:pt idx="351">
                  <c:v>0.21567243109991971</c:v>
                </c:pt>
                <c:pt idx="352">
                  <c:v>0.2137803092153939</c:v>
                </c:pt>
                <c:pt idx="353">
                  <c:v>0.21190478715870717</c:v>
                </c:pt>
                <c:pt idx="354">
                  <c:v>0.21004571929744204</c:v>
                </c:pt>
                <c:pt idx="355">
                  <c:v>0.20820296127683283</c:v>
                </c:pt>
                <c:pt idx="356">
                  <c:v>0.20637637000855677</c:v>
                </c:pt>
                <c:pt idx="357">
                  <c:v>0.20456580365962326</c:v>
                </c:pt>
                <c:pt idx="358">
                  <c:v>0.20277112164136077</c:v>
                </c:pt>
                <c:pt idx="359">
                  <c:v>0.20099218459850007</c:v>
                </c:pt>
                <c:pt idx="360">
                  <c:v>0.19900867361901595</c:v>
                </c:pt>
                <c:pt idx="361">
                  <c:v>0.19704473711111434</c:v>
                </c:pt>
                <c:pt idx="362">
                  <c:v>0.19510018190221307</c:v>
                </c:pt>
                <c:pt idx="363">
                  <c:v>0.1931748167260724</c:v>
                </c:pt>
                <c:pt idx="364">
                  <c:v>0.19126845220398211</c:v>
                </c:pt>
                <c:pt idx="365">
                  <c:v>0.18938090082613432</c:v>
                </c:pt>
              </c:numCache>
            </c:numRef>
          </c:yVal>
          <c:smooth val="0"/>
          <c:extLst>
            <c:ext xmlns:c16="http://schemas.microsoft.com/office/drawing/2014/chart" uri="{C3380CC4-5D6E-409C-BE32-E72D297353CC}">
              <c16:uniqueId val="{00000003-103E-4B37-BC25-29578DEBDDCD}"/>
            </c:ext>
          </c:extLst>
        </c:ser>
        <c:ser>
          <c:idx val="4"/>
          <c:order val="4"/>
          <c:tx>
            <c:strRef>
              <c:f>'cure fraction analyses'!$AF$3</c:f>
              <c:strCache>
                <c:ptCount val="1"/>
                <c:pt idx="0">
                  <c:v>OS 60%</c:v>
                </c:pt>
              </c:strCache>
            </c:strRef>
          </c:tx>
          <c:spPr>
            <a:ln w="9525" cap="rnd">
              <a:solidFill>
                <a:schemeClr val="accent5"/>
              </a:solidFill>
              <a:round/>
            </a:ln>
            <a:effectLst/>
          </c:spPr>
          <c:marker>
            <c:symbol val="circle"/>
            <c:size val="5"/>
            <c:spPr>
              <a:solidFill>
                <a:schemeClr val="accent5"/>
              </a:solidFill>
              <a:ln w="9525">
                <a:solidFill>
                  <a:schemeClr val="accent5"/>
                </a:solidFill>
              </a:ln>
              <a:effectLst/>
            </c:spPr>
          </c:marker>
          <c:xVal>
            <c:numRef>
              <c:f>'cure fraction analyses'!$AE$4:$AE$369</c:f>
              <c:numCache>
                <c:formatCode>0</c:formatCode>
                <c:ptCount val="366"/>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numCache>
            </c:numRef>
          </c:xVal>
          <c:yVal>
            <c:numRef>
              <c:f>'cure fraction analyses'!$AF$4:$AF$369</c:f>
              <c:numCache>
                <c:formatCode>0.0000</c:formatCode>
                <c:ptCount val="366"/>
                <c:pt idx="0">
                  <c:v>1</c:v>
                </c:pt>
                <c:pt idx="1">
                  <c:v>0.99330772857913319</c:v>
                </c:pt>
                <c:pt idx="2">
                  <c:v>0.98666024365503691</c:v>
                </c:pt>
                <c:pt idx="3">
                  <c:v>0.98005724550431883</c:v>
                </c:pt>
                <c:pt idx="4">
                  <c:v>0.9734984364094168</c:v>
                </c:pt>
                <c:pt idx="5">
                  <c:v>0.96698352064517556</c:v>
                </c:pt>
                <c:pt idx="6">
                  <c:v>0.96051220446551266</c:v>
                </c:pt>
                <c:pt idx="7">
                  <c:v>0.95408419609017436</c:v>
                </c:pt>
                <c:pt idx="8">
                  <c:v>0.94769920569157939</c:v>
                </c:pt>
                <c:pt idx="9">
                  <c:v>0.94135694538175141</c:v>
                </c:pt>
                <c:pt idx="10">
                  <c:v>0.9350571291993387</c:v>
                </c:pt>
                <c:pt idx="11">
                  <c:v>0.92879947309672017</c:v>
                </c:pt>
                <c:pt idx="12">
                  <c:v>0.92258369492719883</c:v>
                </c:pt>
                <c:pt idx="13">
                  <c:v>0.91640951443227991</c:v>
                </c:pt>
                <c:pt idx="14">
                  <c:v>0.91027665322903428</c:v>
                </c:pt>
                <c:pt idx="15">
                  <c:v>0.9041848347975473</c:v>
                </c:pt>
                <c:pt idx="16">
                  <c:v>0.89813378446845049</c:v>
                </c:pt>
                <c:pt idx="17">
                  <c:v>0.89212322941053734</c:v>
                </c:pt>
                <c:pt idx="18">
                  <c:v>0.8861528986184618</c:v>
                </c:pt>
                <c:pt idx="19">
                  <c:v>0.88022252290051917</c:v>
                </c:pt>
                <c:pt idx="20">
                  <c:v>0.87433183486650878</c:v>
                </c:pt>
                <c:pt idx="21">
                  <c:v>0.8684805689156776</c:v>
                </c:pt>
                <c:pt idx="22">
                  <c:v>0.86266846122474505</c:v>
                </c:pt>
                <c:pt idx="23">
                  <c:v>0.8568952497360075</c:v>
                </c:pt>
                <c:pt idx="24">
                  <c:v>0.85116067414552277</c:v>
                </c:pt>
                <c:pt idx="25">
                  <c:v>0.84546447589137297</c:v>
                </c:pt>
                <c:pt idx="26">
                  <c:v>0.83980639814200697</c:v>
                </c:pt>
                <c:pt idx="27">
                  <c:v>0.83418618578466008</c:v>
                </c:pt>
                <c:pt idx="28">
                  <c:v>0.82860358541385148</c:v>
                </c:pt>
                <c:pt idx="29">
                  <c:v>0.82305834531995858</c:v>
                </c:pt>
                <c:pt idx="30">
                  <c:v>0.81755021547786799</c:v>
                </c:pt>
                <c:pt idx="31">
                  <c:v>0.81207894753570187</c:v>
                </c:pt>
                <c:pt idx="32">
                  <c:v>0.8066442948036211</c:v>
                </c:pt>
                <c:pt idx="33">
                  <c:v>0.80124601224270164</c:v>
                </c:pt>
                <c:pt idx="34">
                  <c:v>0.79588385645388626</c:v>
                </c:pt>
                <c:pt idx="35">
                  <c:v>0.79055758566701062</c:v>
                </c:pt>
                <c:pt idx="36">
                  <c:v>0.7852669597299019</c:v>
                </c:pt>
                <c:pt idx="37">
                  <c:v>0.78001174009755048</c:v>
                </c:pt>
                <c:pt idx="38">
                  <c:v>0.77479168982135505</c:v>
                </c:pt>
                <c:pt idx="39">
                  <c:v>0.76960657353843853</c:v>
                </c:pt>
                <c:pt idx="40">
                  <c:v>0.76445615746103601</c:v>
                </c:pt>
                <c:pt idx="41">
                  <c:v>0.75934020936595381</c:v>
                </c:pt>
                <c:pt idx="42">
                  <c:v>0.75425849858409899</c:v>
                </c:pt>
                <c:pt idx="43">
                  <c:v>0.74921079599007878</c:v>
                </c:pt>
                <c:pt idx="44">
                  <c:v>0.74419687399186951</c:v>
                </c:pt>
                <c:pt idx="45">
                  <c:v>0.73921650652055526</c:v>
                </c:pt>
                <c:pt idx="46">
                  <c:v>0.73426946902013468</c:v>
                </c:pt>
                <c:pt idx="47">
                  <c:v>0.7293555384373962</c:v>
                </c:pt>
                <c:pt idx="48">
                  <c:v>0.72447449321186075</c:v>
                </c:pt>
                <c:pt idx="49">
                  <c:v>0.71962611326579207</c:v>
                </c:pt>
                <c:pt idx="50">
                  <c:v>0.71481017999427388</c:v>
                </c:pt>
                <c:pt idx="51">
                  <c:v>0.71002647625535353</c:v>
                </c:pt>
                <c:pt idx="52">
                  <c:v>0.70527478636025109</c:v>
                </c:pt>
                <c:pt idx="53">
                  <c:v>0.70055489606363441</c:v>
                </c:pt>
                <c:pt idx="54">
                  <c:v>0.69586659255395944</c:v>
                </c:pt>
                <c:pt idx="55">
                  <c:v>0.69120966444387466</c:v>
                </c:pt>
                <c:pt idx="56">
                  <c:v>0.68658390176068995</c:v>
                </c:pt>
                <c:pt idx="57">
                  <c:v>0.68198909593690971</c:v>
                </c:pt>
                <c:pt idx="58">
                  <c:v>0.67742503980082824</c:v>
                </c:pt>
                <c:pt idx="59">
                  <c:v>0.67289152756718962</c:v>
                </c:pt>
                <c:pt idx="60">
                  <c:v>0.67203003312445331</c:v>
                </c:pt>
                <c:pt idx="61">
                  <c:v>0.67116964164206716</c:v>
                </c:pt>
                <c:pt idx="62">
                  <c:v>0.67031035170792508</c:v>
                </c:pt>
                <c:pt idx="63">
                  <c:v>0.66945216191172896</c:v>
                </c:pt>
                <c:pt idx="64">
                  <c:v>0.66859507084498615</c:v>
                </c:pt>
                <c:pt idx="65">
                  <c:v>0.66773907710100733</c:v>
                </c:pt>
                <c:pt idx="66">
                  <c:v>0.66688417927490418</c:v>
                </c:pt>
                <c:pt idx="67">
                  <c:v>0.66603037596358705</c:v>
                </c:pt>
                <c:pt idx="68">
                  <c:v>0.66517766576576265</c:v>
                </c:pt>
                <c:pt idx="69">
                  <c:v>0.66432604728193156</c:v>
                </c:pt>
                <c:pt idx="70">
                  <c:v>0.6634755191143864</c:v>
                </c:pt>
                <c:pt idx="71">
                  <c:v>0.66262607986720912</c:v>
                </c:pt>
                <c:pt idx="72">
                  <c:v>0.66174452371086268</c:v>
                </c:pt>
                <c:pt idx="73">
                  <c:v>0.66086414037472418</c:v>
                </c:pt>
                <c:pt idx="74">
                  <c:v>0.65998492829847644</c:v>
                </c:pt>
                <c:pt idx="75">
                  <c:v>0.65910688592387812</c:v>
                </c:pt>
                <c:pt idx="76">
                  <c:v>0.65823001169476081</c:v>
                </c:pt>
                <c:pt idx="77">
                  <c:v>0.65735430405702666</c:v>
                </c:pt>
                <c:pt idx="78">
                  <c:v>0.65647976145864528</c:v>
                </c:pt>
                <c:pt idx="79">
                  <c:v>0.65560638234965107</c:v>
                </c:pt>
                <c:pt idx="80">
                  <c:v>0.65473416518214056</c:v>
                </c:pt>
                <c:pt idx="81">
                  <c:v>0.65386310841026951</c:v>
                </c:pt>
                <c:pt idx="82">
                  <c:v>0.65299321049025039</c:v>
                </c:pt>
                <c:pt idx="83">
                  <c:v>0.65212446988034944</c:v>
                </c:pt>
                <c:pt idx="84">
                  <c:v>0.65122105065767366</c:v>
                </c:pt>
                <c:pt idx="85">
                  <c:v>0.65031888298486229</c:v>
                </c:pt>
                <c:pt idx="86">
                  <c:v>0.64941796512808359</c:v>
                </c:pt>
                <c:pt idx="87">
                  <c:v>0.64851829535590744</c:v>
                </c:pt>
                <c:pt idx="88">
                  <c:v>0.64761987193930259</c:v>
                </c:pt>
                <c:pt idx="89">
                  <c:v>0.64672269315163311</c:v>
                </c:pt>
                <c:pt idx="90">
                  <c:v>0.64582675726865502</c:v>
                </c:pt>
                <c:pt idx="91">
                  <c:v>0.64493206256851299</c:v>
                </c:pt>
                <c:pt idx="92">
                  <c:v>0.64403860733173701</c:v>
                </c:pt>
                <c:pt idx="93">
                  <c:v>0.64314638984123917</c:v>
                </c:pt>
                <c:pt idx="94">
                  <c:v>0.64225540838231043</c:v>
                </c:pt>
                <c:pt idx="95">
                  <c:v>0.64136566124261707</c:v>
                </c:pt>
                <c:pt idx="96">
                  <c:v>0.64043658838802775</c:v>
                </c:pt>
                <c:pt idx="97">
                  <c:v>0.63950886137469765</c:v>
                </c:pt>
                <c:pt idx="98">
                  <c:v>0.63858247825306091</c:v>
                </c:pt>
                <c:pt idx="99">
                  <c:v>0.63765743707637579</c:v>
                </c:pt>
                <c:pt idx="100">
                  <c:v>0.63673373590072069</c:v>
                </c:pt>
                <c:pt idx="101">
                  <c:v>0.63581137278498967</c:v>
                </c:pt>
                <c:pt idx="102">
                  <c:v>0.63489034579088899</c:v>
                </c:pt>
                <c:pt idx="103">
                  <c:v>0.63397065298293243</c:v>
                </c:pt>
                <c:pt idx="104">
                  <c:v>0.63305229242843764</c:v>
                </c:pt>
                <c:pt idx="105">
                  <c:v>0.63213526219752181</c:v>
                </c:pt>
                <c:pt idx="106">
                  <c:v>0.63121956036309779</c:v>
                </c:pt>
                <c:pt idx="107">
                  <c:v>0.63030518500087007</c:v>
                </c:pt>
                <c:pt idx="108">
                  <c:v>0.62934623723747218</c:v>
                </c:pt>
                <c:pt idx="109">
                  <c:v>0.62838874841941517</c:v>
                </c:pt>
                <c:pt idx="110">
                  <c:v>0.62743271632705611</c:v>
                </c:pt>
                <c:pt idx="111">
                  <c:v>0.62647813874412916</c:v>
                </c:pt>
                <c:pt idx="112">
                  <c:v>0.62552501345774036</c:v>
                </c:pt>
                <c:pt idx="113">
                  <c:v>0.62457333825836236</c:v>
                </c:pt>
                <c:pt idx="114">
                  <c:v>0.62362311093982947</c:v>
                </c:pt>
                <c:pt idx="115">
                  <c:v>0.62267432929933242</c:v>
                </c:pt>
                <c:pt idx="116">
                  <c:v>0.62172699113741325</c:v>
                </c:pt>
                <c:pt idx="117">
                  <c:v>0.62078109425796035</c:v>
                </c:pt>
                <c:pt idx="118">
                  <c:v>0.61983663646820331</c:v>
                </c:pt>
                <c:pt idx="119">
                  <c:v>0.6188936155787077</c:v>
                </c:pt>
                <c:pt idx="120">
                  <c:v>0.6179011258423609</c:v>
                </c:pt>
                <c:pt idx="121">
                  <c:v>0.61691022771376702</c:v>
                </c:pt>
                <c:pt idx="122">
                  <c:v>0.61592091864054155</c:v>
                </c:pt>
                <c:pt idx="123">
                  <c:v>0.61493319607439356</c:v>
                </c:pt>
                <c:pt idx="124">
                  <c:v>0.61394705747111833</c:v>
                </c:pt>
                <c:pt idx="125">
                  <c:v>0.61296250029059118</c:v>
                </c:pt>
                <c:pt idx="126">
                  <c:v>0.61197952199676109</c:v>
                </c:pt>
                <c:pt idx="127">
                  <c:v>0.61099812005764387</c:v>
                </c:pt>
                <c:pt idx="128">
                  <c:v>0.61001829194531576</c:v>
                </c:pt>
                <c:pt idx="129">
                  <c:v>0.60904003513590688</c:v>
                </c:pt>
                <c:pt idx="130">
                  <c:v>0.60806334710959487</c:v>
                </c:pt>
                <c:pt idx="131">
                  <c:v>0.60708822535059803</c:v>
                </c:pt>
                <c:pt idx="132">
                  <c:v>0.60605883489304191</c:v>
                </c:pt>
                <c:pt idx="133">
                  <c:v>0.60503118988972104</c:v>
                </c:pt>
                <c:pt idx="134">
                  <c:v>0.60400528738100967</c:v>
                </c:pt>
                <c:pt idx="135">
                  <c:v>0.60298112441230045</c:v>
                </c:pt>
                <c:pt idx="136">
                  <c:v>0.60195869803399593</c:v>
                </c:pt>
                <c:pt idx="137">
                  <c:v>0.6009380053015001</c:v>
                </c:pt>
                <c:pt idx="138">
                  <c:v>0.59991904327520984</c:v>
                </c:pt>
                <c:pt idx="139">
                  <c:v>0.59890180902050649</c:v>
                </c:pt>
                <c:pt idx="140">
                  <c:v>0.59788629960774731</c:v>
                </c:pt>
                <c:pt idx="141">
                  <c:v>0.59687251211225711</c:v>
                </c:pt>
                <c:pt idx="142">
                  <c:v>0.59586044361431989</c:v>
                </c:pt>
                <c:pt idx="143">
                  <c:v>0.59485009119917043</c:v>
                </c:pt>
                <c:pt idx="144">
                  <c:v>0.5937811658562826</c:v>
                </c:pt>
                <c:pt idx="145">
                  <c:v>0.59271416133580956</c:v>
                </c:pt>
                <c:pt idx="146">
                  <c:v>0.59164907418609902</c:v>
                </c:pt>
                <c:pt idx="147">
                  <c:v>0.59058590096170105</c:v>
                </c:pt>
                <c:pt idx="148">
                  <c:v>0.58952463822335699</c:v>
                </c:pt>
                <c:pt idx="149">
                  <c:v>0.58846528253798858</c:v>
                </c:pt>
                <c:pt idx="150">
                  <c:v>0.58740783047868661</c:v>
                </c:pt>
                <c:pt idx="151">
                  <c:v>0.58635227862469985</c:v>
                </c:pt>
                <c:pt idx="152">
                  <c:v>0.58529862356142426</c:v>
                </c:pt>
                <c:pt idx="153">
                  <c:v>0.58424686188039143</c:v>
                </c:pt>
                <c:pt idx="154">
                  <c:v>0.58319699017925797</c:v>
                </c:pt>
                <c:pt idx="155">
                  <c:v>0.58214900506179446</c:v>
                </c:pt>
                <c:pt idx="156">
                  <c:v>0.58103484942466666</c:v>
                </c:pt>
                <c:pt idx="157">
                  <c:v>0.57992282613299151</c:v>
                </c:pt>
                <c:pt idx="158">
                  <c:v>0.57881293110574394</c:v>
                </c:pt>
                <c:pt idx="159">
                  <c:v>0.57770516026970942</c:v>
                </c:pt>
                <c:pt idx="160">
                  <c:v>0.57659950955946904</c:v>
                </c:pt>
                <c:pt idx="161">
                  <c:v>0.57549597491738436</c:v>
                </c:pt>
                <c:pt idx="162">
                  <c:v>0.57439455229358283</c:v>
                </c:pt>
                <c:pt idx="163">
                  <c:v>0.57329523764594292</c:v>
                </c:pt>
                <c:pt idx="164">
                  <c:v>0.57219802694007915</c:v>
                </c:pt>
                <c:pt idx="165">
                  <c:v>0.57110291614932718</c:v>
                </c:pt>
                <c:pt idx="166">
                  <c:v>0.57000990125472928</c:v>
                </c:pt>
                <c:pt idx="167">
                  <c:v>0.56891897824501936</c:v>
                </c:pt>
                <c:pt idx="168">
                  <c:v>0.56775402839092393</c:v>
                </c:pt>
                <c:pt idx="169">
                  <c:v>0.56659146395235238</c:v>
                </c:pt>
                <c:pt idx="170">
                  <c:v>0.56543128004479648</c:v>
                </c:pt>
                <c:pt idx="171">
                  <c:v>0.56427347179374976</c:v>
                </c:pt>
                <c:pt idx="172">
                  <c:v>0.56311803433468688</c:v>
                </c:pt>
                <c:pt idx="173">
                  <c:v>0.56196496281304364</c:v>
                </c:pt>
                <c:pt idx="174">
                  <c:v>0.56081425238419613</c:v>
                </c:pt>
                <c:pt idx="175">
                  <c:v>0.5596658982134407</c:v>
                </c:pt>
                <c:pt idx="176">
                  <c:v>0.55851989547597336</c:v>
                </c:pt>
                <c:pt idx="177">
                  <c:v>0.55737623935686964</c:v>
                </c:pt>
                <c:pt idx="178">
                  <c:v>0.55623492505106453</c:v>
                </c:pt>
                <c:pt idx="179">
                  <c:v>0.55509594776333204</c:v>
                </c:pt>
                <c:pt idx="180">
                  <c:v>0.55387351461270951</c:v>
                </c:pt>
                <c:pt idx="181">
                  <c:v>0.552653773506253</c:v>
                </c:pt>
                <c:pt idx="182">
                  <c:v>0.55143671851553866</c:v>
                </c:pt>
                <c:pt idx="183">
                  <c:v>0.55022234372519829</c:v>
                </c:pt>
                <c:pt idx="184">
                  <c:v>0.54901064323289051</c:v>
                </c:pt>
                <c:pt idx="185">
                  <c:v>0.54780161114927206</c:v>
                </c:pt>
                <c:pt idx="186">
                  <c:v>0.54659524159796913</c:v>
                </c:pt>
                <c:pt idx="187">
                  <c:v>0.54539152871554908</c:v>
                </c:pt>
                <c:pt idx="188">
                  <c:v>0.54419046665149162</c:v>
                </c:pt>
                <c:pt idx="189">
                  <c:v>0.54299204956816038</c:v>
                </c:pt>
                <c:pt idx="190">
                  <c:v>0.54179627164077482</c:v>
                </c:pt>
                <c:pt idx="191">
                  <c:v>0.54060312705738156</c:v>
                </c:pt>
                <c:pt idx="192">
                  <c:v>0.53931611301428883</c:v>
                </c:pt>
                <c:pt idx="193">
                  <c:v>0.53803216296595346</c:v>
                </c:pt>
                <c:pt idx="194">
                  <c:v>0.53675126961792219</c:v>
                </c:pt>
                <c:pt idx="195">
                  <c:v>0.53547342569310752</c:v>
                </c:pt>
                <c:pt idx="196">
                  <c:v>0.53419862393174655</c:v>
                </c:pt>
                <c:pt idx="197">
                  <c:v>0.53292685709135978</c:v>
                </c:pt>
                <c:pt idx="198">
                  <c:v>0.53165811794670992</c:v>
                </c:pt>
                <c:pt idx="199">
                  <c:v>0.53039239928976067</c:v>
                </c:pt>
                <c:pt idx="200">
                  <c:v>0.52912969392963594</c:v>
                </c:pt>
                <c:pt idx="201">
                  <c:v>0.527869994692579</c:v>
                </c:pt>
                <c:pt idx="202">
                  <c:v>0.52661329442191163</c:v>
                </c:pt>
                <c:pt idx="203">
                  <c:v>0.52535958597799359</c:v>
                </c:pt>
                <c:pt idx="204">
                  <c:v>0.52400208457485842</c:v>
                </c:pt>
                <c:pt idx="205">
                  <c:v>0.52264809088360031</c:v>
                </c:pt>
                <c:pt idx="206">
                  <c:v>0.5212975958404773</c:v>
                </c:pt>
                <c:pt idx="207">
                  <c:v>0.51995059040516756</c:v>
                </c:pt>
                <c:pt idx="208">
                  <c:v>0.51860706556070879</c:v>
                </c:pt>
                <c:pt idx="209">
                  <c:v>0.51726701231343819</c:v>
                </c:pt>
                <c:pt idx="210">
                  <c:v>0.51593042169293224</c:v>
                </c:pt>
                <c:pt idx="211">
                  <c:v>0.51459728475194644</c:v>
                </c:pt>
                <c:pt idx="212">
                  <c:v>0.51326759256635524</c:v>
                </c:pt>
                <c:pt idx="213">
                  <c:v>0.51194133623509286</c:v>
                </c:pt>
                <c:pt idx="214">
                  <c:v>0.51061850688009336</c:v>
                </c:pt>
                <c:pt idx="215">
                  <c:v>0.50929909564623121</c:v>
                </c:pt>
                <c:pt idx="216">
                  <c:v>0.50786308657590462</c:v>
                </c:pt>
                <c:pt idx="217">
                  <c:v>0.50643112644669663</c:v>
                </c:pt>
                <c:pt idx="218">
                  <c:v>0.50500320384229769</c:v>
                </c:pt>
                <c:pt idx="219">
                  <c:v>0.50357930737858736</c:v>
                </c:pt>
                <c:pt idx="220">
                  <c:v>0.50215942570354355</c:v>
                </c:pt>
                <c:pt idx="221">
                  <c:v>0.50074354749715222</c:v>
                </c:pt>
                <c:pt idx="222">
                  <c:v>0.49933166147131697</c:v>
                </c:pt>
                <c:pt idx="223">
                  <c:v>0.49792375636976904</c:v>
                </c:pt>
                <c:pt idx="224">
                  <c:v>0.49651982096797764</c:v>
                </c:pt>
                <c:pt idx="225">
                  <c:v>0.49511984407306042</c:v>
                </c:pt>
                <c:pt idx="226">
                  <c:v>0.49372381452369424</c:v>
                </c:pt>
                <c:pt idx="227">
                  <c:v>0.49233172119002616</c:v>
                </c:pt>
                <c:pt idx="228">
                  <c:v>0.49080935092475564</c:v>
                </c:pt>
                <c:pt idx="229">
                  <c:v>0.48929168807752227</c:v>
                </c:pt>
                <c:pt idx="230">
                  <c:v>0.48777871809221895</c:v>
                </c:pt>
                <c:pt idx="231">
                  <c:v>0.48627042645774848</c:v>
                </c:pt>
                <c:pt idx="232">
                  <c:v>0.48476679870788436</c:v>
                </c:pt>
                <c:pt idx="233">
                  <c:v>0.48326782042113203</c:v>
                </c:pt>
                <c:pt idx="234">
                  <c:v>0.4817734772205905</c:v>
                </c:pt>
                <c:pt idx="235">
                  <c:v>0.48028375477381458</c:v>
                </c:pt>
                <c:pt idx="236">
                  <c:v>0.47879863879267731</c:v>
                </c:pt>
                <c:pt idx="237">
                  <c:v>0.47731811503323301</c:v>
                </c:pt>
                <c:pt idx="238">
                  <c:v>0.47584216929558049</c:v>
                </c:pt>
                <c:pt idx="239">
                  <c:v>0.47437078742372707</c:v>
                </c:pt>
                <c:pt idx="240">
                  <c:v>0.47275581978052827</c:v>
                </c:pt>
                <c:pt idx="241">
                  <c:v>0.47114635020035894</c:v>
                </c:pt>
                <c:pt idx="242">
                  <c:v>0.46954235996538451</c:v>
                </c:pt>
                <c:pt idx="243">
                  <c:v>0.46794383042149429</c:v>
                </c:pt>
                <c:pt idx="244">
                  <c:v>0.46635074297808438</c:v>
                </c:pt>
                <c:pt idx="245">
                  <c:v>0.46476307910784148</c:v>
                </c:pt>
                <c:pt idx="246">
                  <c:v>0.46318082034652752</c:v>
                </c:pt>
                <c:pt idx="247">
                  <c:v>0.46160394829276474</c:v>
                </c:pt>
                <c:pt idx="248">
                  <c:v>0.46003244460782194</c:v>
                </c:pt>
                <c:pt idx="249">
                  <c:v>0.45846629101540093</c:v>
                </c:pt>
                <c:pt idx="250">
                  <c:v>0.45690546930142412</c:v>
                </c:pt>
                <c:pt idx="251">
                  <c:v>0.45534996131382277</c:v>
                </c:pt>
                <c:pt idx="252">
                  <c:v>0.45363708467385994</c:v>
                </c:pt>
                <c:pt idx="253">
                  <c:v>0.45193065131188764</c:v>
                </c:pt>
                <c:pt idx="254">
                  <c:v>0.45023063699041543</c:v>
                </c:pt>
                <c:pt idx="255">
                  <c:v>0.44853701756312625</c:v>
                </c:pt>
                <c:pt idx="256">
                  <c:v>0.4468497689745336</c:v>
                </c:pt>
                <c:pt idx="257">
                  <c:v>0.44516886725963972</c:v>
                </c:pt>
                <c:pt idx="258">
                  <c:v>0.44349428854359535</c:v>
                </c:pt>
                <c:pt idx="259">
                  <c:v>0.44182600904136055</c:v>
                </c:pt>
                <c:pt idx="260">
                  <c:v>0.44016400505736686</c:v>
                </c:pt>
                <c:pt idx="261">
                  <c:v>0.4385082529851807</c:v>
                </c:pt>
                <c:pt idx="262">
                  <c:v>0.43685872930716824</c:v>
                </c:pt>
                <c:pt idx="263">
                  <c:v>0.43521541059416108</c:v>
                </c:pt>
                <c:pt idx="264">
                  <c:v>0.4334015930356363</c:v>
                </c:pt>
                <c:pt idx="265">
                  <c:v>0.43159533480073731</c:v>
                </c:pt>
                <c:pt idx="266">
                  <c:v>0.42979660438498701</c:v>
                </c:pt>
                <c:pt idx="267">
                  <c:v>0.42800537041520748</c:v>
                </c:pt>
                <c:pt idx="268">
                  <c:v>0.42622160164897249</c:v>
                </c:pt>
                <c:pt idx="269">
                  <c:v>0.42444526697406282</c:v>
                </c:pt>
                <c:pt idx="270">
                  <c:v>0.42267633540792349</c:v>
                </c:pt>
                <c:pt idx="271">
                  <c:v>0.42091477609712347</c:v>
                </c:pt>
                <c:pt idx="272">
                  <c:v>0.41916055831681737</c:v>
                </c:pt>
                <c:pt idx="273">
                  <c:v>0.4174136514702097</c:v>
                </c:pt>
                <c:pt idx="274">
                  <c:v>0.4156740250880212</c:v>
                </c:pt>
                <c:pt idx="275">
                  <c:v>0.4139416488279572</c:v>
                </c:pt>
                <c:pt idx="276">
                  <c:v>0.41202591462851779</c:v>
                </c:pt>
                <c:pt idx="277">
                  <c:v>0.41011904650364056</c:v>
                </c:pt>
                <c:pt idx="278">
                  <c:v>0.40822100342087009</c:v>
                </c:pt>
                <c:pt idx="279">
                  <c:v>0.40633174453765036</c:v>
                </c:pt>
                <c:pt idx="280">
                  <c:v>0.40445122920044596</c:v>
                </c:pt>
                <c:pt idx="281">
                  <c:v>0.40257941694386717</c:v>
                </c:pt>
                <c:pt idx="282">
                  <c:v>0.40071626748979933</c:v>
                </c:pt>
                <c:pt idx="283">
                  <c:v>0.39886174074653613</c:v>
                </c:pt>
                <c:pt idx="284">
                  <c:v>0.39701579680791677</c:v>
                </c:pt>
                <c:pt idx="285">
                  <c:v>0.3951783959524674</c:v>
                </c:pt>
                <c:pt idx="286">
                  <c:v>0.39334949864254631</c:v>
                </c:pt>
                <c:pt idx="287">
                  <c:v>0.3915290655234932</c:v>
                </c:pt>
                <c:pt idx="288">
                  <c:v>0.38951032410176351</c:v>
                </c:pt>
                <c:pt idx="289">
                  <c:v>0.38750199140134384</c:v>
                </c:pt>
                <c:pt idx="290">
                  <c:v>0.38550401375440024</c:v>
                </c:pt>
                <c:pt idx="291">
                  <c:v>0.3835163377698127</c:v>
                </c:pt>
                <c:pt idx="292">
                  <c:v>0.38153891033174797</c:v>
                </c:pt>
                <c:pt idx="293">
                  <c:v>0.37957167859824059</c:v>
                </c:pt>
                <c:pt idx="294">
                  <c:v>0.37761458999978054</c:v>
                </c:pt>
                <c:pt idx="295">
                  <c:v>0.37566759223790863</c:v>
                </c:pt>
                <c:pt idx="296">
                  <c:v>0.37373063328381884</c:v>
                </c:pt>
                <c:pt idx="297">
                  <c:v>0.37180366137696802</c:v>
                </c:pt>
                <c:pt idx="298">
                  <c:v>0.36988662502369268</c:v>
                </c:pt>
                <c:pt idx="299">
                  <c:v>0.367979472995833</c:v>
                </c:pt>
                <c:pt idx="300">
                  <c:v>0.36585818481150506</c:v>
                </c:pt>
                <c:pt idx="301">
                  <c:v>0.36374912519939701</c:v>
                </c:pt>
                <c:pt idx="302">
                  <c:v>0.36165222366556105</c:v>
                </c:pt>
                <c:pt idx="303">
                  <c:v>0.35956741012242527</c:v>
                </c:pt>
                <c:pt idx="304">
                  <c:v>0.35749461488645096</c:v>
                </c:pt>
                <c:pt idx="305">
                  <c:v>0.35543376867580356</c:v>
                </c:pt>
                <c:pt idx="306">
                  <c:v>0.35338480260803684</c:v>
                </c:pt>
                <c:pt idx="307">
                  <c:v>0.35134764819779074</c:v>
                </c:pt>
                <c:pt idx="308">
                  <c:v>0.34932223735450213</c:v>
                </c:pt>
                <c:pt idx="309">
                  <c:v>0.347308502380129</c:v>
                </c:pt>
                <c:pt idx="310">
                  <c:v>0.34530637596688762</c:v>
                </c:pt>
                <c:pt idx="311">
                  <c:v>0.34331579119500294</c:v>
                </c:pt>
                <c:pt idx="312">
                  <c:v>0.3410964897843547</c:v>
                </c:pt>
                <c:pt idx="313">
                  <c:v>0.33889153463705246</c:v>
                </c:pt>
                <c:pt idx="314">
                  <c:v>0.33670083301433112</c:v>
                </c:pt>
                <c:pt idx="315">
                  <c:v>0.33452429277691831</c:v>
                </c:pt>
                <c:pt idx="316">
                  <c:v>0.33236182238115886</c:v>
                </c:pt>
                <c:pt idx="317">
                  <c:v>0.33021333087516475</c:v>
                </c:pt>
                <c:pt idx="318">
                  <c:v>0.32807872789498943</c:v>
                </c:pt>
                <c:pt idx="319">
                  <c:v>0.32595792366082749</c:v>
                </c:pt>
                <c:pt idx="320">
                  <c:v>0.32385082897323841</c:v>
                </c:pt>
                <c:pt idx="321">
                  <c:v>0.32175735520939491</c:v>
                </c:pt>
                <c:pt idx="322">
                  <c:v>0.3196774143193557</c:v>
                </c:pt>
                <c:pt idx="323">
                  <c:v>0.31761091882236192</c:v>
                </c:pt>
                <c:pt idx="324">
                  <c:v>0.3153033416257357</c:v>
                </c:pt>
                <c:pt idx="325">
                  <c:v>0.313012529950075</c:v>
                </c:pt>
                <c:pt idx="326">
                  <c:v>0.31073836198680344</c:v>
                </c:pt>
                <c:pt idx="327">
                  <c:v>0.30848071681233519</c:v>
                </c:pt>
                <c:pt idx="328">
                  <c:v>0.30623947438164539</c:v>
                </c:pt>
                <c:pt idx="329">
                  <c:v>0.3040145155218868</c:v>
                </c:pt>
                <c:pt idx="330">
                  <c:v>0.30180572192605315</c:v>
                </c:pt>
                <c:pt idx="331">
                  <c:v>0.29961297614668847</c:v>
                </c:pt>
                <c:pt idx="332">
                  <c:v>0.29743616158964203</c:v>
                </c:pt>
                <c:pt idx="333">
                  <c:v>0.29527516250786878</c:v>
                </c:pt>
                <c:pt idx="334">
                  <c:v>0.29312986399527469</c:v>
                </c:pt>
                <c:pt idx="335">
                  <c:v>0.29100015198060697</c:v>
                </c:pt>
                <c:pt idx="336">
                  <c:v>0.28862268630889021</c:v>
                </c:pt>
                <c:pt idx="337">
                  <c:v>0.28626464448620487</c:v>
                </c:pt>
                <c:pt idx="338">
                  <c:v>0.28392586782007617</c:v>
                </c:pt>
                <c:pt idx="339">
                  <c:v>0.28160619891454375</c:v>
                </c:pt>
                <c:pt idx="340">
                  <c:v>0.27930548165956931</c:v>
                </c:pt>
                <c:pt idx="341">
                  <c:v>0.27702356122053051</c:v>
                </c:pt>
                <c:pt idx="342">
                  <c:v>0.27476028402780095</c:v>
                </c:pt>
                <c:pt idx="343">
                  <c:v>0.27251549776641515</c:v>
                </c:pt>
                <c:pt idx="344">
                  <c:v>0.27028905136581799</c:v>
                </c:pt>
                <c:pt idx="345">
                  <c:v>0.26808079498969778</c:v>
                </c:pt>
                <c:pt idx="346">
                  <c:v>0.26589058002590277</c:v>
                </c:pt>
                <c:pt idx="347">
                  <c:v>0.26371825907643959</c:v>
                </c:pt>
                <c:pt idx="348">
                  <c:v>0.26129487299943538</c:v>
                </c:pt>
                <c:pt idx="349">
                  <c:v>0.25889375614299553</c:v>
                </c:pt>
                <c:pt idx="350">
                  <c:v>0.25651470386858172</c:v>
                </c:pt>
                <c:pt idx="351">
                  <c:v>0.25415751341814047</c:v>
                </c:pt>
                <c:pt idx="352">
                  <c:v>0.25182198389682281</c:v>
                </c:pt>
                <c:pt idx="353">
                  <c:v>0.24950791625586266</c:v>
                </c:pt>
                <c:pt idx="354">
                  <c:v>0.24721511327561271</c:v>
                </c:pt>
                <c:pt idx="355">
                  <c:v>0.2449433795487361</c:v>
                </c:pt>
                <c:pt idx="356">
                  <c:v>0.24269252146355244</c:v>
                </c:pt>
                <c:pt idx="357">
                  <c:v>0.24046234718753715</c:v>
                </c:pt>
                <c:pt idx="358">
                  <c:v>0.23825266665097211</c:v>
                </c:pt>
                <c:pt idx="359">
                  <c:v>0.23606329153074679</c:v>
                </c:pt>
                <c:pt idx="360">
                  <c:v>0.23362218496128392</c:v>
                </c:pt>
                <c:pt idx="361">
                  <c:v>0.23120632162741622</c:v>
                </c:pt>
                <c:pt idx="362">
                  <c:v>0.22881544049140309</c:v>
                </c:pt>
                <c:pt idx="363">
                  <c:v>0.22644928321486885</c:v>
                </c:pt>
                <c:pt idx="364">
                  <c:v>0.22410759413088871</c:v>
                </c:pt>
                <c:pt idx="365">
                  <c:v>0.22179012021636366</c:v>
                </c:pt>
              </c:numCache>
            </c:numRef>
          </c:yVal>
          <c:smooth val="0"/>
          <c:extLst>
            <c:ext xmlns:c16="http://schemas.microsoft.com/office/drawing/2014/chart" uri="{C3380CC4-5D6E-409C-BE32-E72D297353CC}">
              <c16:uniqueId val="{00000004-103E-4B37-BC25-29578DEBDDCD}"/>
            </c:ext>
          </c:extLst>
        </c:ser>
        <c:dLbls>
          <c:showLegendKey val="0"/>
          <c:showVal val="0"/>
          <c:showCatName val="0"/>
          <c:showSerName val="0"/>
          <c:showPercent val="0"/>
          <c:showBubbleSize val="0"/>
        </c:dLbls>
        <c:axId val="1301840"/>
        <c:axId val="8342592"/>
      </c:scatterChart>
      <c:valAx>
        <c:axId val="130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2592"/>
        <c:crosses val="autoZero"/>
        <c:crossBetween val="midCat"/>
      </c:valAx>
      <c:valAx>
        <c:axId val="8342592"/>
        <c:scaling>
          <c:orientation val="minMax"/>
          <c:max val="1"/>
        </c:scaling>
        <c:delete val="0"/>
        <c:axPos val="l"/>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8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4E13-5108-4887-9264-9CC6406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20433</Words>
  <Characters>118637</Characters>
  <Application>Microsoft Office Word</Application>
  <DocSecurity>2</DocSecurity>
  <Lines>988</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2024-10-17T23:39:00Z</dcterms:created>
  <dcterms:modified xsi:type="dcterms:W3CDTF">2024-10-17T23:39:00Z</dcterms:modified>
  <cp:category/>
</cp:coreProperties>
</file>