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8A" w:rsidRPr="00BB418D" w:rsidRDefault="0006068A" w:rsidP="002C329C">
      <w:pPr>
        <w:spacing w:line="360" w:lineRule="auto"/>
        <w:jc w:val="center"/>
        <w:rPr>
          <w:rFonts w:ascii="Arial" w:hAnsi="Arial" w:cs="Arial"/>
          <w:b/>
          <w:color w:val="000080"/>
          <w:sz w:val="28"/>
          <w:szCs w:val="28"/>
        </w:rPr>
      </w:pPr>
      <w:r>
        <w:rPr>
          <w:rFonts w:ascii="Arial" w:hAnsi="Arial" w:cs="Arial"/>
          <w:b/>
          <w:noProof/>
          <w:color w:val="000080"/>
          <w:sz w:val="28"/>
          <w:szCs w:val="28"/>
        </w:rPr>
        <w:drawing>
          <wp:inline distT="0" distB="0" distL="0" distR="0">
            <wp:extent cx="2627630" cy="1078865"/>
            <wp:effectExtent l="0" t="0" r="1270" b="6985"/>
            <wp:docPr id="1" name="Picture 1" title="The Australian Government's 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D63FA" w:rsidRDefault="00BD63FA" w:rsidP="00BD63FA">
      <w:pPr>
        <w:pStyle w:val="Title"/>
        <w:rPr>
          <w:i w:val="0"/>
          <w:sz w:val="40"/>
          <w:szCs w:val="40"/>
        </w:rPr>
      </w:pPr>
    </w:p>
    <w:p w:rsidR="004C0814" w:rsidRPr="00BD63FA" w:rsidRDefault="004C0814" w:rsidP="00BD63FA">
      <w:pPr>
        <w:pStyle w:val="Title"/>
        <w:rPr>
          <w:i w:val="0"/>
          <w:sz w:val="40"/>
          <w:szCs w:val="40"/>
        </w:rPr>
      </w:pPr>
      <w:r w:rsidRPr="00BD63FA">
        <w:rPr>
          <w:i w:val="0"/>
          <w:sz w:val="40"/>
          <w:szCs w:val="40"/>
        </w:rPr>
        <w:t>Public Summary Document</w:t>
      </w:r>
    </w:p>
    <w:p w:rsidR="007363C5" w:rsidRDefault="007363C5" w:rsidP="007363C5">
      <w:pPr>
        <w:tabs>
          <w:tab w:val="left" w:pos="4320"/>
        </w:tabs>
        <w:rPr>
          <w:rFonts w:ascii="Arial" w:hAnsi="Arial" w:cs="Arial"/>
          <w:b/>
          <w:i/>
          <w:color w:val="000099"/>
          <w:sz w:val="28"/>
          <w:szCs w:val="28"/>
        </w:rPr>
      </w:pPr>
    </w:p>
    <w:p w:rsidR="00E8253A" w:rsidRPr="00527862" w:rsidRDefault="002C329C" w:rsidP="00527862">
      <w:pPr>
        <w:pStyle w:val="Title"/>
      </w:pPr>
      <w:r w:rsidRPr="00527862">
        <w:t>Application No. 1161</w:t>
      </w:r>
      <w:r w:rsidR="0006068A" w:rsidRPr="00527862">
        <w:t xml:space="preserve"> – </w:t>
      </w:r>
      <w:r w:rsidR="00966C8B" w:rsidRPr="00527862">
        <w:t>Gefitinib first line testing for mutations of epidermal growth factor receptor (EGFR) in patients with metastatic non-small cell lung cancer (NSCLC)</w:t>
      </w:r>
    </w:p>
    <w:p w:rsidR="00E8253A" w:rsidRPr="00BB418D" w:rsidRDefault="00E8253A" w:rsidP="004C0814">
      <w:pPr>
        <w:tabs>
          <w:tab w:val="left" w:pos="3600"/>
        </w:tabs>
        <w:ind w:left="3600" w:hanging="3600"/>
        <w:rPr>
          <w:rFonts w:ascii="Arial" w:hAnsi="Arial" w:cs="Arial"/>
          <w:szCs w:val="24"/>
        </w:rPr>
      </w:pPr>
    </w:p>
    <w:p w:rsidR="006156C1" w:rsidRPr="006A1D88" w:rsidRDefault="004C0814" w:rsidP="0006068A">
      <w:pPr>
        <w:tabs>
          <w:tab w:val="left" w:pos="2265"/>
          <w:tab w:val="left" w:pos="3544"/>
          <w:tab w:val="left" w:pos="4320"/>
        </w:tabs>
        <w:rPr>
          <w:rFonts w:ascii="Arial" w:hAnsi="Arial" w:cs="Arial"/>
          <w:b/>
          <w:szCs w:val="24"/>
        </w:rPr>
      </w:pPr>
      <w:r w:rsidRPr="006A1D88">
        <w:rPr>
          <w:rFonts w:ascii="Arial" w:hAnsi="Arial" w:cs="Arial"/>
          <w:b/>
          <w:szCs w:val="24"/>
        </w:rPr>
        <w:t>Sponsor</w:t>
      </w:r>
      <w:r w:rsidR="003D0F7D" w:rsidRPr="006A1D88">
        <w:rPr>
          <w:rFonts w:ascii="Arial" w:hAnsi="Arial" w:cs="Arial"/>
          <w:b/>
          <w:szCs w:val="24"/>
        </w:rPr>
        <w:t>/Applicant</w:t>
      </w:r>
      <w:r w:rsidR="006F0F76" w:rsidRPr="006A1D88">
        <w:rPr>
          <w:rFonts w:ascii="Arial" w:hAnsi="Arial" w:cs="Arial"/>
          <w:b/>
          <w:szCs w:val="24"/>
        </w:rPr>
        <w:t>/s</w:t>
      </w:r>
      <w:r w:rsidRPr="006A1D88">
        <w:rPr>
          <w:rFonts w:ascii="Arial" w:hAnsi="Arial" w:cs="Arial"/>
          <w:b/>
          <w:szCs w:val="24"/>
        </w:rPr>
        <w:t>:</w:t>
      </w:r>
      <w:r w:rsidR="00937076" w:rsidRPr="006A1D88">
        <w:rPr>
          <w:rFonts w:ascii="Arial" w:hAnsi="Arial" w:cs="Arial"/>
          <w:b/>
          <w:szCs w:val="24"/>
        </w:rPr>
        <w:tab/>
      </w:r>
      <w:r w:rsidR="00636C21" w:rsidRPr="00022F12">
        <w:rPr>
          <w:rFonts w:ascii="Arial" w:hAnsi="Arial" w:cs="Arial"/>
          <w:b/>
          <w:szCs w:val="24"/>
        </w:rPr>
        <w:t>AstraZeneca Pty Ltd</w:t>
      </w:r>
    </w:p>
    <w:p w:rsidR="006F0F76" w:rsidRPr="00536E93" w:rsidRDefault="006F0F76" w:rsidP="00D0483F">
      <w:pPr>
        <w:tabs>
          <w:tab w:val="left" w:pos="2265"/>
          <w:tab w:val="left" w:pos="3420"/>
          <w:tab w:val="left" w:pos="4320"/>
        </w:tabs>
        <w:rPr>
          <w:b/>
        </w:rPr>
      </w:pPr>
    </w:p>
    <w:p w:rsidR="00DF4B27" w:rsidRPr="00536E93" w:rsidRDefault="004C0814" w:rsidP="002B4CE2">
      <w:pPr>
        <w:tabs>
          <w:tab w:val="left" w:pos="3402"/>
          <w:tab w:val="left" w:pos="4320"/>
        </w:tabs>
        <w:ind w:left="3544" w:hanging="3544"/>
        <w:rPr>
          <w:b/>
          <w:szCs w:val="24"/>
        </w:rPr>
      </w:pPr>
      <w:r w:rsidRPr="006A1D88">
        <w:rPr>
          <w:rFonts w:ascii="Arial" w:hAnsi="Arial" w:cs="Arial"/>
          <w:b/>
          <w:szCs w:val="24"/>
        </w:rPr>
        <w:t xml:space="preserve">Date of </w:t>
      </w:r>
      <w:r w:rsidR="0006068A" w:rsidRPr="006A1D88">
        <w:rPr>
          <w:rFonts w:ascii="Arial" w:hAnsi="Arial" w:cs="Arial"/>
          <w:b/>
          <w:szCs w:val="24"/>
        </w:rPr>
        <w:t>MSAC</w:t>
      </w:r>
      <w:r w:rsidRPr="006A1D88">
        <w:rPr>
          <w:rFonts w:ascii="Arial" w:hAnsi="Arial" w:cs="Arial"/>
          <w:b/>
          <w:szCs w:val="24"/>
        </w:rPr>
        <w:t xml:space="preserve"> consideration:</w:t>
      </w:r>
      <w:r w:rsidR="00201963" w:rsidRPr="006A1D88">
        <w:rPr>
          <w:rFonts w:ascii="Arial" w:hAnsi="Arial" w:cs="Arial"/>
          <w:b/>
          <w:szCs w:val="24"/>
        </w:rPr>
        <w:tab/>
      </w:r>
      <w:r w:rsidR="0006068A" w:rsidRPr="006A1D88">
        <w:rPr>
          <w:rFonts w:ascii="Arial" w:hAnsi="Arial" w:cs="Arial"/>
          <w:b/>
          <w:szCs w:val="24"/>
        </w:rPr>
        <w:tab/>
      </w:r>
      <w:r w:rsidR="00452A25" w:rsidRPr="006A1D88">
        <w:rPr>
          <w:rFonts w:ascii="Arial" w:hAnsi="Arial" w:cs="Arial"/>
          <w:b/>
          <w:szCs w:val="24"/>
        </w:rPr>
        <w:t>1 August 2013</w:t>
      </w:r>
    </w:p>
    <w:p w:rsidR="002B4CE2" w:rsidRPr="006A1D88" w:rsidRDefault="002B4CE2" w:rsidP="002B4CE2">
      <w:pPr>
        <w:pStyle w:val="Heading1"/>
        <w:rPr>
          <w:rFonts w:cs="Arial"/>
          <w:szCs w:val="24"/>
        </w:rPr>
      </w:pPr>
      <w:r w:rsidRPr="006A1D88">
        <w:rPr>
          <w:rFonts w:cs="Arial"/>
          <w:szCs w:val="24"/>
        </w:rPr>
        <w:t>1.</w:t>
      </w:r>
      <w:r w:rsidRPr="006A1D88">
        <w:rPr>
          <w:rFonts w:cs="Arial"/>
          <w:szCs w:val="24"/>
        </w:rPr>
        <w:tab/>
        <w:t>Purpose of application</w:t>
      </w:r>
    </w:p>
    <w:p w:rsidR="002C329C" w:rsidRPr="00536E93" w:rsidRDefault="002C329C" w:rsidP="00F262D0">
      <w:pPr>
        <w:tabs>
          <w:tab w:val="left" w:pos="720"/>
          <w:tab w:val="left" w:pos="1140"/>
        </w:tabs>
        <w:rPr>
          <w:szCs w:val="24"/>
        </w:rPr>
      </w:pPr>
      <w:r w:rsidRPr="00536E93">
        <w:rPr>
          <w:szCs w:val="24"/>
        </w:rPr>
        <w:t xml:space="preserve">In March 2013, the Department of Health and Ageing received an application from AstraZeneca Pty Ltd requesting a Medicare Benefits Schedule (MBS) listing of </w:t>
      </w:r>
      <w:r w:rsidR="009F5075">
        <w:rPr>
          <w:szCs w:val="24"/>
        </w:rPr>
        <w:t>epidermal growth factor receptor (</w:t>
      </w:r>
      <w:r w:rsidRPr="00536E93">
        <w:rPr>
          <w:szCs w:val="24"/>
        </w:rPr>
        <w:t>EGFR</w:t>
      </w:r>
      <w:r w:rsidR="009F5075">
        <w:rPr>
          <w:szCs w:val="24"/>
        </w:rPr>
        <w:t>)</w:t>
      </w:r>
      <w:r w:rsidRPr="00536E93">
        <w:rPr>
          <w:szCs w:val="24"/>
        </w:rPr>
        <w:t xml:space="preserve"> mutation testing for non-squamous or not otherwise specified non-small-cell lung cancer (NSCLC) to determine eligibility for first-line treatment with gefitinib, through the Pharmaceutical Benefits Schedule (PBS).</w:t>
      </w:r>
    </w:p>
    <w:p w:rsidR="00F262D0" w:rsidRDefault="00F262D0" w:rsidP="00F262D0">
      <w:pPr>
        <w:tabs>
          <w:tab w:val="left" w:pos="720"/>
          <w:tab w:val="left" w:pos="1140"/>
        </w:tabs>
        <w:rPr>
          <w:szCs w:val="24"/>
        </w:rPr>
      </w:pPr>
    </w:p>
    <w:p w:rsidR="002C329C" w:rsidRPr="00536E93" w:rsidRDefault="002C329C" w:rsidP="00F262D0">
      <w:pPr>
        <w:tabs>
          <w:tab w:val="left" w:pos="720"/>
          <w:tab w:val="left" w:pos="1140"/>
        </w:tabs>
        <w:rPr>
          <w:szCs w:val="24"/>
        </w:rPr>
      </w:pPr>
      <w:r w:rsidRPr="00536E93">
        <w:rPr>
          <w:szCs w:val="24"/>
        </w:rPr>
        <w:t>The proposed intervention is a genetic pathology test aimed at detecting somatic EGFR mutations in NSCLC tumour tissue. The sub-group of NSCLC tumours that harbour an EGFR “activating” mutation have increased phosphorylation of EGFR and consequently an over-activated intracellular kinase pathway; this increased downstream signalling leads to cell proliferation and contributes to the malignant phenotype in these patients. Most of these mutations occur between exons 18 and 21 of the tyrosine kinase activation domain and result in ligand overexpression. Currently, 80-90% of all mutations identified are either exon 19 in-frame deletion and/or insertion mutations or a</w:t>
      </w:r>
      <w:r w:rsidR="00084B0A">
        <w:rPr>
          <w:szCs w:val="24"/>
        </w:rPr>
        <w:t>n exon 21</w:t>
      </w:r>
      <w:r w:rsidRPr="00536E93">
        <w:rPr>
          <w:szCs w:val="24"/>
        </w:rPr>
        <w:t xml:space="preserve"> missense mutation (L858R - causing a </w:t>
      </w:r>
      <w:proofErr w:type="spellStart"/>
      <w:r w:rsidRPr="00536E93">
        <w:rPr>
          <w:szCs w:val="24"/>
        </w:rPr>
        <w:t>leucine</w:t>
      </w:r>
      <w:proofErr w:type="spellEnd"/>
      <w:r w:rsidRPr="00536E93">
        <w:rPr>
          <w:szCs w:val="24"/>
        </w:rPr>
        <w:t xml:space="preserve"> to arginine substitution) (</w:t>
      </w:r>
      <w:proofErr w:type="spellStart"/>
      <w:r w:rsidRPr="00536E93">
        <w:rPr>
          <w:szCs w:val="24"/>
        </w:rPr>
        <w:t>Gately</w:t>
      </w:r>
      <w:proofErr w:type="spellEnd"/>
      <w:r w:rsidRPr="00536E93">
        <w:rPr>
          <w:szCs w:val="24"/>
        </w:rPr>
        <w:t xml:space="preserve"> et al 2012; Sharma et al 2007).</w:t>
      </w:r>
    </w:p>
    <w:p w:rsidR="00F262D0" w:rsidRDefault="00F262D0" w:rsidP="00F262D0">
      <w:pPr>
        <w:tabs>
          <w:tab w:val="left" w:pos="720"/>
          <w:tab w:val="left" w:pos="1140"/>
        </w:tabs>
        <w:rPr>
          <w:szCs w:val="24"/>
        </w:rPr>
      </w:pPr>
    </w:p>
    <w:p w:rsidR="002C329C" w:rsidRPr="00536E93" w:rsidRDefault="00F262D0" w:rsidP="00F262D0">
      <w:pPr>
        <w:tabs>
          <w:tab w:val="left" w:pos="720"/>
          <w:tab w:val="left" w:pos="1140"/>
        </w:tabs>
        <w:rPr>
          <w:szCs w:val="24"/>
        </w:rPr>
      </w:pPr>
      <w:r>
        <w:rPr>
          <w:szCs w:val="24"/>
        </w:rPr>
        <w:t>At</w:t>
      </w:r>
      <w:r w:rsidR="002C329C" w:rsidRPr="00536E93">
        <w:rPr>
          <w:szCs w:val="24"/>
        </w:rPr>
        <w:t xml:space="preserve"> the October 2012 </w:t>
      </w:r>
      <w:r w:rsidR="00440357">
        <w:rPr>
          <w:szCs w:val="24"/>
        </w:rPr>
        <w:t>MSAC/</w:t>
      </w:r>
      <w:r w:rsidR="002C329C" w:rsidRPr="00536E93">
        <w:rPr>
          <w:szCs w:val="24"/>
        </w:rPr>
        <w:t xml:space="preserve">PBAC </w:t>
      </w:r>
      <w:r w:rsidR="007D2BC8">
        <w:rPr>
          <w:szCs w:val="24"/>
        </w:rPr>
        <w:t>Stakeholder Meeting</w:t>
      </w:r>
      <w:r>
        <w:rPr>
          <w:szCs w:val="24"/>
        </w:rPr>
        <w:t>,</w:t>
      </w:r>
      <w:r w:rsidR="002C329C" w:rsidRPr="00536E93">
        <w:rPr>
          <w:szCs w:val="24"/>
        </w:rPr>
        <w:t xml:space="preserve"> it was considered that a more appropriate ratio for common to rare mutations was 70%:30% because the accuracy and sensitivity of testing methodologies will most likely improve in the future. As a consequence, a greater proportion of patients with NSCLC tumours containing rare EGFR mutations would be expected to be identified.</w:t>
      </w:r>
    </w:p>
    <w:p w:rsidR="00F262D0" w:rsidRDefault="00F262D0" w:rsidP="00F262D0">
      <w:pPr>
        <w:tabs>
          <w:tab w:val="left" w:pos="720"/>
          <w:tab w:val="left" w:pos="1140"/>
        </w:tabs>
        <w:rPr>
          <w:szCs w:val="24"/>
        </w:rPr>
      </w:pPr>
    </w:p>
    <w:p w:rsidR="002C329C" w:rsidRPr="00536E93" w:rsidRDefault="002C329C" w:rsidP="00F262D0">
      <w:pPr>
        <w:tabs>
          <w:tab w:val="left" w:pos="720"/>
          <w:tab w:val="left" w:pos="1140"/>
        </w:tabs>
        <w:rPr>
          <w:szCs w:val="24"/>
        </w:rPr>
      </w:pPr>
      <w:r w:rsidRPr="00536E93">
        <w:rPr>
          <w:szCs w:val="24"/>
        </w:rPr>
        <w:t>EGFR mutation testing of NSCLC tumour cells will enable the identification of patients who may benefit from targeted drug therapy. EGFR tyrosine kinase inhibitors, such as gefitinib, bind at the ATP site of the ligand and inhibit phosphorylation and receptor signalling. This enables restoration of normal downstream cellular processes such as apoptosis (cell death), leading to decreased tumour cell proliferation.</w:t>
      </w:r>
    </w:p>
    <w:p w:rsidR="007363C5" w:rsidRDefault="007363C5" w:rsidP="007D5336">
      <w:pPr>
        <w:tabs>
          <w:tab w:val="left" w:pos="720"/>
          <w:tab w:val="left" w:pos="1140"/>
        </w:tabs>
        <w:rPr>
          <w:szCs w:val="24"/>
        </w:rPr>
      </w:pPr>
    </w:p>
    <w:p w:rsidR="002C329C" w:rsidRPr="00536E93" w:rsidRDefault="002C329C" w:rsidP="007D5336">
      <w:pPr>
        <w:tabs>
          <w:tab w:val="left" w:pos="720"/>
          <w:tab w:val="left" w:pos="1140"/>
        </w:tabs>
        <w:rPr>
          <w:szCs w:val="24"/>
        </w:rPr>
      </w:pPr>
      <w:r w:rsidRPr="00536E93">
        <w:rPr>
          <w:szCs w:val="24"/>
        </w:rPr>
        <w:lastRenderedPageBreak/>
        <w:t>Currently, EGFR mutation testing is available on the MBS to patients with locally advanced or metastatic NSCLC to determine eligibility for access to second-line treatment with gefitinib under the PBS.</w:t>
      </w:r>
    </w:p>
    <w:p w:rsidR="007D5336" w:rsidRDefault="007D5336" w:rsidP="007D5336">
      <w:pPr>
        <w:tabs>
          <w:tab w:val="left" w:pos="720"/>
          <w:tab w:val="left" w:pos="1140"/>
        </w:tabs>
        <w:rPr>
          <w:szCs w:val="24"/>
        </w:rPr>
      </w:pPr>
    </w:p>
    <w:p w:rsidR="007D5336" w:rsidRPr="00536E93" w:rsidRDefault="00A904BF" w:rsidP="007D5336">
      <w:pPr>
        <w:tabs>
          <w:tab w:val="left" w:pos="720"/>
          <w:tab w:val="left" w:pos="1140"/>
        </w:tabs>
        <w:rPr>
          <w:szCs w:val="24"/>
        </w:rPr>
      </w:pPr>
      <w:r>
        <w:rPr>
          <w:szCs w:val="24"/>
        </w:rPr>
        <w:t>MSAC</w:t>
      </w:r>
      <w:r w:rsidR="002C329C" w:rsidRPr="00536E93">
        <w:rPr>
          <w:szCs w:val="24"/>
        </w:rPr>
        <w:t xml:space="preserve"> proposed that all patients with NSCLC unequivocally shown not to have squamous cell histology at the time of initial diagnosis should be eligible for EGFR mutation testing (irrespective of disease stage).</w:t>
      </w:r>
    </w:p>
    <w:p w:rsidR="00B149C6" w:rsidRPr="006A1D88" w:rsidRDefault="002B4CE2" w:rsidP="00357DA4">
      <w:pPr>
        <w:pStyle w:val="Heading1"/>
        <w:spacing w:before="240"/>
        <w:rPr>
          <w:rFonts w:cs="Arial"/>
          <w:szCs w:val="24"/>
        </w:rPr>
      </w:pPr>
      <w:r w:rsidRPr="006A1D88">
        <w:rPr>
          <w:rFonts w:cs="Arial"/>
          <w:szCs w:val="24"/>
        </w:rPr>
        <w:t>2.</w:t>
      </w:r>
      <w:r w:rsidRPr="006A1D88">
        <w:rPr>
          <w:rFonts w:cs="Arial"/>
          <w:szCs w:val="24"/>
        </w:rPr>
        <w:tab/>
      </w:r>
      <w:r w:rsidR="00B149C6" w:rsidRPr="006A1D88">
        <w:rPr>
          <w:rFonts w:cs="Arial"/>
          <w:szCs w:val="24"/>
        </w:rPr>
        <w:t>Background</w:t>
      </w:r>
    </w:p>
    <w:p w:rsidR="00AF0A4C" w:rsidRDefault="007D5336" w:rsidP="007D5336">
      <w:pPr>
        <w:tabs>
          <w:tab w:val="left" w:pos="720"/>
          <w:tab w:val="left" w:pos="1140"/>
        </w:tabs>
        <w:rPr>
          <w:szCs w:val="24"/>
        </w:rPr>
      </w:pPr>
      <w:r>
        <w:rPr>
          <w:szCs w:val="24"/>
        </w:rPr>
        <w:t>In July 2004,</w:t>
      </w:r>
      <w:r w:rsidR="002C329C" w:rsidRPr="00536E93">
        <w:rPr>
          <w:szCs w:val="24"/>
        </w:rPr>
        <w:t xml:space="preserve"> PBAC recommended PBS listing of gefitinib on the basis of acceptable cost-effectiveness compared with docetaxel and best supportive care as second-line treatment for patients with an activating mutation of the EGFR gene: PBS </w:t>
      </w:r>
      <w:r w:rsidR="00A904BF" w:rsidRPr="00536E93">
        <w:rPr>
          <w:szCs w:val="24"/>
        </w:rPr>
        <w:t>l</w:t>
      </w:r>
      <w:r w:rsidR="002C329C" w:rsidRPr="00536E93">
        <w:rPr>
          <w:szCs w:val="24"/>
        </w:rPr>
        <w:t>isting was effective from 1</w:t>
      </w:r>
      <w:r>
        <w:rPr>
          <w:szCs w:val="24"/>
        </w:rPr>
        <w:t> </w:t>
      </w:r>
      <w:r w:rsidR="002C329C" w:rsidRPr="00536E93">
        <w:rPr>
          <w:szCs w:val="24"/>
        </w:rPr>
        <w:t>December 2004. Despite PBS listing of gefitinib for second</w:t>
      </w:r>
      <w:r w:rsidR="00357DA4">
        <w:rPr>
          <w:szCs w:val="24"/>
        </w:rPr>
        <w:t>-</w:t>
      </w:r>
      <w:r w:rsidR="002C329C" w:rsidRPr="00536E93">
        <w:rPr>
          <w:szCs w:val="24"/>
        </w:rPr>
        <w:t xml:space="preserve">line treatment, EGFR testing to determine gefitinib eligibility was not also </w:t>
      </w:r>
      <w:r w:rsidR="00357DA4">
        <w:rPr>
          <w:szCs w:val="24"/>
        </w:rPr>
        <w:t xml:space="preserve">listed </w:t>
      </w:r>
      <w:r w:rsidR="002C329C" w:rsidRPr="00536E93">
        <w:rPr>
          <w:szCs w:val="24"/>
        </w:rPr>
        <w:t>on the MBS</w:t>
      </w:r>
      <w:r w:rsidR="00357DA4">
        <w:rPr>
          <w:szCs w:val="24"/>
        </w:rPr>
        <w:t xml:space="preserve"> at that time.</w:t>
      </w:r>
    </w:p>
    <w:p w:rsidR="00AF0A4C" w:rsidRDefault="00AF0A4C" w:rsidP="007D5336">
      <w:pPr>
        <w:tabs>
          <w:tab w:val="left" w:pos="720"/>
          <w:tab w:val="left" w:pos="1140"/>
        </w:tabs>
        <w:rPr>
          <w:szCs w:val="24"/>
        </w:rPr>
      </w:pPr>
    </w:p>
    <w:p w:rsidR="002C329C" w:rsidRPr="00536E93" w:rsidRDefault="002C329C" w:rsidP="007D5336">
      <w:pPr>
        <w:tabs>
          <w:tab w:val="left" w:pos="720"/>
          <w:tab w:val="left" w:pos="1140"/>
        </w:tabs>
        <w:rPr>
          <w:szCs w:val="24"/>
        </w:rPr>
      </w:pPr>
      <w:r w:rsidRPr="00536E93">
        <w:rPr>
          <w:szCs w:val="24"/>
        </w:rPr>
        <w:t xml:space="preserve">In </w:t>
      </w:r>
      <w:r w:rsidR="00357DA4">
        <w:rPr>
          <w:szCs w:val="24"/>
        </w:rPr>
        <w:t>December 2010</w:t>
      </w:r>
      <w:r w:rsidRPr="00536E93">
        <w:rPr>
          <w:szCs w:val="24"/>
        </w:rPr>
        <w:t>, MSAC recommended public funding for ‘testing in the limited circumstance of determining tumour EGFR activating mutation status to contribute to a determination of eligibility for currently PBS-subsidised gefitinib for a patient with locally advanced or metastatic non-small cell lung cancer’. EGFR testing was MBS listed in May 2012.</w:t>
      </w:r>
    </w:p>
    <w:p w:rsidR="007D5336" w:rsidRDefault="007D5336" w:rsidP="007D5336">
      <w:pPr>
        <w:tabs>
          <w:tab w:val="left" w:pos="720"/>
          <w:tab w:val="left" w:pos="1140"/>
        </w:tabs>
        <w:rPr>
          <w:szCs w:val="24"/>
        </w:rPr>
      </w:pPr>
    </w:p>
    <w:p w:rsidR="002C329C" w:rsidRPr="00536E93" w:rsidRDefault="007363C5" w:rsidP="007D5336">
      <w:pPr>
        <w:tabs>
          <w:tab w:val="left" w:pos="720"/>
          <w:tab w:val="left" w:pos="1140"/>
        </w:tabs>
        <w:rPr>
          <w:szCs w:val="24"/>
        </w:rPr>
      </w:pPr>
      <w:r>
        <w:rPr>
          <w:szCs w:val="24"/>
        </w:rPr>
        <w:t xml:space="preserve">In November 2010, </w:t>
      </w:r>
      <w:r w:rsidR="002C329C" w:rsidRPr="00536E93">
        <w:rPr>
          <w:szCs w:val="24"/>
        </w:rPr>
        <w:t xml:space="preserve">PBAC rejected PBS listing of gefitinib for the </w:t>
      </w:r>
      <w:r w:rsidR="002C329C" w:rsidRPr="00536E93">
        <w:rPr>
          <w:szCs w:val="24"/>
          <w:u w:val="single"/>
        </w:rPr>
        <w:t>first-line</w:t>
      </w:r>
      <w:r w:rsidR="002C329C" w:rsidRPr="00536E93">
        <w:rPr>
          <w:szCs w:val="24"/>
        </w:rPr>
        <w:t xml:space="preserve"> treatment of patients with locally advanced or metastatic NSCLC (Stage </w:t>
      </w:r>
      <w:proofErr w:type="spellStart"/>
      <w:r w:rsidR="002C329C" w:rsidRPr="00536E93">
        <w:rPr>
          <w:szCs w:val="24"/>
        </w:rPr>
        <w:t>IIIb</w:t>
      </w:r>
      <w:proofErr w:type="spellEnd"/>
      <w:r w:rsidR="002C329C" w:rsidRPr="00536E93">
        <w:rPr>
          <w:szCs w:val="24"/>
        </w:rPr>
        <w:t>/IV) who have an activating mutation in the EGFR gene, on the basis of unacceptably high and uncertain cost-effectiveness.</w:t>
      </w:r>
    </w:p>
    <w:p w:rsidR="007D5336" w:rsidRDefault="007D5336" w:rsidP="007D5336">
      <w:pPr>
        <w:tabs>
          <w:tab w:val="left" w:pos="720"/>
          <w:tab w:val="left" w:pos="1140"/>
        </w:tabs>
        <w:rPr>
          <w:szCs w:val="24"/>
        </w:rPr>
      </w:pPr>
    </w:p>
    <w:p w:rsidR="002C329C" w:rsidRPr="00536E93" w:rsidRDefault="002C329C" w:rsidP="007D5336">
      <w:pPr>
        <w:tabs>
          <w:tab w:val="left" w:pos="720"/>
          <w:tab w:val="left" w:pos="1140"/>
        </w:tabs>
        <w:rPr>
          <w:szCs w:val="24"/>
        </w:rPr>
      </w:pPr>
      <w:r w:rsidRPr="00536E93">
        <w:rPr>
          <w:szCs w:val="24"/>
        </w:rPr>
        <w:t xml:space="preserve">In October 2012, a </w:t>
      </w:r>
      <w:r w:rsidR="007D2BC8">
        <w:rPr>
          <w:szCs w:val="24"/>
        </w:rPr>
        <w:t xml:space="preserve">Stakeholder Meeting </w:t>
      </w:r>
      <w:r w:rsidRPr="00536E93">
        <w:rPr>
          <w:szCs w:val="24"/>
        </w:rPr>
        <w:t xml:space="preserve">was jointly convened by </w:t>
      </w:r>
      <w:r w:rsidR="007D5336">
        <w:rPr>
          <w:szCs w:val="24"/>
        </w:rPr>
        <w:t xml:space="preserve">MSAC and </w:t>
      </w:r>
      <w:r w:rsidRPr="00536E93">
        <w:rPr>
          <w:szCs w:val="24"/>
        </w:rPr>
        <w:t xml:space="preserve">PBAC to resolve outstanding issues related to </w:t>
      </w:r>
      <w:proofErr w:type="spellStart"/>
      <w:r w:rsidRPr="00536E93">
        <w:rPr>
          <w:szCs w:val="24"/>
        </w:rPr>
        <w:t>i</w:t>
      </w:r>
      <w:proofErr w:type="spellEnd"/>
      <w:r w:rsidRPr="00536E93">
        <w:rPr>
          <w:szCs w:val="24"/>
        </w:rPr>
        <w:t xml:space="preserve">) EGFR mutation testing, and ii) the clinical place of tyrosine kinase inhibitors (TKIs) in the treatment of locally advanced (Stage </w:t>
      </w:r>
      <w:proofErr w:type="spellStart"/>
      <w:r w:rsidRPr="00536E93">
        <w:rPr>
          <w:szCs w:val="24"/>
        </w:rPr>
        <w:t>IIIb</w:t>
      </w:r>
      <w:proofErr w:type="spellEnd"/>
      <w:r w:rsidRPr="00536E93">
        <w:rPr>
          <w:szCs w:val="24"/>
        </w:rPr>
        <w:t>) or metastatic (Stage IV) NSCLC.</w:t>
      </w:r>
    </w:p>
    <w:p w:rsidR="007D5336" w:rsidRDefault="007D5336" w:rsidP="007D5336">
      <w:pPr>
        <w:tabs>
          <w:tab w:val="left" w:pos="720"/>
          <w:tab w:val="left" w:pos="1140"/>
        </w:tabs>
        <w:rPr>
          <w:szCs w:val="24"/>
        </w:rPr>
      </w:pPr>
    </w:p>
    <w:p w:rsidR="002C329C" w:rsidRPr="00536E93" w:rsidRDefault="002C329C" w:rsidP="007D5336">
      <w:pPr>
        <w:tabs>
          <w:tab w:val="left" w:pos="720"/>
          <w:tab w:val="left" w:pos="1140"/>
        </w:tabs>
        <w:rPr>
          <w:szCs w:val="24"/>
        </w:rPr>
      </w:pPr>
      <w:r w:rsidRPr="00536E93">
        <w:rPr>
          <w:szCs w:val="24"/>
        </w:rPr>
        <w:t xml:space="preserve">In November 2012, </w:t>
      </w:r>
      <w:r w:rsidR="007D5336">
        <w:rPr>
          <w:szCs w:val="24"/>
        </w:rPr>
        <w:t xml:space="preserve">MSAC and </w:t>
      </w:r>
      <w:r w:rsidRPr="00536E93">
        <w:rPr>
          <w:szCs w:val="24"/>
        </w:rPr>
        <w:t xml:space="preserve">PBAC reviewed a co-dependent submission for EGFR mutation testing and access to gefitinib for the first-line treatment of locally advanced or metastatic NSCLC patients expressing activating mutations of the EGFR gene. The submission was rejected by PBAC, and MSAC deferred the application for the requested MBS item until such time as PBAC </w:t>
      </w:r>
      <w:r w:rsidR="00357DA4">
        <w:rPr>
          <w:szCs w:val="24"/>
        </w:rPr>
        <w:t xml:space="preserve">recommended </w:t>
      </w:r>
      <w:r w:rsidRPr="00536E93">
        <w:rPr>
          <w:szCs w:val="24"/>
        </w:rPr>
        <w:t>the corresponding PBS listing of gefitinib.</w:t>
      </w:r>
    </w:p>
    <w:p w:rsidR="007D5336" w:rsidRDefault="007D5336" w:rsidP="007D5336">
      <w:pPr>
        <w:tabs>
          <w:tab w:val="left" w:pos="720"/>
          <w:tab w:val="left" w:pos="1140"/>
        </w:tabs>
        <w:rPr>
          <w:szCs w:val="24"/>
        </w:rPr>
      </w:pPr>
    </w:p>
    <w:p w:rsidR="002C329C" w:rsidRDefault="00A5548A" w:rsidP="00A5548A">
      <w:pPr>
        <w:tabs>
          <w:tab w:val="left" w:pos="720"/>
          <w:tab w:val="left" w:pos="1140"/>
        </w:tabs>
        <w:rPr>
          <w:szCs w:val="24"/>
        </w:rPr>
      </w:pPr>
      <w:r>
        <w:rPr>
          <w:szCs w:val="24"/>
        </w:rPr>
        <w:t>The sponsor</w:t>
      </w:r>
      <w:r w:rsidR="002C329C" w:rsidRPr="00536E93">
        <w:rPr>
          <w:szCs w:val="24"/>
        </w:rPr>
        <w:t xml:space="preserve"> lodged a major resubmission to PBAC for the listing of first-line gefitinib on the PBS for consideration at the July 2013 PBAC meeting</w:t>
      </w:r>
      <w:r>
        <w:rPr>
          <w:szCs w:val="24"/>
        </w:rPr>
        <w:t>. T</w:t>
      </w:r>
      <w:r w:rsidR="002C329C" w:rsidRPr="00536E93">
        <w:rPr>
          <w:szCs w:val="24"/>
        </w:rPr>
        <w:t>he sponsor was advised that a minor resubmission to MSAC was required to address outstanding testing issues raised in the Novemb</w:t>
      </w:r>
      <w:r w:rsidR="00357DA4">
        <w:rPr>
          <w:szCs w:val="24"/>
        </w:rPr>
        <w:t>er 2012 gefitinib MSAC minutes.</w:t>
      </w:r>
    </w:p>
    <w:p w:rsidR="00A5548A" w:rsidRPr="00357DA4" w:rsidRDefault="00A5548A" w:rsidP="00A5548A">
      <w:pPr>
        <w:tabs>
          <w:tab w:val="left" w:pos="720"/>
          <w:tab w:val="left" w:pos="1140"/>
        </w:tabs>
        <w:rPr>
          <w:szCs w:val="24"/>
        </w:rPr>
      </w:pPr>
    </w:p>
    <w:p w:rsidR="00B149C6" w:rsidRPr="006A1D88" w:rsidRDefault="002B4CE2" w:rsidP="00A5548A">
      <w:pPr>
        <w:pStyle w:val="Heading1"/>
        <w:spacing w:before="0"/>
        <w:rPr>
          <w:rFonts w:cs="Arial"/>
          <w:szCs w:val="24"/>
        </w:rPr>
      </w:pPr>
      <w:r w:rsidRPr="006A1D88">
        <w:rPr>
          <w:rFonts w:cs="Arial"/>
          <w:szCs w:val="24"/>
        </w:rPr>
        <w:t>3.</w:t>
      </w:r>
      <w:r w:rsidRPr="006A1D88">
        <w:rPr>
          <w:rFonts w:cs="Arial"/>
          <w:szCs w:val="24"/>
        </w:rPr>
        <w:tab/>
      </w:r>
      <w:r w:rsidR="00B149C6" w:rsidRPr="006A1D88">
        <w:rPr>
          <w:rFonts w:cs="Arial"/>
          <w:szCs w:val="24"/>
        </w:rPr>
        <w:t>Prerequisites</w:t>
      </w:r>
      <w:r w:rsidR="00E857D4" w:rsidRPr="006A1D88">
        <w:rPr>
          <w:rFonts w:cs="Arial"/>
          <w:szCs w:val="24"/>
        </w:rPr>
        <w:t xml:space="preserve"> to implementation of any funding advice</w:t>
      </w:r>
    </w:p>
    <w:p w:rsidR="002C329C" w:rsidRPr="00A5548A" w:rsidRDefault="002C329C" w:rsidP="00A5548A">
      <w:pPr>
        <w:tabs>
          <w:tab w:val="left" w:pos="720"/>
          <w:tab w:val="left" w:pos="1140"/>
        </w:tabs>
        <w:rPr>
          <w:szCs w:val="24"/>
        </w:rPr>
      </w:pPr>
      <w:r w:rsidRPr="00A5548A">
        <w:rPr>
          <w:szCs w:val="24"/>
        </w:rPr>
        <w:t xml:space="preserve">No specific EGFR mutation test </w:t>
      </w:r>
      <w:r w:rsidR="00A5548A">
        <w:rPr>
          <w:szCs w:val="24"/>
        </w:rPr>
        <w:t>was</w:t>
      </w:r>
      <w:r w:rsidRPr="00A5548A">
        <w:rPr>
          <w:szCs w:val="24"/>
        </w:rPr>
        <w:t xml:space="preserve"> requested </w:t>
      </w:r>
      <w:r w:rsidR="001A7DC7">
        <w:rPr>
          <w:szCs w:val="24"/>
        </w:rPr>
        <w:t xml:space="preserve">in the resubmission </w:t>
      </w:r>
      <w:r w:rsidRPr="00A5548A">
        <w:rPr>
          <w:szCs w:val="24"/>
        </w:rPr>
        <w:t>for MBS listing. Most EGFR testing is likely to be “in-house” as part of a laboratory network and under the control of an Approved Pathology Authority.</w:t>
      </w:r>
    </w:p>
    <w:p w:rsidR="00F86A5F" w:rsidRDefault="00F86A5F" w:rsidP="00A5548A">
      <w:pPr>
        <w:tabs>
          <w:tab w:val="left" w:pos="720"/>
          <w:tab w:val="left" w:pos="1140"/>
        </w:tabs>
      </w:pPr>
    </w:p>
    <w:p w:rsidR="002C329C" w:rsidRPr="00536E93" w:rsidRDefault="002C329C" w:rsidP="00A5548A">
      <w:pPr>
        <w:tabs>
          <w:tab w:val="left" w:pos="720"/>
          <w:tab w:val="left" w:pos="1140"/>
        </w:tabs>
      </w:pPr>
      <w:r w:rsidRPr="00536E93">
        <w:t xml:space="preserve">EGFR mutation testing must be performed in National Association of Testing Authorities (NATA) accredited laboratories. </w:t>
      </w:r>
    </w:p>
    <w:p w:rsidR="001A7DC7" w:rsidRDefault="001A7DC7" w:rsidP="00A5548A">
      <w:pPr>
        <w:tabs>
          <w:tab w:val="left" w:pos="720"/>
          <w:tab w:val="left" w:pos="1140"/>
        </w:tabs>
      </w:pPr>
    </w:p>
    <w:p w:rsidR="002C329C" w:rsidRDefault="002C329C" w:rsidP="00A5548A">
      <w:pPr>
        <w:tabs>
          <w:tab w:val="left" w:pos="720"/>
          <w:tab w:val="left" w:pos="1140"/>
        </w:tabs>
      </w:pPr>
      <w:r w:rsidRPr="00536E93">
        <w:lastRenderedPageBreak/>
        <w:t>The Royal College of Pathologists of Australasia (RCPA) and Human Genetics Society of Australasia (HGSA) conduct a Molecular Genetics Quality Assurance Program for EGFR mutation screening of human tumours in Australian pathology laboratories.</w:t>
      </w:r>
    </w:p>
    <w:p w:rsidR="001A7DC7" w:rsidRPr="00536E93" w:rsidRDefault="001A7DC7" w:rsidP="00A5548A">
      <w:pPr>
        <w:tabs>
          <w:tab w:val="left" w:pos="720"/>
          <w:tab w:val="left" w:pos="1140"/>
        </w:tabs>
      </w:pPr>
    </w:p>
    <w:p w:rsidR="00A34BD3" w:rsidRPr="006A1D88" w:rsidRDefault="002B4CE2" w:rsidP="001A7DC7">
      <w:pPr>
        <w:pStyle w:val="Heading1"/>
        <w:spacing w:before="0"/>
        <w:rPr>
          <w:rFonts w:cs="Arial"/>
          <w:szCs w:val="24"/>
        </w:rPr>
      </w:pPr>
      <w:r w:rsidRPr="006A1D88">
        <w:rPr>
          <w:rFonts w:cs="Arial"/>
          <w:szCs w:val="24"/>
        </w:rPr>
        <w:t>4.</w:t>
      </w:r>
      <w:r w:rsidRPr="006A1D88">
        <w:rPr>
          <w:rFonts w:cs="Arial"/>
          <w:szCs w:val="24"/>
        </w:rPr>
        <w:tab/>
      </w:r>
      <w:r w:rsidR="00133D8B" w:rsidRPr="006A1D88">
        <w:rPr>
          <w:rFonts w:cs="Arial"/>
          <w:szCs w:val="24"/>
        </w:rPr>
        <w:t>Proposal for public funding</w:t>
      </w:r>
    </w:p>
    <w:p w:rsidR="002C329C" w:rsidRDefault="002C329C" w:rsidP="001A7DC7">
      <w:pPr>
        <w:tabs>
          <w:tab w:val="left" w:pos="720"/>
          <w:tab w:val="left" w:pos="1140"/>
        </w:tabs>
      </w:pPr>
      <w:bookmarkStart w:id="0" w:name="_Toc347753857"/>
      <w:bookmarkStart w:id="1" w:name="_Toc317080922"/>
      <w:r w:rsidRPr="00536E93">
        <w:t>The resubmission request</w:t>
      </w:r>
      <w:r w:rsidR="0020527E">
        <w:t>ed</w:t>
      </w:r>
      <w:r w:rsidRPr="00536E93">
        <w:t xml:space="preserve"> that the current MBS listing be modified to meet the recent recommendations of MSAC.</w:t>
      </w:r>
    </w:p>
    <w:p w:rsidR="00674590" w:rsidRPr="00536E93" w:rsidRDefault="00674590" w:rsidP="001A7DC7">
      <w:pPr>
        <w:tabs>
          <w:tab w:val="left" w:pos="720"/>
          <w:tab w:val="left" w:pos="1140"/>
        </w:tabs>
      </w:pPr>
    </w:p>
    <w:p w:rsidR="002C329C" w:rsidRPr="00AA6FAC" w:rsidRDefault="002C329C" w:rsidP="002C329C">
      <w:pPr>
        <w:pStyle w:val="Caption"/>
        <w:keepNext/>
        <w:ind w:left="1418" w:hanging="1054"/>
        <w:jc w:val="both"/>
        <w:rPr>
          <w:rFonts w:ascii="Arial Narrow" w:hAnsi="Arial Narrow" w:cs="Arial"/>
          <w:b/>
          <w:i w:val="0"/>
          <w:color w:val="000000"/>
          <w:sz w:val="22"/>
          <w:szCs w:val="22"/>
          <w:lang w:val="en-AU"/>
        </w:rPr>
      </w:pPr>
      <w:r w:rsidRPr="00AA6FAC">
        <w:rPr>
          <w:rFonts w:ascii="Arial Narrow" w:hAnsi="Arial Narrow" w:cs="Arial"/>
          <w:b/>
          <w:i w:val="0"/>
          <w:color w:val="000000"/>
          <w:sz w:val="22"/>
          <w:szCs w:val="22"/>
          <w:lang w:val="en-AU"/>
        </w:rPr>
        <w:t xml:space="preserve">Current and </w:t>
      </w:r>
      <w:r w:rsidR="0020527E" w:rsidRPr="00AA6FAC">
        <w:rPr>
          <w:rFonts w:ascii="Arial Narrow" w:hAnsi="Arial Narrow" w:cs="Arial"/>
          <w:b/>
          <w:i w:val="0"/>
          <w:color w:val="000000"/>
          <w:sz w:val="22"/>
          <w:szCs w:val="22"/>
          <w:lang w:val="en-AU"/>
        </w:rPr>
        <w:t>p</w:t>
      </w:r>
      <w:r w:rsidRPr="00AA6FAC">
        <w:rPr>
          <w:rFonts w:ascii="Arial Narrow" w:hAnsi="Arial Narrow" w:cs="Arial"/>
          <w:b/>
          <w:i w:val="0"/>
          <w:color w:val="000000"/>
          <w:sz w:val="22"/>
          <w:szCs w:val="22"/>
          <w:lang w:val="en-AU"/>
        </w:rPr>
        <w:t xml:space="preserve">roposed MBS item descriptor for </w:t>
      </w:r>
      <w:r>
        <w:rPr>
          <w:rFonts w:ascii="Arial Narrow" w:hAnsi="Arial Narrow" w:cs="Arial"/>
          <w:b/>
          <w:i w:val="0"/>
          <w:color w:val="000000"/>
          <w:sz w:val="22"/>
          <w:szCs w:val="22"/>
          <w:lang w:val="en-AU"/>
        </w:rPr>
        <w:t>EGFR</w:t>
      </w:r>
      <w:r w:rsidRPr="00AA6FAC">
        <w:rPr>
          <w:rFonts w:ascii="Arial Narrow" w:hAnsi="Arial Narrow" w:cs="Arial"/>
          <w:b/>
          <w:i w:val="0"/>
          <w:color w:val="000000"/>
          <w:sz w:val="22"/>
          <w:szCs w:val="22"/>
          <w:lang w:val="en-AU"/>
        </w:rPr>
        <w:t xml:space="preserve"> mutation testing</w:t>
      </w:r>
      <w:bookmarkEnd w:id="0"/>
      <w:bookmarkEnd w:id="1"/>
    </w:p>
    <w:tbl>
      <w:tblPr>
        <w:tblStyle w:val="TableGrid"/>
        <w:tblW w:w="0" w:type="auto"/>
        <w:tblInd w:w="472" w:type="dxa"/>
        <w:tblLook w:val="04A0" w:firstRow="1" w:lastRow="0" w:firstColumn="1" w:lastColumn="0" w:noHBand="0" w:noVBand="1"/>
        <w:tblCaption w:val="Current and proposed MBS item descriptor for EGFR mutation testing"/>
      </w:tblPr>
      <w:tblGrid>
        <w:gridCol w:w="8770"/>
      </w:tblGrid>
      <w:tr w:rsidR="002C329C" w:rsidRPr="003D03F1" w:rsidTr="00527862">
        <w:trPr>
          <w:tblHeader/>
        </w:trPr>
        <w:tc>
          <w:tcPr>
            <w:tcW w:w="8992" w:type="dxa"/>
            <w:shd w:val="clear" w:color="auto" w:fill="000000" w:themeFill="text1"/>
          </w:tcPr>
          <w:p w:rsidR="002C329C" w:rsidRPr="003D03F1" w:rsidRDefault="002C329C" w:rsidP="00614A1C">
            <w:pPr>
              <w:pStyle w:val="BodyText"/>
              <w:keepNext/>
              <w:spacing w:before="40" w:after="40" w:line="240" w:lineRule="auto"/>
              <w:rPr>
                <w:rFonts w:ascii="Arial Narrow" w:hAnsi="Arial Narrow"/>
                <w:b/>
                <w:color w:val="FFFFFF" w:themeColor="background1"/>
                <w:sz w:val="20"/>
                <w:szCs w:val="20"/>
                <w:lang w:eastAsia="en-GB"/>
              </w:rPr>
            </w:pPr>
            <w:bookmarkStart w:id="2" w:name="_Toc348352371"/>
            <w:r w:rsidRPr="003D03F1">
              <w:rPr>
                <w:rFonts w:ascii="Arial Narrow" w:hAnsi="Arial Narrow"/>
                <w:b/>
                <w:color w:val="FFFFFF" w:themeColor="background1"/>
                <w:sz w:val="20"/>
                <w:szCs w:val="20"/>
              </w:rPr>
              <w:t xml:space="preserve">Current MBS item descriptor for </w:t>
            </w:r>
            <w:r>
              <w:rPr>
                <w:rFonts w:ascii="Arial Narrow" w:hAnsi="Arial Narrow"/>
                <w:b/>
                <w:color w:val="FFFFFF" w:themeColor="background1"/>
                <w:sz w:val="20"/>
                <w:szCs w:val="20"/>
              </w:rPr>
              <w:t xml:space="preserve">second-line </w:t>
            </w:r>
            <w:r w:rsidRPr="003D03F1">
              <w:rPr>
                <w:rFonts w:ascii="Arial Narrow" w:hAnsi="Arial Narrow"/>
                <w:b/>
                <w:color w:val="FFFFFF" w:themeColor="background1"/>
                <w:sz w:val="20"/>
                <w:szCs w:val="20"/>
              </w:rPr>
              <w:t>EGFR mutation testing</w:t>
            </w:r>
            <w:bookmarkEnd w:id="2"/>
          </w:p>
        </w:tc>
      </w:tr>
      <w:tr w:rsidR="002C329C">
        <w:tc>
          <w:tcPr>
            <w:tcW w:w="8992" w:type="dxa"/>
          </w:tcPr>
          <w:p w:rsidR="002C329C" w:rsidRPr="00605041" w:rsidRDefault="002C329C" w:rsidP="00614A1C">
            <w:pPr>
              <w:pStyle w:val="BodyText"/>
              <w:keepNext/>
              <w:spacing w:before="40" w:after="40" w:line="240" w:lineRule="auto"/>
              <w:jc w:val="right"/>
              <w:rPr>
                <w:rFonts w:ascii="Arial Narrow" w:hAnsi="Arial Narrow"/>
                <w:sz w:val="20"/>
                <w:szCs w:val="20"/>
                <w:lang w:eastAsia="en-GB"/>
              </w:rPr>
            </w:pPr>
            <w:r w:rsidRPr="00605041">
              <w:rPr>
                <w:rFonts w:ascii="Arial Narrow" w:hAnsi="Arial Narrow"/>
                <w:sz w:val="20"/>
                <w:szCs w:val="20"/>
                <w:lang w:eastAsia="en-GB"/>
              </w:rPr>
              <w:t>Category 6 – Pathology Services</w:t>
            </w:r>
            <w:r w:rsidRPr="00605041">
              <w:rPr>
                <w:rFonts w:ascii="Arial Narrow" w:hAnsi="Arial Narrow"/>
                <w:sz w:val="20"/>
                <w:szCs w:val="20"/>
                <w:lang w:eastAsia="en-GB"/>
              </w:rPr>
              <w:br/>
              <w:t>Group P7 - Genetics</w:t>
            </w:r>
          </w:p>
        </w:tc>
      </w:tr>
      <w:tr w:rsidR="002C329C">
        <w:tc>
          <w:tcPr>
            <w:tcW w:w="8992" w:type="dxa"/>
          </w:tcPr>
          <w:p w:rsidR="002C329C" w:rsidRPr="00605041" w:rsidRDefault="002C329C" w:rsidP="00614A1C">
            <w:pPr>
              <w:pStyle w:val="BodyText"/>
              <w:spacing w:before="40" w:after="120" w:line="240" w:lineRule="auto"/>
              <w:rPr>
                <w:rFonts w:ascii="Arial Narrow" w:hAnsi="Arial Narrow"/>
                <w:b/>
                <w:sz w:val="20"/>
                <w:szCs w:val="20"/>
                <w:lang w:eastAsia="en-GB"/>
              </w:rPr>
            </w:pPr>
            <w:r w:rsidRPr="00605041">
              <w:rPr>
                <w:rFonts w:ascii="Arial Narrow" w:hAnsi="Arial Narrow"/>
                <w:b/>
                <w:sz w:val="20"/>
                <w:szCs w:val="20"/>
                <w:lang w:eastAsia="en-GB"/>
              </w:rPr>
              <w:t>73328</w:t>
            </w:r>
          </w:p>
          <w:p w:rsidR="002C329C" w:rsidRPr="00605041" w:rsidRDefault="002C329C" w:rsidP="00614A1C">
            <w:pPr>
              <w:autoSpaceDE w:val="0"/>
              <w:autoSpaceDN w:val="0"/>
              <w:adjustRightInd w:val="0"/>
              <w:spacing w:before="120" w:after="120"/>
              <w:jc w:val="both"/>
              <w:rPr>
                <w:rFonts w:ascii="Arial Narrow" w:hAnsi="Arial Narrow" w:cs="Arial Narrow"/>
                <w:color w:val="000000"/>
                <w:sz w:val="20"/>
              </w:rPr>
            </w:pPr>
            <w:r w:rsidRPr="00605041">
              <w:rPr>
                <w:rFonts w:ascii="Arial Narrow" w:hAnsi="Arial Narrow" w:cs="Arial Narrow"/>
                <w:color w:val="000000"/>
                <w:sz w:val="20"/>
              </w:rPr>
              <w:t>A test of tumour cells from a patient with locally advanced or metastatic non-small cell lung cancer requested by, or on behalf of, a specialist or consultant physician to determine if the requirements relating to epidermal growth factor receptor (EGFR) gene status for access to gefitinib under the Pharmaceutical Benefits Scheme (PBS) are fulfilled.</w:t>
            </w:r>
          </w:p>
          <w:p w:rsidR="002C329C" w:rsidRPr="00605041" w:rsidRDefault="002C329C" w:rsidP="00614A1C">
            <w:pPr>
              <w:autoSpaceDE w:val="0"/>
              <w:autoSpaceDN w:val="0"/>
              <w:adjustRightInd w:val="0"/>
              <w:spacing w:before="120" w:after="40"/>
              <w:rPr>
                <w:rFonts w:ascii="Arial Narrow" w:hAnsi="Arial Narrow" w:cs="Tahoma"/>
                <w:color w:val="000000"/>
                <w:sz w:val="20"/>
              </w:rPr>
            </w:pPr>
            <w:r w:rsidRPr="00605041">
              <w:rPr>
                <w:rFonts w:ascii="Arial Narrow" w:hAnsi="Arial Narrow" w:cs="Tahoma"/>
                <w:b/>
                <w:bCs/>
                <w:color w:val="000000"/>
                <w:sz w:val="20"/>
              </w:rPr>
              <w:t xml:space="preserve">Fee: </w:t>
            </w:r>
            <w:r w:rsidRPr="00605041">
              <w:rPr>
                <w:rFonts w:ascii="Arial Narrow" w:hAnsi="Arial Narrow" w:cs="Tahoma"/>
                <w:color w:val="000000"/>
                <w:sz w:val="20"/>
              </w:rPr>
              <w:t>$</w:t>
            </w:r>
            <w:r>
              <w:rPr>
                <w:rFonts w:ascii="Arial Narrow" w:hAnsi="Arial Narrow" w:cs="Tahoma"/>
                <w:color w:val="000000"/>
                <w:sz w:val="20"/>
              </w:rPr>
              <w:t>397</w:t>
            </w:r>
            <w:r w:rsidRPr="00605041">
              <w:rPr>
                <w:rFonts w:ascii="Arial Narrow" w:hAnsi="Arial Narrow" w:cs="Tahoma"/>
                <w:color w:val="000000"/>
                <w:sz w:val="20"/>
              </w:rPr>
              <w:t>.</w:t>
            </w:r>
            <w:r>
              <w:rPr>
                <w:rFonts w:ascii="Arial Narrow" w:hAnsi="Arial Narrow" w:cs="Tahoma"/>
                <w:color w:val="000000"/>
                <w:sz w:val="20"/>
              </w:rPr>
              <w:t>35;</w:t>
            </w:r>
            <w:r w:rsidRPr="00605041">
              <w:rPr>
                <w:rFonts w:ascii="Arial Narrow" w:hAnsi="Arial Narrow" w:cs="Tahoma"/>
                <w:color w:val="000000"/>
                <w:sz w:val="20"/>
              </w:rPr>
              <w:t xml:space="preserve"> </w:t>
            </w:r>
            <w:r w:rsidRPr="00605041">
              <w:rPr>
                <w:rFonts w:ascii="Arial Narrow" w:hAnsi="Arial Narrow" w:cs="Tahoma"/>
                <w:b/>
                <w:bCs/>
                <w:color w:val="000000"/>
                <w:sz w:val="20"/>
              </w:rPr>
              <w:t xml:space="preserve">Benefit: </w:t>
            </w:r>
            <w:r w:rsidRPr="00605041">
              <w:rPr>
                <w:rFonts w:ascii="Arial Narrow" w:hAnsi="Arial Narrow" w:cs="Tahoma"/>
                <w:color w:val="000000"/>
                <w:sz w:val="20"/>
              </w:rPr>
              <w:t>75% = $</w:t>
            </w:r>
            <w:r>
              <w:rPr>
                <w:rFonts w:ascii="Arial Narrow" w:hAnsi="Arial Narrow" w:cs="Tahoma"/>
                <w:color w:val="000000"/>
                <w:sz w:val="20"/>
              </w:rPr>
              <w:t>298</w:t>
            </w:r>
            <w:r w:rsidRPr="00605041">
              <w:rPr>
                <w:rFonts w:ascii="Arial Narrow" w:hAnsi="Arial Narrow" w:cs="Tahoma"/>
                <w:color w:val="000000"/>
                <w:sz w:val="20"/>
              </w:rPr>
              <w:t>.0</w:t>
            </w:r>
            <w:r>
              <w:rPr>
                <w:rFonts w:ascii="Arial Narrow" w:hAnsi="Arial Narrow" w:cs="Tahoma"/>
                <w:color w:val="000000"/>
                <w:sz w:val="20"/>
              </w:rPr>
              <w:t>5,</w:t>
            </w:r>
            <w:r w:rsidRPr="00605041">
              <w:rPr>
                <w:rFonts w:ascii="Arial Narrow" w:hAnsi="Arial Narrow" w:cs="Tahoma"/>
                <w:color w:val="000000"/>
                <w:sz w:val="20"/>
              </w:rPr>
              <w:t xml:space="preserve"> 85% = $3</w:t>
            </w:r>
            <w:r>
              <w:rPr>
                <w:rFonts w:ascii="Arial Narrow" w:hAnsi="Arial Narrow" w:cs="Tahoma"/>
                <w:color w:val="000000"/>
                <w:sz w:val="20"/>
              </w:rPr>
              <w:t>37</w:t>
            </w:r>
            <w:r w:rsidRPr="00605041">
              <w:rPr>
                <w:rFonts w:ascii="Arial Narrow" w:hAnsi="Arial Narrow" w:cs="Tahoma"/>
                <w:color w:val="000000"/>
                <w:sz w:val="20"/>
              </w:rPr>
              <w:t>.</w:t>
            </w:r>
            <w:r>
              <w:rPr>
                <w:rFonts w:ascii="Arial Narrow" w:hAnsi="Arial Narrow" w:cs="Tahoma"/>
                <w:color w:val="000000"/>
                <w:sz w:val="20"/>
              </w:rPr>
              <w:t>75</w:t>
            </w:r>
          </w:p>
        </w:tc>
      </w:tr>
      <w:tr w:rsidR="002C329C" w:rsidRPr="003D03F1">
        <w:tc>
          <w:tcPr>
            <w:tcW w:w="8992" w:type="dxa"/>
            <w:shd w:val="clear" w:color="auto" w:fill="000000" w:themeFill="text1"/>
          </w:tcPr>
          <w:p w:rsidR="002C329C" w:rsidRPr="003D03F1" w:rsidRDefault="002C329C" w:rsidP="00614A1C">
            <w:pPr>
              <w:pStyle w:val="BodyText"/>
              <w:keepNext/>
              <w:spacing w:before="40" w:after="40" w:line="240" w:lineRule="auto"/>
              <w:rPr>
                <w:rFonts w:ascii="Arial Narrow" w:hAnsi="Arial Narrow"/>
                <w:b/>
                <w:color w:val="FFFFFF" w:themeColor="background1"/>
                <w:sz w:val="20"/>
                <w:szCs w:val="20"/>
              </w:rPr>
            </w:pPr>
            <w:r w:rsidRPr="003D03F1">
              <w:rPr>
                <w:rFonts w:ascii="Arial Narrow" w:hAnsi="Arial Narrow"/>
                <w:b/>
                <w:color w:val="FFFFFF" w:themeColor="background1"/>
                <w:sz w:val="20"/>
                <w:szCs w:val="20"/>
              </w:rPr>
              <w:t xml:space="preserve">Proposed MBS item descriptor for EGFR mutation testing for access to </w:t>
            </w:r>
            <w:r>
              <w:rPr>
                <w:rFonts w:ascii="Arial Narrow" w:hAnsi="Arial Narrow"/>
                <w:b/>
                <w:color w:val="FFFFFF" w:themeColor="background1"/>
                <w:sz w:val="20"/>
                <w:szCs w:val="20"/>
              </w:rPr>
              <w:t xml:space="preserve">first-line </w:t>
            </w:r>
            <w:r w:rsidRPr="003D03F1">
              <w:rPr>
                <w:rFonts w:ascii="Arial Narrow" w:hAnsi="Arial Narrow"/>
                <w:b/>
                <w:color w:val="FFFFFF" w:themeColor="background1"/>
                <w:sz w:val="20"/>
                <w:szCs w:val="20"/>
              </w:rPr>
              <w:t>gefitinib</w:t>
            </w:r>
          </w:p>
        </w:tc>
      </w:tr>
      <w:tr w:rsidR="002C329C">
        <w:tc>
          <w:tcPr>
            <w:tcW w:w="8992" w:type="dxa"/>
          </w:tcPr>
          <w:p w:rsidR="002C329C" w:rsidRPr="00605041" w:rsidRDefault="002C329C" w:rsidP="00614A1C">
            <w:pPr>
              <w:pStyle w:val="BodyText"/>
              <w:spacing w:before="40" w:after="120" w:line="240" w:lineRule="auto"/>
              <w:rPr>
                <w:rFonts w:ascii="Arial Narrow" w:hAnsi="Arial Narrow"/>
                <w:b/>
                <w:sz w:val="20"/>
                <w:szCs w:val="20"/>
                <w:lang w:eastAsia="en-GB"/>
              </w:rPr>
            </w:pPr>
            <w:r w:rsidRPr="00605041">
              <w:rPr>
                <w:rFonts w:ascii="Arial Narrow" w:hAnsi="Arial Narrow"/>
                <w:b/>
                <w:sz w:val="20"/>
                <w:szCs w:val="20"/>
                <w:lang w:eastAsia="en-GB"/>
              </w:rPr>
              <w:t>73328</w:t>
            </w:r>
          </w:p>
          <w:p w:rsidR="002C329C" w:rsidRPr="00273C82" w:rsidRDefault="002C329C" w:rsidP="00614A1C">
            <w:pPr>
              <w:pStyle w:val="BodyText"/>
              <w:spacing w:before="120" w:after="120" w:line="240" w:lineRule="auto"/>
              <w:jc w:val="both"/>
              <w:rPr>
                <w:rFonts w:ascii="Arial Narrow" w:hAnsi="Arial Narrow"/>
                <w:sz w:val="20"/>
                <w:szCs w:val="20"/>
                <w:lang w:eastAsia="en-GB"/>
              </w:rPr>
            </w:pPr>
            <w:r w:rsidRPr="00125661">
              <w:rPr>
                <w:rFonts w:ascii="Arial Narrow" w:hAnsi="Arial Narrow"/>
                <w:sz w:val="20"/>
                <w:szCs w:val="20"/>
                <w:lang w:eastAsia="en-GB"/>
              </w:rPr>
              <w:t>A test of tumour tissue from a patient with diagnosed non-squamous</w:t>
            </w:r>
            <w:r w:rsidRPr="00125661">
              <w:rPr>
                <w:rFonts w:ascii="Arial Narrow" w:hAnsi="Arial Narrow"/>
                <w:sz w:val="20"/>
                <w:szCs w:val="20"/>
                <w:vertAlign w:val="superscript"/>
                <w:lang w:eastAsia="en-GB"/>
              </w:rPr>
              <w:t>†</w:t>
            </w:r>
            <w:r w:rsidRPr="00125661">
              <w:rPr>
                <w:rFonts w:ascii="Arial Narrow" w:hAnsi="Arial Narrow"/>
                <w:sz w:val="20"/>
                <w:szCs w:val="20"/>
                <w:lang w:eastAsia="en-GB"/>
              </w:rPr>
              <w:t xml:space="preserve"> non-small cell lung cancer to determine if the requirements relating to epidermal growth factor receptor (EGFR) gene status for access to gefitinib under the Pharmaceutical Benefits Scheme (PBS) are fulfilled.</w:t>
            </w:r>
          </w:p>
          <w:p w:rsidR="002C329C" w:rsidRPr="00125661" w:rsidRDefault="002C329C" w:rsidP="00614A1C">
            <w:pPr>
              <w:pStyle w:val="BodyText"/>
              <w:spacing w:before="120" w:after="40" w:line="240" w:lineRule="auto"/>
              <w:jc w:val="both"/>
              <w:rPr>
                <w:rFonts w:ascii="Arial Narrow" w:hAnsi="Arial Narrow"/>
                <w:sz w:val="20"/>
                <w:szCs w:val="20"/>
                <w:lang w:eastAsia="en-GB"/>
              </w:rPr>
            </w:pPr>
            <w:r w:rsidRPr="00125661">
              <w:rPr>
                <w:rFonts w:ascii="Arial Narrow" w:hAnsi="Arial Narrow" w:cs="Tahoma"/>
                <w:b/>
                <w:bCs/>
                <w:snapToGrid w:val="0"/>
                <w:color w:val="000000"/>
                <w:sz w:val="20"/>
                <w:szCs w:val="18"/>
                <w:lang w:eastAsia="en-AU"/>
              </w:rPr>
              <w:t xml:space="preserve">Fee: </w:t>
            </w:r>
            <w:r w:rsidRPr="00125661">
              <w:rPr>
                <w:rFonts w:ascii="Arial Narrow" w:hAnsi="Arial Narrow" w:cs="Tahoma"/>
                <w:snapToGrid w:val="0"/>
                <w:color w:val="000000"/>
                <w:sz w:val="20"/>
                <w:szCs w:val="18"/>
                <w:lang w:eastAsia="en-AU"/>
              </w:rPr>
              <w:t>$397.35</w:t>
            </w:r>
            <w:r>
              <w:rPr>
                <w:rFonts w:ascii="Arial Narrow" w:hAnsi="Arial Narrow" w:cs="Tahoma"/>
                <w:snapToGrid w:val="0"/>
                <w:color w:val="000000"/>
                <w:sz w:val="20"/>
                <w:szCs w:val="18"/>
                <w:lang w:eastAsia="en-AU"/>
              </w:rPr>
              <w:t>;</w:t>
            </w:r>
            <w:r w:rsidRPr="00125661">
              <w:rPr>
                <w:rFonts w:ascii="Arial Narrow" w:hAnsi="Arial Narrow" w:cs="Tahoma"/>
                <w:snapToGrid w:val="0"/>
                <w:color w:val="000000"/>
                <w:sz w:val="20"/>
                <w:szCs w:val="18"/>
                <w:lang w:eastAsia="en-AU"/>
              </w:rPr>
              <w:t xml:space="preserve"> </w:t>
            </w:r>
            <w:r w:rsidRPr="00125661">
              <w:rPr>
                <w:rFonts w:ascii="Arial Narrow" w:hAnsi="Arial Narrow" w:cs="Tahoma"/>
                <w:b/>
                <w:bCs/>
                <w:snapToGrid w:val="0"/>
                <w:color w:val="000000"/>
                <w:sz w:val="20"/>
                <w:szCs w:val="18"/>
                <w:lang w:eastAsia="en-AU"/>
              </w:rPr>
              <w:t xml:space="preserve">Benefit: </w:t>
            </w:r>
            <w:r w:rsidRPr="00125661">
              <w:rPr>
                <w:rFonts w:ascii="Arial Narrow" w:hAnsi="Arial Narrow" w:cs="Tahoma"/>
                <w:snapToGrid w:val="0"/>
                <w:color w:val="000000"/>
                <w:sz w:val="20"/>
                <w:szCs w:val="18"/>
                <w:lang w:eastAsia="en-AU"/>
              </w:rPr>
              <w:t>75% = $298.05</w:t>
            </w:r>
            <w:r>
              <w:rPr>
                <w:rFonts w:ascii="Arial Narrow" w:hAnsi="Arial Narrow" w:cs="Tahoma"/>
                <w:snapToGrid w:val="0"/>
                <w:color w:val="000000"/>
                <w:sz w:val="20"/>
                <w:szCs w:val="18"/>
                <w:lang w:eastAsia="en-AU"/>
              </w:rPr>
              <w:t>,</w:t>
            </w:r>
            <w:r w:rsidRPr="00125661">
              <w:rPr>
                <w:rFonts w:ascii="Arial Narrow" w:hAnsi="Arial Narrow" w:cs="Tahoma"/>
                <w:snapToGrid w:val="0"/>
                <w:color w:val="000000"/>
                <w:sz w:val="20"/>
                <w:szCs w:val="18"/>
                <w:lang w:eastAsia="en-AU"/>
              </w:rPr>
              <w:t xml:space="preserve"> 85% = $337.75</w:t>
            </w:r>
          </w:p>
        </w:tc>
      </w:tr>
    </w:tbl>
    <w:p w:rsidR="002C329C" w:rsidRDefault="002C329C" w:rsidP="002C329C">
      <w:pPr>
        <w:spacing w:before="40" w:after="40"/>
        <w:ind w:left="425"/>
        <w:rPr>
          <w:rFonts w:ascii="Arial Narrow" w:hAnsi="Arial Narrow"/>
          <w:sz w:val="20"/>
          <w:lang w:eastAsia="en-US"/>
        </w:rPr>
      </w:pPr>
      <w:r w:rsidRPr="00125661">
        <w:rPr>
          <w:rFonts w:ascii="Arial Narrow" w:hAnsi="Arial Narrow"/>
          <w:sz w:val="20"/>
          <w:vertAlign w:val="superscript"/>
          <w:lang w:eastAsia="en-US"/>
        </w:rPr>
        <w:t>†</w:t>
      </w:r>
      <w:r w:rsidRPr="00125661">
        <w:rPr>
          <w:rFonts w:ascii="Arial Narrow" w:hAnsi="Arial Narrow"/>
          <w:sz w:val="20"/>
          <w:lang w:eastAsia="en-US"/>
        </w:rPr>
        <w:t xml:space="preserve"> The pathological classification of ‘non-squamous’ may be expanded to ‘non-squamous or not otherwise specified (NOS)’ to permit all patients, including those whose tumour is not unequivocally squamous, equitable access to the test under this item. The sponsor defers to MSAC expertise in this matter.</w:t>
      </w:r>
    </w:p>
    <w:p w:rsidR="002C329C" w:rsidRPr="00273C82" w:rsidRDefault="002C329C" w:rsidP="002C329C">
      <w:pPr>
        <w:spacing w:after="240"/>
        <w:ind w:left="426"/>
        <w:rPr>
          <w:rFonts w:ascii="Arial Narrow" w:hAnsi="Arial Narrow"/>
          <w:sz w:val="20"/>
          <w:lang w:eastAsia="en-GB"/>
        </w:rPr>
      </w:pPr>
      <w:r w:rsidRPr="00273C82">
        <w:rPr>
          <w:rFonts w:ascii="Arial Narrow" w:hAnsi="Arial Narrow"/>
          <w:sz w:val="20"/>
          <w:lang w:eastAsia="en-US"/>
        </w:rPr>
        <w:t xml:space="preserve">Source: </w:t>
      </w:r>
      <w:hyperlink r:id="rId10" w:tooltip="This link goes to the Medicare Benefits Schedule - Item 73328 website" w:history="1">
        <w:r w:rsidRPr="00273C82">
          <w:rPr>
            <w:rFonts w:ascii="Arial Narrow" w:hAnsi="Arial Narrow"/>
            <w:color w:val="0000FF"/>
            <w:sz w:val="20"/>
            <w:u w:val="single"/>
            <w:lang w:eastAsia="en-US"/>
          </w:rPr>
          <w:t>http://www9.health.gov.au//mbs/fullDisplay.cfm?type=item&amp;q=73328&amp;qt=item&amp;criteria=73328</w:t>
        </w:r>
      </w:hyperlink>
      <w:r w:rsidRPr="00273C82">
        <w:rPr>
          <w:rFonts w:ascii="Arial Narrow" w:hAnsi="Arial Narrow"/>
          <w:sz w:val="20"/>
          <w:lang w:eastAsia="en-US"/>
        </w:rPr>
        <w:t>, and Table 1 of minor resubmission</w:t>
      </w:r>
      <w:r w:rsidR="0052477F">
        <w:rPr>
          <w:rFonts w:ascii="Arial Narrow" w:hAnsi="Arial Narrow"/>
          <w:sz w:val="20"/>
          <w:lang w:eastAsia="en-US"/>
        </w:rPr>
        <w:t xml:space="preserve"> to MSAC</w:t>
      </w:r>
    </w:p>
    <w:p w:rsidR="002C329C" w:rsidRPr="00536E93" w:rsidRDefault="002C329C" w:rsidP="00674590">
      <w:pPr>
        <w:rPr>
          <w:snapToGrid w:val="0"/>
          <w:szCs w:val="24"/>
        </w:rPr>
      </w:pPr>
      <w:r w:rsidRPr="00536E93">
        <w:rPr>
          <w:snapToGrid w:val="0"/>
          <w:szCs w:val="24"/>
        </w:rPr>
        <w:t>Under the proposed MBS item descriptor, EGFR mutation testing would be restricted to patients with non-squamous NSCLC</w:t>
      </w:r>
      <w:r w:rsidR="00913665">
        <w:rPr>
          <w:snapToGrid w:val="0"/>
          <w:szCs w:val="24"/>
        </w:rPr>
        <w:t xml:space="preserve"> (and possibly also </w:t>
      </w:r>
      <w:r w:rsidR="00913665" w:rsidRPr="00913665">
        <w:rPr>
          <w:snapToGrid w:val="0"/>
          <w:szCs w:val="24"/>
        </w:rPr>
        <w:t>not otherwise specified</w:t>
      </w:r>
      <w:r w:rsidR="00913665">
        <w:rPr>
          <w:snapToGrid w:val="0"/>
          <w:szCs w:val="24"/>
        </w:rPr>
        <w:t xml:space="preserve"> NSCLC)</w:t>
      </w:r>
      <w:r w:rsidRPr="00536E93">
        <w:rPr>
          <w:snapToGrid w:val="0"/>
          <w:szCs w:val="24"/>
        </w:rPr>
        <w:t>. Patients with squamous NSCLC would not be eligible for testing.</w:t>
      </w:r>
    </w:p>
    <w:p w:rsidR="00674590" w:rsidRDefault="00674590" w:rsidP="00674590">
      <w:pPr>
        <w:rPr>
          <w:snapToGrid w:val="0"/>
          <w:szCs w:val="24"/>
        </w:rPr>
      </w:pPr>
    </w:p>
    <w:p w:rsidR="002C329C" w:rsidRDefault="002C329C" w:rsidP="00674590">
      <w:pPr>
        <w:rPr>
          <w:snapToGrid w:val="0"/>
          <w:szCs w:val="24"/>
        </w:rPr>
      </w:pPr>
      <w:r w:rsidRPr="00536E93">
        <w:rPr>
          <w:snapToGrid w:val="0"/>
          <w:szCs w:val="24"/>
        </w:rPr>
        <w:t xml:space="preserve">The applicant’s proposed PBS restrictions for gefitinib for consideration at the July 2013 PBAC meeting </w:t>
      </w:r>
      <w:r w:rsidR="00913665">
        <w:rPr>
          <w:snapToGrid w:val="0"/>
          <w:szCs w:val="24"/>
        </w:rPr>
        <w:t xml:space="preserve">are </w:t>
      </w:r>
      <w:r w:rsidR="0009458B">
        <w:rPr>
          <w:snapToGrid w:val="0"/>
          <w:szCs w:val="24"/>
        </w:rPr>
        <w:t>as</w:t>
      </w:r>
      <w:r w:rsidR="00913665">
        <w:rPr>
          <w:snapToGrid w:val="0"/>
          <w:szCs w:val="24"/>
        </w:rPr>
        <w:t xml:space="preserve"> follows</w:t>
      </w:r>
      <w:r w:rsidR="006A751A">
        <w:rPr>
          <w:snapToGrid w:val="0"/>
          <w:szCs w:val="24"/>
        </w:rPr>
        <w:t>:</w:t>
      </w:r>
    </w:p>
    <w:p w:rsidR="0009458B" w:rsidRPr="00536E93" w:rsidRDefault="0009458B" w:rsidP="00674590">
      <w:pPr>
        <w:rPr>
          <w:snapToGrid w:val="0"/>
          <w:szCs w:val="24"/>
        </w:rPr>
      </w:pPr>
    </w:p>
    <w:p w:rsidR="002C329C" w:rsidRPr="00536E93" w:rsidRDefault="002C329C" w:rsidP="00EE26B4">
      <w:pPr>
        <w:ind w:right="573"/>
        <w:rPr>
          <w:snapToGrid w:val="0"/>
          <w:szCs w:val="24"/>
          <w:u w:val="single"/>
        </w:rPr>
      </w:pPr>
      <w:r w:rsidRPr="00536E93">
        <w:rPr>
          <w:snapToGrid w:val="0"/>
          <w:szCs w:val="24"/>
          <w:u w:val="single"/>
        </w:rPr>
        <w:t>Authority Required</w:t>
      </w:r>
    </w:p>
    <w:p w:rsidR="002C329C" w:rsidRPr="00536E93" w:rsidRDefault="002C329C" w:rsidP="00EE26B4">
      <w:pPr>
        <w:ind w:right="573"/>
        <w:rPr>
          <w:snapToGrid w:val="0"/>
          <w:szCs w:val="24"/>
        </w:rPr>
      </w:pPr>
      <w:r w:rsidRPr="00536E93">
        <w:rPr>
          <w:snapToGrid w:val="0"/>
          <w:szCs w:val="24"/>
        </w:rPr>
        <w:t xml:space="preserve">Initial PBS-subsidised treatment, as monotherapy, of locally advanced or metastatic (Stage </w:t>
      </w:r>
      <w:proofErr w:type="spellStart"/>
      <w:r w:rsidRPr="00536E93">
        <w:rPr>
          <w:snapToGrid w:val="0"/>
          <w:szCs w:val="24"/>
        </w:rPr>
        <w:t>IIIb</w:t>
      </w:r>
      <w:proofErr w:type="spellEnd"/>
      <w:r w:rsidRPr="00536E93">
        <w:rPr>
          <w:snapToGrid w:val="0"/>
          <w:szCs w:val="24"/>
        </w:rPr>
        <w:t xml:space="preserve">/ IV) non-small cell lung cancer (NSCLC) in patients with: </w:t>
      </w:r>
    </w:p>
    <w:p w:rsidR="002C329C" w:rsidRPr="00536E93" w:rsidRDefault="002C329C" w:rsidP="008F38C7">
      <w:pPr>
        <w:ind w:left="567" w:right="573" w:hanging="567"/>
        <w:rPr>
          <w:snapToGrid w:val="0"/>
          <w:szCs w:val="24"/>
        </w:rPr>
      </w:pPr>
      <w:r w:rsidRPr="00536E93">
        <w:rPr>
          <w:snapToGrid w:val="0"/>
          <w:szCs w:val="24"/>
        </w:rPr>
        <w:t>(1)</w:t>
      </w:r>
      <w:r w:rsidRPr="00536E93">
        <w:rPr>
          <w:snapToGrid w:val="0"/>
          <w:szCs w:val="24"/>
        </w:rPr>
        <w:tab/>
      </w:r>
      <w:proofErr w:type="gramStart"/>
      <w:r w:rsidRPr="00536E93">
        <w:rPr>
          <w:snapToGrid w:val="0"/>
          <w:szCs w:val="24"/>
        </w:rPr>
        <w:t>a</w:t>
      </w:r>
      <w:proofErr w:type="gramEnd"/>
      <w:r w:rsidRPr="00536E93">
        <w:rPr>
          <w:snapToGrid w:val="0"/>
          <w:szCs w:val="24"/>
        </w:rPr>
        <w:t xml:space="preserve"> WHO performance status of 2 or less and</w:t>
      </w:r>
    </w:p>
    <w:p w:rsidR="002C329C" w:rsidRPr="00536E93" w:rsidRDefault="002C329C" w:rsidP="008F38C7">
      <w:pPr>
        <w:ind w:left="567" w:right="573" w:hanging="567"/>
        <w:rPr>
          <w:snapToGrid w:val="0"/>
          <w:szCs w:val="24"/>
        </w:rPr>
      </w:pPr>
      <w:r w:rsidRPr="00536E93">
        <w:rPr>
          <w:snapToGrid w:val="0"/>
          <w:szCs w:val="24"/>
        </w:rPr>
        <w:t>(2)</w:t>
      </w:r>
      <w:r w:rsidRPr="00536E93">
        <w:rPr>
          <w:snapToGrid w:val="0"/>
          <w:szCs w:val="24"/>
        </w:rPr>
        <w:tab/>
      </w:r>
      <w:proofErr w:type="gramStart"/>
      <w:r w:rsidRPr="00536E93">
        <w:rPr>
          <w:snapToGrid w:val="0"/>
          <w:szCs w:val="24"/>
        </w:rPr>
        <w:t>a</w:t>
      </w:r>
      <w:proofErr w:type="gramEnd"/>
      <w:r w:rsidRPr="00536E93">
        <w:rPr>
          <w:snapToGrid w:val="0"/>
          <w:szCs w:val="24"/>
        </w:rPr>
        <w:t xml:space="preserve"> diag</w:t>
      </w:r>
      <w:r w:rsidR="00913665">
        <w:rPr>
          <w:snapToGrid w:val="0"/>
          <w:szCs w:val="24"/>
        </w:rPr>
        <w:t>nosis of non-squamous NSCLC and</w:t>
      </w:r>
    </w:p>
    <w:p w:rsidR="002C329C" w:rsidRPr="00536E93" w:rsidRDefault="002C329C" w:rsidP="008F38C7">
      <w:pPr>
        <w:ind w:left="567" w:right="573" w:hanging="567"/>
        <w:rPr>
          <w:snapToGrid w:val="0"/>
          <w:szCs w:val="24"/>
        </w:rPr>
      </w:pPr>
      <w:r w:rsidRPr="00536E93">
        <w:rPr>
          <w:snapToGrid w:val="0"/>
          <w:szCs w:val="24"/>
        </w:rPr>
        <w:t>(3)</w:t>
      </w:r>
      <w:r w:rsidRPr="00536E93">
        <w:rPr>
          <w:snapToGrid w:val="0"/>
          <w:szCs w:val="24"/>
        </w:rPr>
        <w:tab/>
      </w:r>
      <w:proofErr w:type="gramStart"/>
      <w:r w:rsidRPr="00536E93">
        <w:rPr>
          <w:snapToGrid w:val="0"/>
          <w:szCs w:val="24"/>
        </w:rPr>
        <w:t>where</w:t>
      </w:r>
      <w:proofErr w:type="gramEnd"/>
      <w:r w:rsidRPr="00536E93">
        <w:rPr>
          <w:snapToGrid w:val="0"/>
          <w:szCs w:val="24"/>
        </w:rPr>
        <w:t xml:space="preserve"> there is evidence that tumour material harbours an activating mutation(s) of the epidermal growth factor receptor (EGFR) gene known to confer sensitivity to treatment with EGFR tyr</w:t>
      </w:r>
      <w:r w:rsidR="00913665">
        <w:rPr>
          <w:snapToGrid w:val="0"/>
          <w:szCs w:val="24"/>
        </w:rPr>
        <w:t>osine kinase inhibitors (TKIs).</w:t>
      </w:r>
    </w:p>
    <w:p w:rsidR="007363C5" w:rsidRDefault="007363C5" w:rsidP="00EE26B4">
      <w:pPr>
        <w:ind w:right="573"/>
        <w:rPr>
          <w:snapToGrid w:val="0"/>
          <w:szCs w:val="24"/>
          <w:u w:val="single"/>
        </w:rPr>
      </w:pPr>
    </w:p>
    <w:p w:rsidR="002C329C" w:rsidRPr="00536E93" w:rsidRDefault="002C329C" w:rsidP="00EE26B4">
      <w:pPr>
        <w:ind w:right="573"/>
        <w:rPr>
          <w:snapToGrid w:val="0"/>
          <w:szCs w:val="24"/>
          <w:u w:val="single"/>
        </w:rPr>
      </w:pPr>
      <w:r w:rsidRPr="00536E93">
        <w:rPr>
          <w:snapToGrid w:val="0"/>
          <w:szCs w:val="24"/>
          <w:u w:val="single"/>
        </w:rPr>
        <w:t>Authority Required</w:t>
      </w:r>
    </w:p>
    <w:p w:rsidR="002C329C" w:rsidRPr="00536E93" w:rsidRDefault="002C329C" w:rsidP="00EE26B4">
      <w:pPr>
        <w:ind w:right="573"/>
        <w:rPr>
          <w:snapToGrid w:val="0"/>
          <w:szCs w:val="24"/>
        </w:rPr>
      </w:pPr>
      <w:r w:rsidRPr="00536E93">
        <w:rPr>
          <w:snapToGrid w:val="0"/>
          <w:szCs w:val="24"/>
        </w:rPr>
        <w:t>Continuing PBS-subsidised treatment of a patient with locally advanced or metastatic NSCLC who has previously received PBS-subsidised treatment with gefitinib and who does not have progressive disease and who remains on first-line therapy.</w:t>
      </w:r>
    </w:p>
    <w:p w:rsidR="0009458B" w:rsidRDefault="0009458B" w:rsidP="00EE26B4">
      <w:pPr>
        <w:ind w:right="4"/>
        <w:rPr>
          <w:snapToGrid w:val="0"/>
          <w:szCs w:val="24"/>
        </w:rPr>
      </w:pPr>
    </w:p>
    <w:p w:rsidR="002C329C" w:rsidRPr="00536E93" w:rsidRDefault="002C329C" w:rsidP="00EE26B4">
      <w:pPr>
        <w:ind w:right="4"/>
        <w:rPr>
          <w:snapToGrid w:val="0"/>
          <w:szCs w:val="24"/>
        </w:rPr>
      </w:pPr>
      <w:r w:rsidRPr="00536E93">
        <w:rPr>
          <w:snapToGrid w:val="0"/>
          <w:szCs w:val="24"/>
        </w:rPr>
        <w:lastRenderedPageBreak/>
        <w:t>It is the sponsor’s intent that the MBS item descriptor and PBS restriction are aligned, such that the appropriate EGFR gene mutation positive and negative patients are identified and treated expeditiously. The sponsor i</w:t>
      </w:r>
      <w:r w:rsidR="00913665">
        <w:rPr>
          <w:snapToGrid w:val="0"/>
          <w:szCs w:val="24"/>
        </w:rPr>
        <w:t>ndicated it</w:t>
      </w:r>
      <w:r w:rsidR="00FE54C2">
        <w:rPr>
          <w:snapToGrid w:val="0"/>
          <w:szCs w:val="24"/>
        </w:rPr>
        <w:t xml:space="preserve"> i</w:t>
      </w:r>
      <w:r w:rsidRPr="00536E93">
        <w:rPr>
          <w:snapToGrid w:val="0"/>
          <w:szCs w:val="24"/>
        </w:rPr>
        <w:t>s willing to work with MSAC and PBAC to ensure this consistency.</w:t>
      </w:r>
    </w:p>
    <w:p w:rsidR="0009458B" w:rsidRPr="00913665" w:rsidRDefault="0009458B" w:rsidP="00EE26B4">
      <w:pPr>
        <w:ind w:right="4"/>
        <w:rPr>
          <w:snapToGrid w:val="0"/>
          <w:szCs w:val="24"/>
        </w:rPr>
      </w:pPr>
    </w:p>
    <w:p w:rsidR="0009458B" w:rsidRPr="00536E93" w:rsidRDefault="002C329C" w:rsidP="00EE26B4">
      <w:pPr>
        <w:rPr>
          <w:snapToGrid w:val="0"/>
          <w:szCs w:val="24"/>
        </w:rPr>
      </w:pPr>
      <w:r w:rsidRPr="00536E93">
        <w:rPr>
          <w:snapToGrid w:val="0"/>
          <w:szCs w:val="24"/>
        </w:rPr>
        <w:t>MSAC</w:t>
      </w:r>
      <w:r w:rsidR="008B1F0D">
        <w:rPr>
          <w:snapToGrid w:val="0"/>
          <w:szCs w:val="24"/>
        </w:rPr>
        <w:t xml:space="preserve"> advice from the November 2012 m</w:t>
      </w:r>
      <w:r w:rsidRPr="00536E93">
        <w:rPr>
          <w:snapToGrid w:val="0"/>
          <w:szCs w:val="24"/>
        </w:rPr>
        <w:t>inutes for Application 1161 suggest</w:t>
      </w:r>
      <w:r w:rsidR="00043F4A">
        <w:rPr>
          <w:snapToGrid w:val="0"/>
          <w:szCs w:val="24"/>
        </w:rPr>
        <w:t>ed</w:t>
      </w:r>
      <w:r w:rsidRPr="00536E93">
        <w:rPr>
          <w:snapToGrid w:val="0"/>
          <w:szCs w:val="24"/>
        </w:rPr>
        <w:t xml:space="preserve"> that: </w:t>
      </w:r>
    </w:p>
    <w:p w:rsidR="002C329C" w:rsidRPr="00536E93" w:rsidRDefault="00DE3663" w:rsidP="00651B20">
      <w:pPr>
        <w:numPr>
          <w:ilvl w:val="0"/>
          <w:numId w:val="1"/>
        </w:numPr>
        <w:tabs>
          <w:tab w:val="clear" w:pos="360"/>
        </w:tabs>
        <w:ind w:left="426" w:hanging="358"/>
        <w:rPr>
          <w:szCs w:val="24"/>
        </w:rPr>
      </w:pPr>
      <w:r w:rsidRPr="00536E93">
        <w:rPr>
          <w:szCs w:val="24"/>
        </w:rPr>
        <w:t>t</w:t>
      </w:r>
      <w:r w:rsidR="002C329C" w:rsidRPr="00536E93">
        <w:rPr>
          <w:szCs w:val="24"/>
        </w:rPr>
        <w:t xml:space="preserve">he proposed MBS item descriptor should require that EGFR testing </w:t>
      </w:r>
      <w:r w:rsidR="00651B20">
        <w:rPr>
          <w:szCs w:val="24"/>
        </w:rPr>
        <w:t>be</w:t>
      </w:r>
      <w:r w:rsidR="002C329C" w:rsidRPr="00536E93">
        <w:rPr>
          <w:szCs w:val="24"/>
        </w:rPr>
        <w:t xml:space="preserve"> performed on the same specimen in the same laboratory as the prerequisite histology testing because this would optimise both confidence in pathology results and parsimonious use of the specimen</w:t>
      </w:r>
    </w:p>
    <w:p w:rsidR="002C329C" w:rsidRPr="00536E93" w:rsidRDefault="002C329C" w:rsidP="00651B20">
      <w:pPr>
        <w:numPr>
          <w:ilvl w:val="1"/>
          <w:numId w:val="1"/>
        </w:numPr>
        <w:tabs>
          <w:tab w:val="clear" w:pos="1440"/>
        </w:tabs>
        <w:ind w:left="851"/>
        <w:rPr>
          <w:szCs w:val="24"/>
        </w:rPr>
      </w:pPr>
      <w:r w:rsidRPr="00536E93">
        <w:rPr>
          <w:szCs w:val="24"/>
        </w:rPr>
        <w:t>The resubmission acknowledge</w:t>
      </w:r>
      <w:r w:rsidR="00043F4A">
        <w:rPr>
          <w:szCs w:val="24"/>
        </w:rPr>
        <w:t>d</w:t>
      </w:r>
      <w:r w:rsidRPr="00536E93">
        <w:rPr>
          <w:szCs w:val="24"/>
        </w:rPr>
        <w:t xml:space="preserve"> the possible benefits of this recommendation, however, it is sensitive to possible impacts on turnaround times associated with samples that would not be candidates for this treatment, for example those </w:t>
      </w:r>
      <w:r w:rsidR="00651B20">
        <w:rPr>
          <w:szCs w:val="24"/>
        </w:rPr>
        <w:t>associated with squamous NSCLC.</w:t>
      </w:r>
    </w:p>
    <w:p w:rsidR="002C329C" w:rsidRPr="00536E93" w:rsidRDefault="002C329C" w:rsidP="00651B20">
      <w:pPr>
        <w:numPr>
          <w:ilvl w:val="1"/>
          <w:numId w:val="1"/>
        </w:numPr>
        <w:tabs>
          <w:tab w:val="clear" w:pos="1440"/>
        </w:tabs>
        <w:ind w:left="851"/>
        <w:rPr>
          <w:szCs w:val="24"/>
        </w:rPr>
      </w:pPr>
      <w:r w:rsidRPr="00536E93">
        <w:rPr>
          <w:szCs w:val="24"/>
        </w:rPr>
        <w:t>The resubmission state</w:t>
      </w:r>
      <w:r w:rsidR="00043F4A">
        <w:rPr>
          <w:szCs w:val="24"/>
        </w:rPr>
        <w:t>d</w:t>
      </w:r>
      <w:r w:rsidRPr="00536E93">
        <w:rPr>
          <w:szCs w:val="24"/>
        </w:rPr>
        <w:t xml:space="preserve"> that: “Channelling of suspected lung cancer biopsy specimens away from localised diagnostic pathology services to the limited number of commercial molecular laboratories may create significant delays in both diagnosis and molecular test reporting. </w:t>
      </w:r>
      <w:r w:rsidR="00043F4A">
        <w:rPr>
          <w:szCs w:val="24"/>
        </w:rPr>
        <w:t>The applicant</w:t>
      </w:r>
      <w:r w:rsidRPr="00536E93">
        <w:rPr>
          <w:szCs w:val="24"/>
        </w:rPr>
        <w:t xml:space="preserve"> therefore request MSAC seek guidance via bodies such as the National Pathology Accreditation Advisory Council (NPAAC), the Royal College of Pathologists of Australasia (RCPA), Thoracic Society of Australia and New Zealand and other peak oncology organisations such as the Medical Oncology Group of Australia (MOGA) on the potential service delivery and clinical impacts o</w:t>
      </w:r>
      <w:r w:rsidR="00651B20">
        <w:rPr>
          <w:szCs w:val="24"/>
        </w:rPr>
        <w:t>f a more centralised approach.”</w:t>
      </w:r>
    </w:p>
    <w:p w:rsidR="002C329C" w:rsidRPr="00536E93" w:rsidRDefault="00DE3663" w:rsidP="00651B20">
      <w:pPr>
        <w:numPr>
          <w:ilvl w:val="0"/>
          <w:numId w:val="1"/>
        </w:numPr>
        <w:tabs>
          <w:tab w:val="clear" w:pos="360"/>
        </w:tabs>
        <w:ind w:left="426" w:hanging="358"/>
        <w:rPr>
          <w:szCs w:val="24"/>
        </w:rPr>
      </w:pPr>
      <w:proofErr w:type="gramStart"/>
      <w:r w:rsidRPr="00536E93">
        <w:rPr>
          <w:szCs w:val="24"/>
        </w:rPr>
        <w:t>t</w:t>
      </w:r>
      <w:r w:rsidR="002C329C" w:rsidRPr="00536E93">
        <w:rPr>
          <w:szCs w:val="24"/>
        </w:rPr>
        <w:t>he</w:t>
      </w:r>
      <w:proofErr w:type="gramEnd"/>
      <w:r w:rsidR="002C329C" w:rsidRPr="00536E93">
        <w:rPr>
          <w:szCs w:val="24"/>
        </w:rPr>
        <w:t xml:space="preserve"> proposed MBS item should </w:t>
      </w:r>
      <w:r w:rsidR="00651B20">
        <w:rPr>
          <w:szCs w:val="24"/>
        </w:rPr>
        <w:t xml:space="preserve">therefore </w:t>
      </w:r>
      <w:r w:rsidR="002C329C" w:rsidRPr="00536E93">
        <w:rPr>
          <w:szCs w:val="24"/>
        </w:rPr>
        <w:t>be made a pathology determinable service so that the pathologist can proceed to the second EGFR testing step as indicated by the prerequisite histology step without being interrupted to get a referral from a clinician to do so</w:t>
      </w:r>
      <w:r w:rsidR="00651B20">
        <w:rPr>
          <w:szCs w:val="24"/>
        </w:rPr>
        <w:t>.</w:t>
      </w:r>
    </w:p>
    <w:p w:rsidR="002C329C" w:rsidRPr="00536E93" w:rsidRDefault="002C329C" w:rsidP="00651B20">
      <w:pPr>
        <w:numPr>
          <w:ilvl w:val="1"/>
          <w:numId w:val="1"/>
        </w:numPr>
        <w:tabs>
          <w:tab w:val="clear" w:pos="1440"/>
        </w:tabs>
        <w:ind w:left="851"/>
        <w:rPr>
          <w:szCs w:val="24"/>
        </w:rPr>
      </w:pPr>
      <w:r w:rsidRPr="00536E93">
        <w:rPr>
          <w:szCs w:val="24"/>
        </w:rPr>
        <w:t>The resubmission agree</w:t>
      </w:r>
      <w:r w:rsidR="00043F4A">
        <w:rPr>
          <w:szCs w:val="24"/>
        </w:rPr>
        <w:t>d</w:t>
      </w:r>
      <w:r w:rsidRPr="00536E93">
        <w:rPr>
          <w:szCs w:val="24"/>
        </w:rPr>
        <w:t xml:space="preserve"> that the MBS item should be designated a pathology determinable service and states that “associated tissue pathology items shoul</w:t>
      </w:r>
      <w:r w:rsidR="002F485C">
        <w:rPr>
          <w:szCs w:val="24"/>
        </w:rPr>
        <w:t>d also be included as required”</w:t>
      </w:r>
      <w:r w:rsidRPr="00536E93">
        <w:rPr>
          <w:szCs w:val="24"/>
        </w:rPr>
        <w:t>.</w:t>
      </w:r>
    </w:p>
    <w:p w:rsidR="00043F4A" w:rsidRDefault="00043F4A" w:rsidP="00EE26B4">
      <w:pPr>
        <w:tabs>
          <w:tab w:val="left" w:pos="720"/>
          <w:tab w:val="left" w:pos="1140"/>
        </w:tabs>
        <w:rPr>
          <w:color w:val="000000"/>
          <w:szCs w:val="24"/>
          <w:u w:val="single"/>
        </w:rPr>
      </w:pPr>
    </w:p>
    <w:p w:rsidR="002C329C" w:rsidRPr="00536E93" w:rsidRDefault="002C329C" w:rsidP="00EE26B4">
      <w:pPr>
        <w:tabs>
          <w:tab w:val="left" w:pos="720"/>
          <w:tab w:val="left" w:pos="1140"/>
        </w:tabs>
        <w:rPr>
          <w:color w:val="000000"/>
          <w:szCs w:val="24"/>
          <w:u w:val="single"/>
        </w:rPr>
      </w:pPr>
      <w:r w:rsidRPr="00536E93">
        <w:rPr>
          <w:color w:val="000000"/>
          <w:szCs w:val="24"/>
          <w:u w:val="single"/>
        </w:rPr>
        <w:t xml:space="preserve">Changes to </w:t>
      </w:r>
      <w:r w:rsidR="00651B20" w:rsidRPr="00536E93">
        <w:rPr>
          <w:color w:val="000000"/>
          <w:szCs w:val="24"/>
          <w:u w:val="single"/>
        </w:rPr>
        <w:t>p</w:t>
      </w:r>
      <w:r w:rsidRPr="00536E93">
        <w:rPr>
          <w:color w:val="000000"/>
          <w:szCs w:val="24"/>
          <w:u w:val="single"/>
        </w:rPr>
        <w:t>athology services</w:t>
      </w:r>
    </w:p>
    <w:p w:rsidR="002C329C" w:rsidRPr="00536E93" w:rsidRDefault="002C329C" w:rsidP="00EE26B4">
      <w:pPr>
        <w:rPr>
          <w:snapToGrid w:val="0"/>
          <w:szCs w:val="24"/>
        </w:rPr>
      </w:pPr>
      <w:r w:rsidRPr="00536E93">
        <w:rPr>
          <w:snapToGrid w:val="0"/>
          <w:szCs w:val="24"/>
        </w:rPr>
        <w:t>MSAC</w:t>
      </w:r>
      <w:r w:rsidR="008B1F0D">
        <w:rPr>
          <w:snapToGrid w:val="0"/>
          <w:szCs w:val="24"/>
        </w:rPr>
        <w:t xml:space="preserve"> advice from the November 2012 m</w:t>
      </w:r>
      <w:r w:rsidRPr="00536E93">
        <w:rPr>
          <w:snapToGrid w:val="0"/>
          <w:szCs w:val="24"/>
        </w:rPr>
        <w:t>inutes for Application 1161 recommend</w:t>
      </w:r>
      <w:r w:rsidR="00043F4A">
        <w:rPr>
          <w:snapToGrid w:val="0"/>
          <w:szCs w:val="24"/>
        </w:rPr>
        <w:t>ed</w:t>
      </w:r>
      <w:r w:rsidRPr="00536E93">
        <w:rPr>
          <w:snapToGrid w:val="0"/>
          <w:szCs w:val="24"/>
        </w:rPr>
        <w:t xml:space="preserve"> that:</w:t>
      </w:r>
    </w:p>
    <w:p w:rsidR="002C329C" w:rsidRPr="00536E93" w:rsidRDefault="00651B20" w:rsidP="00651B20">
      <w:pPr>
        <w:numPr>
          <w:ilvl w:val="0"/>
          <w:numId w:val="1"/>
        </w:numPr>
        <w:tabs>
          <w:tab w:val="clear" w:pos="360"/>
        </w:tabs>
        <w:ind w:left="426" w:hanging="358"/>
        <w:rPr>
          <w:szCs w:val="24"/>
        </w:rPr>
      </w:pPr>
      <w:r>
        <w:rPr>
          <w:szCs w:val="24"/>
        </w:rPr>
        <w:t>p</w:t>
      </w:r>
      <w:r w:rsidR="002C329C" w:rsidRPr="00536E93">
        <w:rPr>
          <w:szCs w:val="24"/>
        </w:rPr>
        <w:t>athology practice should be optimised to ensure EGFR testing is limited to laboratories with appropriate expertise and back-up through a more centralised approach by requiring that the one laboratory performs both the histology and genetic testing on the specimen</w:t>
      </w:r>
    </w:p>
    <w:p w:rsidR="002C329C" w:rsidRPr="00536E93" w:rsidRDefault="00651B20" w:rsidP="00651B20">
      <w:pPr>
        <w:numPr>
          <w:ilvl w:val="0"/>
          <w:numId w:val="1"/>
        </w:numPr>
        <w:tabs>
          <w:tab w:val="clear" w:pos="360"/>
        </w:tabs>
        <w:ind w:left="426" w:hanging="358"/>
        <w:rPr>
          <w:szCs w:val="24"/>
        </w:rPr>
      </w:pPr>
      <w:r w:rsidRPr="00536E93">
        <w:rPr>
          <w:szCs w:val="24"/>
        </w:rPr>
        <w:t>t</w:t>
      </w:r>
      <w:r w:rsidR="002C329C" w:rsidRPr="00536E93">
        <w:rPr>
          <w:szCs w:val="24"/>
        </w:rPr>
        <w:t>his centralised approach should also be developed to facilitate the collation of data across standardised reports to the requesting oncologists on the prevalence of various types of detected EGFR mutations and the clinical basis for determining whether they predict sensitivity or resistance to subsequent TKI therapy</w:t>
      </w:r>
    </w:p>
    <w:p w:rsidR="002C329C" w:rsidRPr="00536E93" w:rsidRDefault="00651B20" w:rsidP="00651B20">
      <w:pPr>
        <w:numPr>
          <w:ilvl w:val="0"/>
          <w:numId w:val="1"/>
        </w:numPr>
        <w:tabs>
          <w:tab w:val="clear" w:pos="360"/>
        </w:tabs>
        <w:ind w:left="426" w:hanging="358"/>
        <w:rPr>
          <w:szCs w:val="24"/>
        </w:rPr>
      </w:pPr>
      <w:proofErr w:type="gramStart"/>
      <w:r w:rsidRPr="00536E93">
        <w:rPr>
          <w:szCs w:val="24"/>
        </w:rPr>
        <w:t>b</w:t>
      </w:r>
      <w:r w:rsidR="002C329C" w:rsidRPr="00536E93">
        <w:rPr>
          <w:szCs w:val="24"/>
        </w:rPr>
        <w:t>iopsy</w:t>
      </w:r>
      <w:proofErr w:type="gramEnd"/>
      <w:r w:rsidR="002C329C" w:rsidRPr="00536E93">
        <w:rPr>
          <w:szCs w:val="24"/>
        </w:rPr>
        <w:t xml:space="preserve"> sampling practice should also be optimised to obtain sufficient tumour tissue of adequate quality to obtain high rates of satisfactory specimens.</w:t>
      </w:r>
    </w:p>
    <w:p w:rsidR="007363C5" w:rsidRDefault="007363C5" w:rsidP="00EE26B4">
      <w:pPr>
        <w:rPr>
          <w:snapToGrid w:val="0"/>
          <w:szCs w:val="24"/>
        </w:rPr>
      </w:pPr>
    </w:p>
    <w:p w:rsidR="002C329C" w:rsidRPr="00536E93" w:rsidRDefault="002C329C" w:rsidP="00EE26B4">
      <w:pPr>
        <w:rPr>
          <w:snapToGrid w:val="0"/>
          <w:szCs w:val="24"/>
        </w:rPr>
      </w:pPr>
      <w:r w:rsidRPr="00536E93">
        <w:rPr>
          <w:snapToGrid w:val="0"/>
          <w:szCs w:val="24"/>
        </w:rPr>
        <w:t>The resubmission:</w:t>
      </w:r>
    </w:p>
    <w:p w:rsidR="002C329C" w:rsidRPr="00536E93" w:rsidRDefault="002C329C" w:rsidP="00651B20">
      <w:pPr>
        <w:numPr>
          <w:ilvl w:val="0"/>
          <w:numId w:val="1"/>
        </w:numPr>
        <w:tabs>
          <w:tab w:val="clear" w:pos="360"/>
        </w:tabs>
        <w:ind w:left="426" w:hanging="358"/>
        <w:rPr>
          <w:szCs w:val="24"/>
        </w:rPr>
      </w:pPr>
      <w:r w:rsidRPr="00536E93">
        <w:rPr>
          <w:szCs w:val="24"/>
        </w:rPr>
        <w:t>support</w:t>
      </w:r>
      <w:r w:rsidR="00651B20">
        <w:rPr>
          <w:szCs w:val="24"/>
        </w:rPr>
        <w:t>ed</w:t>
      </w:r>
      <w:r w:rsidRPr="00536E93">
        <w:rPr>
          <w:szCs w:val="24"/>
        </w:rPr>
        <w:t xml:space="preserve"> optimising laboratory practice via the relevant regulatory, accreditation and professional bodies;</w:t>
      </w:r>
    </w:p>
    <w:p w:rsidR="002C329C" w:rsidRPr="00536E93" w:rsidRDefault="00651B20" w:rsidP="00651B20">
      <w:pPr>
        <w:numPr>
          <w:ilvl w:val="0"/>
          <w:numId w:val="1"/>
        </w:numPr>
        <w:tabs>
          <w:tab w:val="clear" w:pos="360"/>
        </w:tabs>
        <w:ind w:left="426" w:hanging="358"/>
        <w:rPr>
          <w:szCs w:val="24"/>
        </w:rPr>
      </w:pPr>
      <w:proofErr w:type="gramStart"/>
      <w:r w:rsidRPr="00536E93">
        <w:rPr>
          <w:szCs w:val="24"/>
        </w:rPr>
        <w:t>a</w:t>
      </w:r>
      <w:r w:rsidR="002C329C" w:rsidRPr="00536E93">
        <w:rPr>
          <w:szCs w:val="24"/>
        </w:rPr>
        <w:t>cknowledge</w:t>
      </w:r>
      <w:r w:rsidR="00043F4A">
        <w:rPr>
          <w:szCs w:val="24"/>
        </w:rPr>
        <w:t>d</w:t>
      </w:r>
      <w:proofErr w:type="gramEnd"/>
      <w:r w:rsidR="002C329C" w:rsidRPr="00536E93">
        <w:rPr>
          <w:szCs w:val="24"/>
        </w:rPr>
        <w:t xml:space="preserve"> the importance of creating uniformity of reporting for molecular test results so that the results and their clinical sig</w:t>
      </w:r>
      <w:r>
        <w:rPr>
          <w:szCs w:val="24"/>
        </w:rPr>
        <w:t>nificance are readily apparent.</w:t>
      </w:r>
    </w:p>
    <w:p w:rsidR="002C329C" w:rsidRPr="00536E93" w:rsidRDefault="002C329C" w:rsidP="00651B20">
      <w:pPr>
        <w:numPr>
          <w:ilvl w:val="1"/>
          <w:numId w:val="1"/>
        </w:numPr>
        <w:tabs>
          <w:tab w:val="clear" w:pos="1440"/>
        </w:tabs>
        <w:ind w:left="851"/>
        <w:rPr>
          <w:szCs w:val="24"/>
        </w:rPr>
      </w:pPr>
      <w:r w:rsidRPr="00536E93">
        <w:rPr>
          <w:szCs w:val="24"/>
        </w:rPr>
        <w:t>However, the sponsor also suggest</w:t>
      </w:r>
      <w:r w:rsidR="00043F4A">
        <w:rPr>
          <w:szCs w:val="24"/>
        </w:rPr>
        <w:t>ed</w:t>
      </w:r>
      <w:r w:rsidRPr="00536E93">
        <w:rPr>
          <w:szCs w:val="24"/>
        </w:rPr>
        <w:t xml:space="preserve"> that </w:t>
      </w:r>
      <w:r w:rsidR="00651B20" w:rsidRPr="00536E93">
        <w:rPr>
          <w:szCs w:val="24"/>
        </w:rPr>
        <w:t>t</w:t>
      </w:r>
      <w:r w:rsidRPr="00536E93">
        <w:rPr>
          <w:szCs w:val="24"/>
        </w:rPr>
        <w:t>he Royal College of Pathology Australasia and the National Pathology Accreditation Advisory Council are best placed to manage and develop recommendations for standardisation o</w:t>
      </w:r>
      <w:r w:rsidR="00651B20">
        <w:rPr>
          <w:szCs w:val="24"/>
        </w:rPr>
        <w:t>f molecular laboratory reports.</w:t>
      </w:r>
    </w:p>
    <w:p w:rsidR="002C329C" w:rsidRDefault="00651B20" w:rsidP="00651B20">
      <w:pPr>
        <w:numPr>
          <w:ilvl w:val="0"/>
          <w:numId w:val="1"/>
        </w:numPr>
        <w:tabs>
          <w:tab w:val="clear" w:pos="360"/>
        </w:tabs>
        <w:ind w:left="426" w:hanging="358"/>
        <w:rPr>
          <w:szCs w:val="24"/>
        </w:rPr>
      </w:pPr>
      <w:proofErr w:type="gramStart"/>
      <w:r w:rsidRPr="00536E93">
        <w:rPr>
          <w:szCs w:val="24"/>
        </w:rPr>
        <w:lastRenderedPageBreak/>
        <w:t>s</w:t>
      </w:r>
      <w:r w:rsidR="002C329C" w:rsidRPr="00536E93">
        <w:rPr>
          <w:szCs w:val="24"/>
        </w:rPr>
        <w:t>tate</w:t>
      </w:r>
      <w:r w:rsidR="00043F4A">
        <w:rPr>
          <w:szCs w:val="24"/>
        </w:rPr>
        <w:t>d</w:t>
      </w:r>
      <w:proofErr w:type="gramEnd"/>
      <w:r w:rsidR="002C329C" w:rsidRPr="00536E93">
        <w:rPr>
          <w:szCs w:val="24"/>
        </w:rPr>
        <w:t xml:space="preserve"> that clinical practice around optimising sampling techniques is advancing rapidly, as discussed at the </w:t>
      </w:r>
      <w:r w:rsidR="007D2BC8">
        <w:rPr>
          <w:szCs w:val="24"/>
        </w:rPr>
        <w:t xml:space="preserve">Stakeholder </w:t>
      </w:r>
      <w:r w:rsidR="001A4732">
        <w:rPr>
          <w:szCs w:val="24"/>
        </w:rPr>
        <w:t xml:space="preserve">Meeting </w:t>
      </w:r>
      <w:r w:rsidR="002C329C" w:rsidRPr="00536E93">
        <w:rPr>
          <w:szCs w:val="24"/>
        </w:rPr>
        <w:t>October 2012</w:t>
      </w:r>
      <w:r w:rsidR="00043F4A">
        <w:rPr>
          <w:szCs w:val="24"/>
        </w:rPr>
        <w:t>.</w:t>
      </w:r>
    </w:p>
    <w:p w:rsidR="00D13814" w:rsidRPr="00536E93" w:rsidRDefault="00D13814" w:rsidP="00651B20">
      <w:pPr>
        <w:rPr>
          <w:szCs w:val="24"/>
        </w:rPr>
      </w:pPr>
    </w:p>
    <w:p w:rsidR="00426F5C" w:rsidRPr="006A1D88" w:rsidRDefault="002B4CE2" w:rsidP="00D13814">
      <w:pPr>
        <w:pStyle w:val="Heading1"/>
        <w:spacing w:before="0"/>
        <w:rPr>
          <w:rFonts w:cs="Arial"/>
          <w:szCs w:val="24"/>
        </w:rPr>
      </w:pPr>
      <w:r w:rsidRPr="006A1D88">
        <w:rPr>
          <w:rFonts w:cs="Arial"/>
          <w:szCs w:val="24"/>
        </w:rPr>
        <w:t>5.</w:t>
      </w:r>
      <w:r w:rsidRPr="006A1D88">
        <w:rPr>
          <w:rFonts w:cs="Arial"/>
          <w:szCs w:val="24"/>
        </w:rPr>
        <w:tab/>
      </w:r>
      <w:r w:rsidR="00D03BC1" w:rsidRPr="006A1D88">
        <w:rPr>
          <w:rFonts w:cs="Arial"/>
          <w:szCs w:val="24"/>
        </w:rPr>
        <w:t>Consumer Impact Statement</w:t>
      </w:r>
    </w:p>
    <w:p w:rsidR="00614A1C" w:rsidRDefault="008B1F0D" w:rsidP="00D13814">
      <w:pPr>
        <w:tabs>
          <w:tab w:val="left" w:pos="720"/>
          <w:tab w:val="left" w:pos="1140"/>
        </w:tabs>
        <w:rPr>
          <w:szCs w:val="24"/>
        </w:rPr>
      </w:pPr>
      <w:r>
        <w:rPr>
          <w:color w:val="000000"/>
          <w:szCs w:val="24"/>
        </w:rPr>
        <w:t>PASC received six</w:t>
      </w:r>
      <w:r w:rsidR="00614A1C" w:rsidRPr="00536E93">
        <w:rPr>
          <w:color w:val="000000"/>
          <w:szCs w:val="24"/>
        </w:rPr>
        <w:t xml:space="preserve"> responses during the public consultation period for the DAP f</w:t>
      </w:r>
      <w:r>
        <w:rPr>
          <w:color w:val="000000"/>
          <w:szCs w:val="24"/>
        </w:rPr>
        <w:t>rom three medical specialists and three</w:t>
      </w:r>
      <w:r w:rsidR="00614A1C" w:rsidRPr="00536E93">
        <w:rPr>
          <w:color w:val="000000"/>
          <w:szCs w:val="24"/>
        </w:rPr>
        <w:t xml:space="preserve"> stakeholders. The concerns </w:t>
      </w:r>
      <w:proofErr w:type="gramStart"/>
      <w:r w:rsidR="00614A1C" w:rsidRPr="00536E93">
        <w:rPr>
          <w:szCs w:val="24"/>
        </w:rPr>
        <w:t>raised</w:t>
      </w:r>
      <w:proofErr w:type="gramEnd"/>
      <w:r w:rsidR="00614A1C" w:rsidRPr="00536E93">
        <w:rPr>
          <w:color w:val="000000"/>
          <w:szCs w:val="24"/>
        </w:rPr>
        <w:t xml:space="preserve"> included: when to test, reflex testing, whom to test (squamous versus non-squamous NSCLC) and w</w:t>
      </w:r>
      <w:r w:rsidR="00614A1C" w:rsidRPr="00536E93">
        <w:rPr>
          <w:szCs w:val="24"/>
        </w:rPr>
        <w:t>hat to test (common or uncommon mu</w:t>
      </w:r>
      <w:r w:rsidR="00D13814">
        <w:rPr>
          <w:szCs w:val="24"/>
        </w:rPr>
        <w:t>tations). These issues were raised at</w:t>
      </w:r>
      <w:r w:rsidR="00614A1C" w:rsidRPr="00536E93">
        <w:rPr>
          <w:szCs w:val="24"/>
        </w:rPr>
        <w:t xml:space="preserve"> the October 2012 </w:t>
      </w:r>
      <w:r w:rsidR="00D13814">
        <w:rPr>
          <w:szCs w:val="24"/>
        </w:rPr>
        <w:t>MSAC/PBAC</w:t>
      </w:r>
      <w:r w:rsidR="00614A1C" w:rsidRPr="00536E93">
        <w:rPr>
          <w:szCs w:val="24"/>
        </w:rPr>
        <w:t xml:space="preserve"> </w:t>
      </w:r>
      <w:r w:rsidR="007D2BC8">
        <w:rPr>
          <w:szCs w:val="24"/>
        </w:rPr>
        <w:t xml:space="preserve">Stakeholder </w:t>
      </w:r>
      <w:r w:rsidR="001A4732">
        <w:rPr>
          <w:szCs w:val="24"/>
        </w:rPr>
        <w:t xml:space="preserve">Meeting </w:t>
      </w:r>
      <w:r w:rsidR="00D13814">
        <w:rPr>
          <w:szCs w:val="24"/>
        </w:rPr>
        <w:t>on EGFR mutation testing, and at</w:t>
      </w:r>
      <w:r w:rsidR="00614A1C" w:rsidRPr="00536E93">
        <w:rPr>
          <w:szCs w:val="24"/>
        </w:rPr>
        <w:t xml:space="preserve"> the November 2012 MSAC meeting </w:t>
      </w:r>
      <w:r w:rsidR="00D13814">
        <w:rPr>
          <w:szCs w:val="24"/>
        </w:rPr>
        <w:t>discussion of</w:t>
      </w:r>
      <w:r w:rsidR="00614A1C" w:rsidRPr="00536E93">
        <w:rPr>
          <w:szCs w:val="24"/>
        </w:rPr>
        <w:t xml:space="preserve"> Application 1161 (EGFR mutation testing for first-line treatment with gefitinib). Concerns were also raised about the need for duplicate testing of specimens and the true cost of EGFR mutation testing being in excess of $400 per test.</w:t>
      </w:r>
    </w:p>
    <w:p w:rsidR="00D13814" w:rsidRPr="00536E93" w:rsidRDefault="00D13814" w:rsidP="00D13814">
      <w:pPr>
        <w:tabs>
          <w:tab w:val="left" w:pos="720"/>
          <w:tab w:val="left" w:pos="1140"/>
        </w:tabs>
        <w:rPr>
          <w:szCs w:val="24"/>
        </w:rPr>
      </w:pPr>
    </w:p>
    <w:p w:rsidR="003D0F7D" w:rsidRPr="006A1D88" w:rsidRDefault="002B4CE2" w:rsidP="00D13814">
      <w:pPr>
        <w:pStyle w:val="Heading1"/>
        <w:spacing w:before="0"/>
        <w:rPr>
          <w:rFonts w:cs="Arial"/>
          <w:szCs w:val="24"/>
        </w:rPr>
      </w:pPr>
      <w:r w:rsidRPr="006A1D88">
        <w:rPr>
          <w:rFonts w:cs="Arial"/>
          <w:szCs w:val="24"/>
        </w:rPr>
        <w:t>6.</w:t>
      </w:r>
      <w:r w:rsidRPr="006A1D88">
        <w:rPr>
          <w:rFonts w:cs="Arial"/>
          <w:szCs w:val="24"/>
        </w:rPr>
        <w:tab/>
      </w:r>
      <w:r w:rsidR="004E6F63" w:rsidRPr="006A1D88">
        <w:rPr>
          <w:rFonts w:cs="Arial"/>
          <w:szCs w:val="24"/>
        </w:rPr>
        <w:t>Proposed i</w:t>
      </w:r>
      <w:r w:rsidR="00422B7E" w:rsidRPr="006A1D88">
        <w:rPr>
          <w:rFonts w:cs="Arial"/>
          <w:szCs w:val="24"/>
        </w:rPr>
        <w:t>ntervention’s place in clinical management</w:t>
      </w:r>
    </w:p>
    <w:p w:rsidR="00614A1C" w:rsidRDefault="00614A1C" w:rsidP="00D13814">
      <w:pPr>
        <w:tabs>
          <w:tab w:val="left" w:pos="720"/>
          <w:tab w:val="left" w:pos="1140"/>
        </w:tabs>
        <w:rPr>
          <w:color w:val="000000"/>
          <w:szCs w:val="24"/>
        </w:rPr>
      </w:pPr>
      <w:r w:rsidRPr="00536E93">
        <w:rPr>
          <w:color w:val="000000"/>
          <w:szCs w:val="24"/>
        </w:rPr>
        <w:t>EGFR mutation testing would be used to identify a subgroup of patients with locally advanced or metastatic non-squamous NSCLC who would likely benefit from first-line treatment with gefitinib.</w:t>
      </w:r>
    </w:p>
    <w:p w:rsidR="00D01239" w:rsidRPr="00536E93" w:rsidRDefault="00D01239" w:rsidP="00D13814">
      <w:pPr>
        <w:tabs>
          <w:tab w:val="left" w:pos="720"/>
          <w:tab w:val="left" w:pos="1140"/>
        </w:tabs>
        <w:rPr>
          <w:color w:val="000000"/>
          <w:szCs w:val="24"/>
        </w:rPr>
      </w:pPr>
    </w:p>
    <w:p w:rsidR="00614A1C" w:rsidRPr="005547F9" w:rsidRDefault="00614A1C" w:rsidP="00D13814">
      <w:pPr>
        <w:tabs>
          <w:tab w:val="left" w:pos="720"/>
          <w:tab w:val="left" w:pos="1140"/>
        </w:tabs>
        <w:rPr>
          <w:color w:val="000000"/>
          <w:szCs w:val="24"/>
        </w:rPr>
      </w:pPr>
      <w:r w:rsidRPr="005547F9">
        <w:rPr>
          <w:color w:val="000000"/>
          <w:szCs w:val="24"/>
        </w:rPr>
        <w:t xml:space="preserve">EGFR mutation testing for access to first-line TKIs will result in some additional testing because currently testing should only occur in patients who have stage </w:t>
      </w:r>
      <w:proofErr w:type="spellStart"/>
      <w:r w:rsidRPr="005547F9">
        <w:rPr>
          <w:color w:val="000000"/>
          <w:szCs w:val="24"/>
        </w:rPr>
        <w:t>IIIb</w:t>
      </w:r>
      <w:proofErr w:type="spellEnd"/>
      <w:r w:rsidRPr="005547F9">
        <w:rPr>
          <w:color w:val="000000"/>
          <w:szCs w:val="24"/>
        </w:rPr>
        <w:t xml:space="preserve">/IV NSCLC so that they can access gefitinib as a second-line treatment option. However, as most people progress to advanced disease within 2 years, the number of additional tests performed will be small. Thus, the proposed intervention will mostly change the timing of the test (relative to treatment) for those patients diagnosed with an earlier stage of disease. </w:t>
      </w:r>
    </w:p>
    <w:p w:rsidR="00D01239" w:rsidRDefault="00D01239" w:rsidP="00D13814">
      <w:pPr>
        <w:tabs>
          <w:tab w:val="left" w:pos="720"/>
          <w:tab w:val="left" w:pos="1140"/>
        </w:tabs>
        <w:rPr>
          <w:color w:val="000000"/>
          <w:szCs w:val="24"/>
        </w:rPr>
      </w:pPr>
    </w:p>
    <w:p w:rsidR="00614A1C" w:rsidRPr="00536E93" w:rsidRDefault="00614A1C" w:rsidP="00D13814">
      <w:pPr>
        <w:tabs>
          <w:tab w:val="left" w:pos="720"/>
          <w:tab w:val="left" w:pos="1140"/>
        </w:tabs>
        <w:rPr>
          <w:color w:val="000000"/>
          <w:szCs w:val="24"/>
        </w:rPr>
      </w:pPr>
      <w:r w:rsidRPr="00536E93">
        <w:rPr>
          <w:color w:val="000000"/>
          <w:szCs w:val="24"/>
        </w:rPr>
        <w:t xml:space="preserve">All patients diagnosed with, or progressed to, stage </w:t>
      </w:r>
      <w:proofErr w:type="spellStart"/>
      <w:r w:rsidRPr="00536E93">
        <w:rPr>
          <w:color w:val="000000"/>
          <w:szCs w:val="24"/>
        </w:rPr>
        <w:t>IIIb</w:t>
      </w:r>
      <w:proofErr w:type="spellEnd"/>
      <w:r w:rsidRPr="00536E93">
        <w:rPr>
          <w:color w:val="000000"/>
          <w:szCs w:val="24"/>
        </w:rPr>
        <w:t xml:space="preserve">/IV NSCLC would then be treated according to the results of the EGFR mutation test. Those with an activating mutation of the </w:t>
      </w:r>
      <w:r w:rsidRPr="005547F9">
        <w:rPr>
          <w:color w:val="000000"/>
          <w:szCs w:val="24"/>
        </w:rPr>
        <w:t>EGFR g</w:t>
      </w:r>
      <w:r w:rsidRPr="00536E93">
        <w:rPr>
          <w:color w:val="000000"/>
          <w:szCs w:val="24"/>
        </w:rPr>
        <w:t xml:space="preserve">ene would </w:t>
      </w:r>
      <w:r w:rsidR="006F671D">
        <w:rPr>
          <w:color w:val="000000"/>
          <w:szCs w:val="24"/>
        </w:rPr>
        <w:t xml:space="preserve">be eligible to </w:t>
      </w:r>
      <w:r w:rsidRPr="00536E93">
        <w:rPr>
          <w:color w:val="000000"/>
          <w:szCs w:val="24"/>
        </w:rPr>
        <w:t>receive gefitinib</w:t>
      </w:r>
      <w:r w:rsidR="006F671D">
        <w:rPr>
          <w:color w:val="000000"/>
          <w:szCs w:val="24"/>
        </w:rPr>
        <w:t>,</w:t>
      </w:r>
      <w:r w:rsidRPr="00536E93">
        <w:rPr>
          <w:color w:val="000000"/>
          <w:szCs w:val="24"/>
        </w:rPr>
        <w:t xml:space="preserve"> while those who do not have an EGFR mutation would receive platinum doublet chemotherapy.</w:t>
      </w:r>
    </w:p>
    <w:p w:rsidR="005547F9" w:rsidRDefault="005547F9" w:rsidP="00D13814">
      <w:pPr>
        <w:tabs>
          <w:tab w:val="left" w:pos="720"/>
          <w:tab w:val="left" w:pos="1140"/>
        </w:tabs>
        <w:rPr>
          <w:color w:val="000000"/>
          <w:szCs w:val="24"/>
        </w:rPr>
      </w:pPr>
    </w:p>
    <w:p w:rsidR="00614A1C" w:rsidRPr="00536E93" w:rsidRDefault="00614A1C" w:rsidP="00737172">
      <w:pPr>
        <w:tabs>
          <w:tab w:val="left" w:pos="720"/>
          <w:tab w:val="left" w:pos="1140"/>
        </w:tabs>
        <w:rPr>
          <w:color w:val="000000"/>
          <w:szCs w:val="24"/>
          <w:u w:val="single"/>
        </w:rPr>
      </w:pPr>
      <w:r w:rsidRPr="00536E93">
        <w:rPr>
          <w:color w:val="000000"/>
          <w:szCs w:val="24"/>
          <w:u w:val="single"/>
        </w:rPr>
        <w:t>Preval</w:t>
      </w:r>
      <w:r w:rsidR="004278DE">
        <w:rPr>
          <w:color w:val="000000"/>
          <w:szCs w:val="24"/>
          <w:u w:val="single"/>
        </w:rPr>
        <w:t>ence of EGFR mutations in NSCLC</w:t>
      </w:r>
    </w:p>
    <w:p w:rsidR="00614A1C" w:rsidRDefault="00614A1C" w:rsidP="00737172">
      <w:pPr>
        <w:tabs>
          <w:tab w:val="left" w:pos="720"/>
          <w:tab w:val="left" w:pos="1140"/>
        </w:tabs>
        <w:rPr>
          <w:i/>
          <w:color w:val="000000"/>
          <w:szCs w:val="24"/>
        </w:rPr>
      </w:pPr>
      <w:r w:rsidRPr="00536E93">
        <w:rPr>
          <w:color w:val="000000"/>
          <w:szCs w:val="24"/>
        </w:rPr>
        <w:t xml:space="preserve">The economic evaluation and financial estimates in the resubmission </w:t>
      </w:r>
      <w:r w:rsidR="0052477F">
        <w:rPr>
          <w:color w:val="000000"/>
          <w:szCs w:val="24"/>
        </w:rPr>
        <w:t xml:space="preserve">to PBAC </w:t>
      </w:r>
      <w:r w:rsidRPr="00536E93">
        <w:rPr>
          <w:color w:val="000000"/>
          <w:szCs w:val="24"/>
        </w:rPr>
        <w:t>use</w:t>
      </w:r>
      <w:r w:rsidR="004278DE">
        <w:rPr>
          <w:color w:val="000000"/>
          <w:szCs w:val="24"/>
        </w:rPr>
        <w:t>d</w:t>
      </w:r>
      <w:r w:rsidRPr="00536E93">
        <w:rPr>
          <w:color w:val="000000"/>
          <w:szCs w:val="24"/>
        </w:rPr>
        <w:t xml:space="preserve"> a 15% EGFR mutation prevalence as the base case and a range of 10-20% in sensitivity analyses. </w:t>
      </w:r>
      <w:r w:rsidRPr="00317E70">
        <w:rPr>
          <w:color w:val="000000"/>
          <w:szCs w:val="24"/>
        </w:rPr>
        <w:t xml:space="preserve">This is </w:t>
      </w:r>
      <w:r w:rsidR="00317E70">
        <w:rPr>
          <w:color w:val="000000"/>
          <w:szCs w:val="24"/>
        </w:rPr>
        <w:t>consistent</w:t>
      </w:r>
      <w:r w:rsidRPr="00317E70">
        <w:rPr>
          <w:color w:val="000000"/>
          <w:szCs w:val="24"/>
        </w:rPr>
        <w:t xml:space="preserve"> with </w:t>
      </w:r>
      <w:r w:rsidR="00317E70">
        <w:rPr>
          <w:color w:val="000000"/>
          <w:szCs w:val="24"/>
        </w:rPr>
        <w:t xml:space="preserve">the November 2012 </w:t>
      </w:r>
      <w:r w:rsidRPr="00317E70">
        <w:rPr>
          <w:color w:val="000000"/>
          <w:szCs w:val="24"/>
        </w:rPr>
        <w:t xml:space="preserve">MSAC </w:t>
      </w:r>
      <w:r w:rsidR="00317E70">
        <w:rPr>
          <w:color w:val="000000"/>
          <w:szCs w:val="24"/>
        </w:rPr>
        <w:t xml:space="preserve">advice </w:t>
      </w:r>
      <w:r w:rsidRPr="00317E70">
        <w:rPr>
          <w:color w:val="000000"/>
          <w:szCs w:val="24"/>
        </w:rPr>
        <w:t>for Application 1161.</w:t>
      </w:r>
    </w:p>
    <w:p w:rsidR="00737172" w:rsidRPr="00536E93" w:rsidRDefault="00737172" w:rsidP="00737172">
      <w:pPr>
        <w:tabs>
          <w:tab w:val="left" w:pos="720"/>
          <w:tab w:val="left" w:pos="1140"/>
        </w:tabs>
        <w:rPr>
          <w:color w:val="000000"/>
          <w:szCs w:val="24"/>
        </w:rPr>
      </w:pPr>
    </w:p>
    <w:p w:rsidR="00865C26" w:rsidRPr="006A1D88" w:rsidRDefault="002B4CE2" w:rsidP="00737172">
      <w:pPr>
        <w:pStyle w:val="Heading1"/>
        <w:spacing w:before="0"/>
        <w:rPr>
          <w:rFonts w:cs="Arial"/>
          <w:szCs w:val="24"/>
        </w:rPr>
      </w:pPr>
      <w:r w:rsidRPr="006A1D88">
        <w:rPr>
          <w:rFonts w:cs="Arial"/>
          <w:szCs w:val="24"/>
        </w:rPr>
        <w:t>7.</w:t>
      </w:r>
      <w:r w:rsidRPr="006A1D88">
        <w:rPr>
          <w:rFonts w:cs="Arial"/>
          <w:szCs w:val="24"/>
        </w:rPr>
        <w:tab/>
      </w:r>
      <w:r w:rsidR="00865C26" w:rsidRPr="006A1D88">
        <w:rPr>
          <w:rFonts w:cs="Arial"/>
          <w:szCs w:val="24"/>
        </w:rPr>
        <w:t>Other options for MSAC consideration</w:t>
      </w:r>
    </w:p>
    <w:p w:rsidR="00614A1C" w:rsidRPr="00536E93" w:rsidRDefault="00614A1C" w:rsidP="00737172">
      <w:pPr>
        <w:tabs>
          <w:tab w:val="left" w:pos="720"/>
          <w:tab w:val="left" w:pos="1140"/>
        </w:tabs>
        <w:rPr>
          <w:color w:val="000000"/>
          <w:szCs w:val="24"/>
          <w:u w:val="single"/>
        </w:rPr>
      </w:pPr>
      <w:r w:rsidRPr="00536E93">
        <w:rPr>
          <w:color w:val="000000"/>
          <w:szCs w:val="24"/>
          <w:u w:val="single"/>
        </w:rPr>
        <w:t>Whom to test</w:t>
      </w:r>
    </w:p>
    <w:p w:rsidR="00614A1C" w:rsidRPr="00536E93" w:rsidRDefault="004278DE" w:rsidP="00737172">
      <w:pPr>
        <w:tabs>
          <w:tab w:val="left" w:pos="720"/>
          <w:tab w:val="left" w:pos="1140"/>
        </w:tabs>
        <w:rPr>
          <w:color w:val="000000"/>
          <w:szCs w:val="24"/>
        </w:rPr>
      </w:pPr>
      <w:r>
        <w:rPr>
          <w:color w:val="000000"/>
          <w:szCs w:val="24"/>
        </w:rPr>
        <w:t xml:space="preserve">The </w:t>
      </w:r>
      <w:r w:rsidR="005254CF">
        <w:rPr>
          <w:color w:val="000000"/>
          <w:szCs w:val="24"/>
        </w:rPr>
        <w:t xml:space="preserve">November 2012 </w:t>
      </w:r>
      <w:r w:rsidR="005254CF" w:rsidRPr="00317E70">
        <w:rPr>
          <w:color w:val="000000"/>
          <w:szCs w:val="24"/>
        </w:rPr>
        <w:t xml:space="preserve">MSAC </w:t>
      </w:r>
      <w:r w:rsidR="005254CF">
        <w:rPr>
          <w:color w:val="000000"/>
          <w:szCs w:val="24"/>
        </w:rPr>
        <w:t xml:space="preserve">advice </w:t>
      </w:r>
      <w:r w:rsidR="005254CF" w:rsidRPr="00317E70">
        <w:rPr>
          <w:color w:val="000000"/>
          <w:szCs w:val="24"/>
        </w:rPr>
        <w:t>for Application 1161</w:t>
      </w:r>
      <w:r w:rsidR="005254CF">
        <w:rPr>
          <w:color w:val="000000"/>
          <w:szCs w:val="24"/>
        </w:rPr>
        <w:t xml:space="preserve"> suggested</w:t>
      </w:r>
      <w:r w:rsidR="00614A1C" w:rsidRPr="00536E93">
        <w:rPr>
          <w:color w:val="000000"/>
          <w:szCs w:val="24"/>
        </w:rPr>
        <w:t xml:space="preserve"> that the proposed MBS item descriptor should exclude EGFR testing from patients with NSCLC tumours shown unequivocally to have squamous cell histology</w:t>
      </w:r>
      <w:r>
        <w:rPr>
          <w:color w:val="000000"/>
          <w:szCs w:val="24"/>
        </w:rPr>
        <w:t>.</w:t>
      </w:r>
    </w:p>
    <w:p w:rsidR="00614A1C" w:rsidRPr="002879D6" w:rsidRDefault="00614A1C" w:rsidP="008F38C7">
      <w:pPr>
        <w:numPr>
          <w:ilvl w:val="0"/>
          <w:numId w:val="1"/>
        </w:numPr>
        <w:tabs>
          <w:tab w:val="clear" w:pos="360"/>
        </w:tabs>
        <w:ind w:left="426" w:hanging="358"/>
        <w:rPr>
          <w:szCs w:val="24"/>
        </w:rPr>
      </w:pPr>
      <w:r w:rsidRPr="002879D6">
        <w:rPr>
          <w:szCs w:val="24"/>
        </w:rPr>
        <w:t>The resubmission agree</w:t>
      </w:r>
      <w:r w:rsidR="005254CF" w:rsidRPr="002879D6">
        <w:rPr>
          <w:szCs w:val="24"/>
        </w:rPr>
        <w:t>d with MSAC and</w:t>
      </w:r>
      <w:r w:rsidRPr="002879D6">
        <w:rPr>
          <w:szCs w:val="24"/>
        </w:rPr>
        <w:t xml:space="preserve"> reworded the MBS item descriptor to allow testing of patients with diagnosed non-squamous NSCLC. The sponsor defer</w:t>
      </w:r>
      <w:r w:rsidR="005254CF" w:rsidRPr="002879D6">
        <w:rPr>
          <w:szCs w:val="24"/>
        </w:rPr>
        <w:t>red</w:t>
      </w:r>
      <w:r w:rsidRPr="002879D6">
        <w:rPr>
          <w:szCs w:val="24"/>
        </w:rPr>
        <w:t xml:space="preserve"> to MSAC expertise as to whether the pathological classification of ‘non-squamous’ may be expanded to ‘non-squamous or not otherwise specified (NOS)’ to permit all patients whose tumour is not unequivocally squamous, equitable access to the test under this item.</w:t>
      </w:r>
    </w:p>
    <w:p w:rsidR="005254CF" w:rsidRPr="005254CF" w:rsidRDefault="005254CF" w:rsidP="005254CF">
      <w:pPr>
        <w:rPr>
          <w:szCs w:val="24"/>
        </w:rPr>
      </w:pPr>
    </w:p>
    <w:p w:rsidR="00614A1C" w:rsidRPr="00536E93" w:rsidRDefault="00614A1C" w:rsidP="005254CF">
      <w:pPr>
        <w:tabs>
          <w:tab w:val="left" w:pos="720"/>
          <w:tab w:val="left" w:pos="1140"/>
        </w:tabs>
        <w:rPr>
          <w:color w:val="000000"/>
          <w:szCs w:val="24"/>
          <w:u w:val="single"/>
        </w:rPr>
      </w:pPr>
      <w:r w:rsidRPr="00536E93">
        <w:rPr>
          <w:color w:val="000000"/>
          <w:szCs w:val="24"/>
          <w:u w:val="single"/>
        </w:rPr>
        <w:t>What to test</w:t>
      </w:r>
    </w:p>
    <w:p w:rsidR="00614A1C" w:rsidRPr="00536E93" w:rsidRDefault="00614A1C" w:rsidP="005254CF">
      <w:pPr>
        <w:tabs>
          <w:tab w:val="left" w:pos="720"/>
          <w:tab w:val="left" w:pos="1140"/>
        </w:tabs>
        <w:rPr>
          <w:color w:val="000000"/>
          <w:szCs w:val="24"/>
        </w:rPr>
      </w:pPr>
      <w:r w:rsidRPr="00536E93">
        <w:rPr>
          <w:color w:val="000000"/>
          <w:szCs w:val="24"/>
        </w:rPr>
        <w:t xml:space="preserve">Taking into account the October 2012 </w:t>
      </w:r>
      <w:r w:rsidR="007D2BC8">
        <w:rPr>
          <w:color w:val="000000"/>
          <w:szCs w:val="24"/>
        </w:rPr>
        <w:t xml:space="preserve">Stakeholder </w:t>
      </w:r>
      <w:r w:rsidR="001A4732">
        <w:rPr>
          <w:color w:val="000000"/>
          <w:szCs w:val="24"/>
        </w:rPr>
        <w:t xml:space="preserve">Meeting </w:t>
      </w:r>
      <w:r w:rsidR="005254CF">
        <w:rPr>
          <w:color w:val="000000"/>
          <w:szCs w:val="24"/>
        </w:rPr>
        <w:t>advice</w:t>
      </w:r>
      <w:r w:rsidRPr="00536E93">
        <w:rPr>
          <w:color w:val="000000"/>
          <w:szCs w:val="24"/>
        </w:rPr>
        <w:t xml:space="preserve">, MSAC considered that the definition of the biomarker in a PBS restriction should be any EGFR activating mutation, rather than being limited to exon 19 deletions and exon 21 L858R point deletions only (as </w:t>
      </w:r>
      <w:r w:rsidRPr="00536E93">
        <w:rPr>
          <w:color w:val="000000"/>
          <w:szCs w:val="24"/>
        </w:rPr>
        <w:lastRenderedPageBreak/>
        <w:t>suggested by PBAC in the context of its November 2010 consideration of first-line gefitinib in the same patient population)</w:t>
      </w:r>
      <w:r w:rsidR="004278DE">
        <w:rPr>
          <w:color w:val="000000"/>
          <w:szCs w:val="24"/>
        </w:rPr>
        <w:t>.</w:t>
      </w:r>
    </w:p>
    <w:p w:rsidR="00614A1C" w:rsidRPr="00536E93" w:rsidRDefault="00614A1C" w:rsidP="008F38C7">
      <w:pPr>
        <w:numPr>
          <w:ilvl w:val="0"/>
          <w:numId w:val="1"/>
        </w:numPr>
        <w:tabs>
          <w:tab w:val="clear" w:pos="360"/>
        </w:tabs>
        <w:ind w:left="426" w:hanging="358"/>
        <w:rPr>
          <w:szCs w:val="24"/>
        </w:rPr>
      </w:pPr>
      <w:r w:rsidRPr="00536E93">
        <w:rPr>
          <w:szCs w:val="24"/>
        </w:rPr>
        <w:t>The resubmission disagree</w:t>
      </w:r>
      <w:r w:rsidR="005254CF">
        <w:rPr>
          <w:szCs w:val="24"/>
        </w:rPr>
        <w:t>d</w:t>
      </w:r>
      <w:r w:rsidRPr="00536E93">
        <w:rPr>
          <w:szCs w:val="24"/>
        </w:rPr>
        <w:t xml:space="preserve"> with MSAC with respect to the definition of an EGFR test positive:</w:t>
      </w:r>
    </w:p>
    <w:p w:rsidR="00614A1C" w:rsidRPr="00536E93" w:rsidRDefault="005254CF" w:rsidP="002876B8">
      <w:pPr>
        <w:numPr>
          <w:ilvl w:val="1"/>
          <w:numId w:val="1"/>
        </w:numPr>
        <w:tabs>
          <w:tab w:val="clear" w:pos="1440"/>
        </w:tabs>
        <w:ind w:left="851"/>
        <w:rPr>
          <w:szCs w:val="24"/>
        </w:rPr>
      </w:pPr>
      <w:r>
        <w:rPr>
          <w:szCs w:val="24"/>
        </w:rPr>
        <w:t>comment</w:t>
      </w:r>
      <w:r w:rsidR="002876B8">
        <w:rPr>
          <w:szCs w:val="24"/>
        </w:rPr>
        <w:t>ing</w:t>
      </w:r>
      <w:r w:rsidR="00614A1C" w:rsidRPr="00536E93">
        <w:rPr>
          <w:szCs w:val="24"/>
        </w:rPr>
        <w:t xml:space="preserve"> that the proposed population in the PBS listing and economic evaluation presented in the resubmission </w:t>
      </w:r>
      <w:r w:rsidR="0052477F">
        <w:rPr>
          <w:szCs w:val="24"/>
        </w:rPr>
        <w:t xml:space="preserve">to PBAC </w:t>
      </w:r>
      <w:r w:rsidR="00614A1C" w:rsidRPr="00536E93">
        <w:rPr>
          <w:szCs w:val="24"/>
        </w:rPr>
        <w:t>is patients with tumours expressing activating EGFR mutations known to be associated with increased sensitivity to treatment with gefitinib (EGFR TKIs)</w:t>
      </w:r>
      <w:r w:rsidR="002876B8">
        <w:rPr>
          <w:szCs w:val="24"/>
        </w:rPr>
        <w:t xml:space="preserve"> and</w:t>
      </w:r>
    </w:p>
    <w:p w:rsidR="00614A1C" w:rsidRPr="00536E93" w:rsidRDefault="00614A1C" w:rsidP="002876B8">
      <w:pPr>
        <w:numPr>
          <w:ilvl w:val="1"/>
          <w:numId w:val="1"/>
        </w:numPr>
        <w:tabs>
          <w:tab w:val="clear" w:pos="1440"/>
        </w:tabs>
        <w:ind w:left="851"/>
        <w:rPr>
          <w:szCs w:val="24"/>
        </w:rPr>
      </w:pPr>
      <w:proofErr w:type="gramStart"/>
      <w:r w:rsidRPr="00536E93">
        <w:rPr>
          <w:szCs w:val="24"/>
        </w:rPr>
        <w:t>stat</w:t>
      </w:r>
      <w:r w:rsidR="002876B8">
        <w:rPr>
          <w:szCs w:val="24"/>
        </w:rPr>
        <w:t>ing</w:t>
      </w:r>
      <w:proofErr w:type="gramEnd"/>
      <w:r w:rsidRPr="00536E93">
        <w:rPr>
          <w:szCs w:val="24"/>
        </w:rPr>
        <w:t xml:space="preserve"> that “It is inappropriate for AstraZeneca to request a PBS listing in a population broader than the supportive clinical evidence” (Summary of November 2012 MSAC Advice for EGFR Testing Table)</w:t>
      </w:r>
      <w:r w:rsidR="002876B8">
        <w:rPr>
          <w:szCs w:val="24"/>
        </w:rPr>
        <w:t>.</w:t>
      </w:r>
    </w:p>
    <w:p w:rsidR="005254CF" w:rsidRDefault="005254CF" w:rsidP="005254CF">
      <w:pPr>
        <w:tabs>
          <w:tab w:val="left" w:pos="720"/>
          <w:tab w:val="left" w:pos="1140"/>
        </w:tabs>
        <w:rPr>
          <w:color w:val="000000"/>
          <w:szCs w:val="24"/>
        </w:rPr>
      </w:pPr>
    </w:p>
    <w:p w:rsidR="00614A1C" w:rsidRPr="00536E93" w:rsidRDefault="002876B8" w:rsidP="005254CF">
      <w:pPr>
        <w:tabs>
          <w:tab w:val="left" w:pos="720"/>
          <w:tab w:val="left" w:pos="1140"/>
        </w:tabs>
        <w:rPr>
          <w:color w:val="000000"/>
          <w:szCs w:val="24"/>
        </w:rPr>
      </w:pPr>
      <w:r>
        <w:rPr>
          <w:color w:val="000000"/>
          <w:szCs w:val="24"/>
        </w:rPr>
        <w:t xml:space="preserve">The </w:t>
      </w:r>
      <w:r w:rsidR="00D80CC7">
        <w:rPr>
          <w:color w:val="000000"/>
          <w:szCs w:val="24"/>
        </w:rPr>
        <w:t xml:space="preserve">November 2012 </w:t>
      </w:r>
      <w:r w:rsidR="00D80CC7" w:rsidRPr="00317E70">
        <w:rPr>
          <w:color w:val="000000"/>
          <w:szCs w:val="24"/>
        </w:rPr>
        <w:t xml:space="preserve">MSAC </w:t>
      </w:r>
      <w:r w:rsidR="00D80CC7">
        <w:rPr>
          <w:color w:val="000000"/>
          <w:szCs w:val="24"/>
        </w:rPr>
        <w:t xml:space="preserve">advice </w:t>
      </w:r>
      <w:r w:rsidR="00D80CC7" w:rsidRPr="00317E70">
        <w:rPr>
          <w:color w:val="000000"/>
          <w:szCs w:val="24"/>
        </w:rPr>
        <w:t>for Application 1161</w:t>
      </w:r>
      <w:r w:rsidR="00D80CC7">
        <w:rPr>
          <w:color w:val="000000"/>
          <w:szCs w:val="24"/>
        </w:rPr>
        <w:t xml:space="preserve"> </w:t>
      </w:r>
      <w:r w:rsidR="00614A1C" w:rsidRPr="00536E93">
        <w:rPr>
          <w:color w:val="000000"/>
          <w:szCs w:val="24"/>
        </w:rPr>
        <w:t>advised that the corresponding economic evaluation presented to PBAC should reflect the fact that the common mutations (exon 19 deletions and exon 21 L858R point mutations) comprise only 70% of all activating mutations and that the effectiveness of gefitinib has only been demonstrated in randomised trial evidence for these mutations</w:t>
      </w:r>
      <w:r>
        <w:rPr>
          <w:color w:val="000000"/>
          <w:szCs w:val="24"/>
        </w:rPr>
        <w:t>.</w:t>
      </w:r>
    </w:p>
    <w:p w:rsidR="00614A1C" w:rsidRPr="00D80CC7" w:rsidRDefault="00D80CC7" w:rsidP="002876B8">
      <w:pPr>
        <w:numPr>
          <w:ilvl w:val="0"/>
          <w:numId w:val="1"/>
        </w:numPr>
        <w:tabs>
          <w:tab w:val="clear" w:pos="360"/>
        </w:tabs>
        <w:ind w:left="426" w:hanging="358"/>
        <w:rPr>
          <w:szCs w:val="24"/>
        </w:rPr>
      </w:pPr>
      <w:r>
        <w:rPr>
          <w:szCs w:val="24"/>
        </w:rPr>
        <w:t>The resubmission did not address</w:t>
      </w:r>
      <w:r w:rsidR="00614A1C" w:rsidRPr="00D80CC7">
        <w:rPr>
          <w:szCs w:val="24"/>
        </w:rPr>
        <w:t xml:space="preserve"> this issue and all EGFR mutation positive patients treated with gefitinib </w:t>
      </w:r>
      <w:r w:rsidR="002876B8">
        <w:rPr>
          <w:szCs w:val="24"/>
        </w:rPr>
        <w:t>we</w:t>
      </w:r>
      <w:r w:rsidR="00614A1C" w:rsidRPr="00D80CC7">
        <w:rPr>
          <w:szCs w:val="24"/>
        </w:rPr>
        <w:t>re assumed to be equally responsive to TKIs in the economic evaluation presented in the resubmission</w:t>
      </w:r>
      <w:r w:rsidR="0052477F">
        <w:rPr>
          <w:szCs w:val="24"/>
        </w:rPr>
        <w:t xml:space="preserve"> to PBAC</w:t>
      </w:r>
      <w:r w:rsidR="00614A1C" w:rsidRPr="00D80CC7">
        <w:rPr>
          <w:szCs w:val="24"/>
        </w:rPr>
        <w:t>.</w:t>
      </w:r>
    </w:p>
    <w:p w:rsidR="00D80CC7" w:rsidRPr="002876B8" w:rsidRDefault="00D80CC7" w:rsidP="005254CF">
      <w:pPr>
        <w:tabs>
          <w:tab w:val="left" w:pos="720"/>
          <w:tab w:val="left" w:pos="1140"/>
        </w:tabs>
        <w:rPr>
          <w:szCs w:val="24"/>
        </w:rPr>
      </w:pPr>
    </w:p>
    <w:p w:rsidR="00614A1C" w:rsidRPr="00536E93" w:rsidRDefault="00614A1C" w:rsidP="005254CF">
      <w:pPr>
        <w:tabs>
          <w:tab w:val="left" w:pos="720"/>
          <w:tab w:val="left" w:pos="1140"/>
        </w:tabs>
        <w:rPr>
          <w:color w:val="000000"/>
          <w:szCs w:val="24"/>
          <w:u w:val="single"/>
        </w:rPr>
      </w:pPr>
      <w:r w:rsidRPr="00536E93">
        <w:rPr>
          <w:color w:val="000000"/>
          <w:szCs w:val="24"/>
          <w:u w:val="single"/>
        </w:rPr>
        <w:t>When to test</w:t>
      </w:r>
    </w:p>
    <w:p w:rsidR="00614A1C" w:rsidRPr="00536E93" w:rsidRDefault="002876B8" w:rsidP="005254CF">
      <w:pPr>
        <w:tabs>
          <w:tab w:val="left" w:pos="720"/>
          <w:tab w:val="left" w:pos="1140"/>
        </w:tabs>
        <w:rPr>
          <w:color w:val="000000"/>
          <w:szCs w:val="24"/>
        </w:rPr>
      </w:pPr>
      <w:r>
        <w:rPr>
          <w:color w:val="000000"/>
          <w:szCs w:val="24"/>
        </w:rPr>
        <w:t xml:space="preserve">The </w:t>
      </w:r>
      <w:r w:rsidR="00424A62">
        <w:rPr>
          <w:color w:val="000000"/>
          <w:szCs w:val="24"/>
        </w:rPr>
        <w:t xml:space="preserve">November 2012 </w:t>
      </w:r>
      <w:r w:rsidR="00424A62" w:rsidRPr="00317E70">
        <w:rPr>
          <w:color w:val="000000"/>
          <w:szCs w:val="24"/>
        </w:rPr>
        <w:t xml:space="preserve">MSAC </w:t>
      </w:r>
      <w:r w:rsidR="00424A62">
        <w:rPr>
          <w:color w:val="000000"/>
          <w:szCs w:val="24"/>
        </w:rPr>
        <w:t xml:space="preserve">advice </w:t>
      </w:r>
      <w:r w:rsidR="00424A62" w:rsidRPr="00317E70">
        <w:rPr>
          <w:color w:val="000000"/>
          <w:szCs w:val="24"/>
        </w:rPr>
        <w:t>for Application 1161</w:t>
      </w:r>
      <w:r w:rsidR="00614A1C" w:rsidRPr="00536E93">
        <w:rPr>
          <w:color w:val="000000"/>
          <w:szCs w:val="24"/>
        </w:rPr>
        <w:t xml:space="preserve"> suggest</w:t>
      </w:r>
      <w:r w:rsidR="00424A62">
        <w:rPr>
          <w:color w:val="000000"/>
          <w:szCs w:val="24"/>
        </w:rPr>
        <w:t>ed</w:t>
      </w:r>
      <w:r w:rsidR="00614A1C" w:rsidRPr="00536E93">
        <w:rPr>
          <w:color w:val="000000"/>
          <w:szCs w:val="24"/>
        </w:rPr>
        <w:t xml:space="preserve"> that the descriptor should allow NSCLC patients to have EGFR testing from the point of initial diagnosis of NSCLC</w:t>
      </w:r>
      <w:r w:rsidR="00801396">
        <w:rPr>
          <w:color w:val="000000"/>
          <w:szCs w:val="24"/>
        </w:rPr>
        <w:t>.</w:t>
      </w:r>
    </w:p>
    <w:p w:rsidR="00614A1C" w:rsidRPr="00536E93" w:rsidRDefault="00614A1C" w:rsidP="008F38C7">
      <w:pPr>
        <w:numPr>
          <w:ilvl w:val="0"/>
          <w:numId w:val="1"/>
        </w:numPr>
        <w:tabs>
          <w:tab w:val="clear" w:pos="360"/>
        </w:tabs>
        <w:ind w:left="426" w:hanging="358"/>
        <w:rPr>
          <w:szCs w:val="24"/>
        </w:rPr>
      </w:pPr>
      <w:r w:rsidRPr="00536E93">
        <w:rPr>
          <w:szCs w:val="24"/>
        </w:rPr>
        <w:t>This advice was based on the following:</w:t>
      </w:r>
    </w:p>
    <w:p w:rsidR="00614A1C" w:rsidRPr="00536E93" w:rsidRDefault="00801396" w:rsidP="0052477F">
      <w:pPr>
        <w:numPr>
          <w:ilvl w:val="1"/>
          <w:numId w:val="1"/>
        </w:numPr>
        <w:tabs>
          <w:tab w:val="clear" w:pos="1440"/>
        </w:tabs>
        <w:ind w:left="851"/>
        <w:rPr>
          <w:szCs w:val="24"/>
        </w:rPr>
      </w:pPr>
      <w:r w:rsidRPr="00536E93">
        <w:rPr>
          <w:szCs w:val="24"/>
        </w:rPr>
        <w:t>o</w:t>
      </w:r>
      <w:r w:rsidR="00614A1C" w:rsidRPr="00536E93">
        <w:rPr>
          <w:szCs w:val="24"/>
        </w:rPr>
        <w:t>nly a minority of early stage non-squamous NSCLC cases will not eventually relapse, consequently there would be no unnecessary EGFR testing following this approach</w:t>
      </w:r>
      <w:r>
        <w:rPr>
          <w:szCs w:val="24"/>
        </w:rPr>
        <w:t xml:space="preserve"> and</w:t>
      </w:r>
    </w:p>
    <w:p w:rsidR="00614A1C" w:rsidRPr="00536E93" w:rsidRDefault="00614A1C" w:rsidP="0052477F">
      <w:pPr>
        <w:numPr>
          <w:ilvl w:val="1"/>
          <w:numId w:val="1"/>
        </w:numPr>
        <w:tabs>
          <w:tab w:val="clear" w:pos="1440"/>
        </w:tabs>
        <w:ind w:left="851"/>
        <w:rPr>
          <w:szCs w:val="24"/>
        </w:rPr>
      </w:pPr>
      <w:r w:rsidRPr="00536E93">
        <w:rPr>
          <w:szCs w:val="24"/>
        </w:rPr>
        <w:t xml:space="preserve">Application 1161 showed a small but favourable advantage in cost/QALY </w:t>
      </w:r>
      <w:r w:rsidR="00801396">
        <w:rPr>
          <w:szCs w:val="24"/>
        </w:rPr>
        <w:t xml:space="preserve">can be </w:t>
      </w:r>
      <w:r w:rsidRPr="00536E93">
        <w:rPr>
          <w:szCs w:val="24"/>
        </w:rPr>
        <w:t xml:space="preserve">gained for testing at diagnosis, mainly by avoiding costs of retrieving FFPE tissue blocks from archive in approximately 40% of patients diagnosed prior to development of Stage </w:t>
      </w:r>
      <w:proofErr w:type="spellStart"/>
      <w:r w:rsidRPr="00536E93">
        <w:rPr>
          <w:szCs w:val="24"/>
        </w:rPr>
        <w:t>IIIb</w:t>
      </w:r>
      <w:proofErr w:type="spellEnd"/>
      <w:r w:rsidRPr="00536E93">
        <w:rPr>
          <w:szCs w:val="24"/>
        </w:rPr>
        <w:t>/IV NSCLC</w:t>
      </w:r>
      <w:r w:rsidR="00801396">
        <w:rPr>
          <w:szCs w:val="24"/>
        </w:rPr>
        <w:t>.</w:t>
      </w:r>
    </w:p>
    <w:p w:rsidR="00614A1C" w:rsidRDefault="00614A1C" w:rsidP="008F38C7">
      <w:pPr>
        <w:numPr>
          <w:ilvl w:val="0"/>
          <w:numId w:val="1"/>
        </w:numPr>
        <w:tabs>
          <w:tab w:val="clear" w:pos="360"/>
        </w:tabs>
        <w:ind w:left="426" w:hanging="358"/>
        <w:rPr>
          <w:szCs w:val="24"/>
        </w:rPr>
      </w:pPr>
      <w:r w:rsidRPr="00536E93">
        <w:rPr>
          <w:szCs w:val="24"/>
        </w:rPr>
        <w:t>The resubmission agree</w:t>
      </w:r>
      <w:r w:rsidR="00424A62">
        <w:rPr>
          <w:szCs w:val="24"/>
        </w:rPr>
        <w:t xml:space="preserve">d with </w:t>
      </w:r>
      <w:r w:rsidRPr="00536E93">
        <w:rPr>
          <w:szCs w:val="24"/>
        </w:rPr>
        <w:t>MSAC and the MBS item descriptor was reworded to remove reference to disease stage at time of testing.</w:t>
      </w:r>
    </w:p>
    <w:p w:rsidR="00424A62" w:rsidRPr="00536E93" w:rsidRDefault="00424A62" w:rsidP="00801396">
      <w:pPr>
        <w:rPr>
          <w:szCs w:val="24"/>
        </w:rPr>
      </w:pPr>
    </w:p>
    <w:p w:rsidR="00103212" w:rsidRPr="00103212" w:rsidRDefault="00103212" w:rsidP="00103212">
      <w:pPr>
        <w:tabs>
          <w:tab w:val="left" w:pos="720"/>
          <w:tab w:val="left" w:pos="1140"/>
        </w:tabs>
        <w:rPr>
          <w:color w:val="000000"/>
          <w:szCs w:val="24"/>
          <w:u w:val="single"/>
        </w:rPr>
      </w:pPr>
      <w:r w:rsidRPr="00103212">
        <w:rPr>
          <w:color w:val="000000"/>
          <w:szCs w:val="24"/>
          <w:u w:val="single"/>
        </w:rPr>
        <w:t>Prevalence of EGFR mutations i</w:t>
      </w:r>
      <w:r w:rsidR="00801396">
        <w:rPr>
          <w:color w:val="000000"/>
          <w:szCs w:val="24"/>
          <w:u w:val="single"/>
        </w:rPr>
        <w:t>n early versus late stage NSCLC</w:t>
      </w:r>
    </w:p>
    <w:p w:rsidR="00103212" w:rsidRPr="00103212" w:rsidRDefault="00103212" w:rsidP="00103212">
      <w:pPr>
        <w:tabs>
          <w:tab w:val="left" w:pos="720"/>
          <w:tab w:val="left" w:pos="1140"/>
        </w:tabs>
        <w:rPr>
          <w:color w:val="000000"/>
          <w:szCs w:val="24"/>
        </w:rPr>
      </w:pPr>
      <w:r>
        <w:rPr>
          <w:color w:val="000000"/>
          <w:szCs w:val="24"/>
        </w:rPr>
        <w:t xml:space="preserve">MSAC noted </w:t>
      </w:r>
      <w:r w:rsidRPr="00103212">
        <w:rPr>
          <w:color w:val="000000"/>
          <w:szCs w:val="24"/>
        </w:rPr>
        <w:t xml:space="preserve">several studies </w:t>
      </w:r>
      <w:r>
        <w:rPr>
          <w:color w:val="000000"/>
          <w:szCs w:val="24"/>
        </w:rPr>
        <w:t>which</w:t>
      </w:r>
      <w:r w:rsidRPr="00103212">
        <w:rPr>
          <w:color w:val="000000"/>
          <w:szCs w:val="24"/>
        </w:rPr>
        <w:t xml:space="preserve"> compared the prevalence of EGFR mutations in early versus late stage NSCLC disease at diagnosis. Overall, there was very little difference in the prevalence of EGFR mutations at diagnosis of early and late stage disease with a median 17.8% in early stage (I-</w:t>
      </w:r>
      <w:proofErr w:type="spellStart"/>
      <w:r w:rsidRPr="00103212">
        <w:rPr>
          <w:color w:val="000000"/>
          <w:szCs w:val="24"/>
        </w:rPr>
        <w:t>IIIa</w:t>
      </w:r>
      <w:proofErr w:type="spellEnd"/>
      <w:r w:rsidRPr="00103212">
        <w:rPr>
          <w:color w:val="000000"/>
          <w:szCs w:val="24"/>
        </w:rPr>
        <w:t>) and 15.4% in late stage (</w:t>
      </w:r>
      <w:proofErr w:type="spellStart"/>
      <w:r w:rsidRPr="00103212">
        <w:rPr>
          <w:color w:val="000000"/>
          <w:szCs w:val="24"/>
        </w:rPr>
        <w:t>IIIb</w:t>
      </w:r>
      <w:proofErr w:type="spellEnd"/>
      <w:r w:rsidRPr="00103212">
        <w:rPr>
          <w:color w:val="000000"/>
          <w:szCs w:val="24"/>
        </w:rPr>
        <w:t>-IV) NSCLC.</w:t>
      </w:r>
    </w:p>
    <w:p w:rsidR="00103212" w:rsidRDefault="00103212" w:rsidP="00103212">
      <w:pPr>
        <w:tabs>
          <w:tab w:val="left" w:pos="720"/>
          <w:tab w:val="left" w:pos="1140"/>
        </w:tabs>
        <w:rPr>
          <w:color w:val="000000"/>
          <w:szCs w:val="24"/>
        </w:rPr>
      </w:pPr>
    </w:p>
    <w:p w:rsidR="00614A1C" w:rsidRDefault="00614A1C" w:rsidP="00E127BC">
      <w:pPr>
        <w:tabs>
          <w:tab w:val="left" w:pos="720"/>
          <w:tab w:val="left" w:pos="1140"/>
        </w:tabs>
        <w:rPr>
          <w:color w:val="000000"/>
          <w:szCs w:val="24"/>
        </w:rPr>
      </w:pPr>
      <w:r w:rsidRPr="00536E93">
        <w:rPr>
          <w:color w:val="000000"/>
          <w:szCs w:val="24"/>
        </w:rPr>
        <w:t xml:space="preserve">The October 2012 </w:t>
      </w:r>
      <w:r w:rsidR="007D2BC8">
        <w:rPr>
          <w:color w:val="000000"/>
          <w:szCs w:val="24"/>
        </w:rPr>
        <w:t xml:space="preserve">Stakeholder </w:t>
      </w:r>
      <w:r w:rsidR="001A4732">
        <w:rPr>
          <w:color w:val="000000"/>
          <w:szCs w:val="24"/>
        </w:rPr>
        <w:t xml:space="preserve">Meeting </w:t>
      </w:r>
      <w:r w:rsidR="00A24ED3">
        <w:rPr>
          <w:color w:val="000000"/>
          <w:szCs w:val="24"/>
        </w:rPr>
        <w:t xml:space="preserve">minutes stated </w:t>
      </w:r>
      <w:r w:rsidRPr="00536E93">
        <w:rPr>
          <w:color w:val="000000"/>
          <w:szCs w:val="24"/>
        </w:rPr>
        <w:t>that repeat testing for EGFR mutations would not be required for checking multiple sites to confirm concordance of EGFR status or for assessin</w:t>
      </w:r>
      <w:r w:rsidR="00801396">
        <w:rPr>
          <w:color w:val="000000"/>
          <w:szCs w:val="24"/>
        </w:rPr>
        <w:t>g mutation stability over time.</w:t>
      </w:r>
    </w:p>
    <w:p w:rsidR="00E127BC" w:rsidRPr="00536E93" w:rsidRDefault="00E127BC" w:rsidP="00E127BC">
      <w:pPr>
        <w:tabs>
          <w:tab w:val="left" w:pos="720"/>
          <w:tab w:val="left" w:pos="1140"/>
        </w:tabs>
        <w:rPr>
          <w:color w:val="000000"/>
          <w:szCs w:val="24"/>
        </w:rPr>
      </w:pPr>
    </w:p>
    <w:p w:rsidR="00937076" w:rsidRPr="006A1D88" w:rsidRDefault="002B4CE2" w:rsidP="00E127BC">
      <w:pPr>
        <w:pStyle w:val="Heading1"/>
        <w:spacing w:before="0"/>
        <w:rPr>
          <w:rFonts w:cs="Arial"/>
          <w:szCs w:val="24"/>
        </w:rPr>
      </w:pPr>
      <w:r w:rsidRPr="006A1D88">
        <w:rPr>
          <w:rFonts w:cs="Arial"/>
          <w:szCs w:val="24"/>
        </w:rPr>
        <w:t>8.</w:t>
      </w:r>
      <w:r w:rsidRPr="006A1D88">
        <w:rPr>
          <w:rFonts w:cs="Arial"/>
          <w:szCs w:val="24"/>
        </w:rPr>
        <w:tab/>
      </w:r>
      <w:r w:rsidR="00937076" w:rsidRPr="006A1D88">
        <w:rPr>
          <w:rFonts w:cs="Arial"/>
          <w:szCs w:val="24"/>
        </w:rPr>
        <w:t>Comparator</w:t>
      </w:r>
      <w:r w:rsidR="00094129" w:rsidRPr="006A1D88">
        <w:rPr>
          <w:rFonts w:cs="Arial"/>
          <w:szCs w:val="24"/>
        </w:rPr>
        <w:t xml:space="preserve"> to the </w:t>
      </w:r>
      <w:r w:rsidR="00B7306D" w:rsidRPr="006A1D88">
        <w:rPr>
          <w:rFonts w:cs="Arial"/>
          <w:szCs w:val="24"/>
        </w:rPr>
        <w:t>proposed i</w:t>
      </w:r>
      <w:r w:rsidR="00094129" w:rsidRPr="006A1D88">
        <w:rPr>
          <w:rFonts w:cs="Arial"/>
          <w:szCs w:val="24"/>
        </w:rPr>
        <w:t>ntervention</w:t>
      </w:r>
    </w:p>
    <w:p w:rsidR="00AC34DE" w:rsidRDefault="00614A1C" w:rsidP="00E127BC">
      <w:pPr>
        <w:tabs>
          <w:tab w:val="left" w:pos="720"/>
          <w:tab w:val="left" w:pos="1140"/>
        </w:tabs>
        <w:rPr>
          <w:szCs w:val="24"/>
          <w:lang w:eastAsia="en-US"/>
        </w:rPr>
      </w:pPr>
      <w:r w:rsidRPr="0050769D">
        <w:rPr>
          <w:szCs w:val="24"/>
          <w:lang w:eastAsia="en-US"/>
        </w:rPr>
        <w:t>The comparator to EGFR mutation testing in the current treatment pathway for locally advanced or metastatic non-</w:t>
      </w:r>
      <w:r w:rsidR="00801396">
        <w:rPr>
          <w:szCs w:val="24"/>
          <w:lang w:eastAsia="en-US"/>
        </w:rPr>
        <w:t>squamous NSCLC is ‘no testing’</w:t>
      </w:r>
      <w:r w:rsidR="00801396" w:rsidRPr="003301C1">
        <w:rPr>
          <w:szCs w:val="24"/>
          <w:lang w:eastAsia="en-US"/>
        </w:rPr>
        <w:t xml:space="preserve"> in both the Final DAP and the submission</w:t>
      </w:r>
      <w:r w:rsidR="00801396">
        <w:rPr>
          <w:szCs w:val="24"/>
          <w:lang w:eastAsia="en-US"/>
        </w:rPr>
        <w:t>.</w:t>
      </w:r>
    </w:p>
    <w:p w:rsidR="00B12CF3" w:rsidRDefault="00B12CF3" w:rsidP="00177E25">
      <w:pPr>
        <w:tabs>
          <w:tab w:val="left" w:pos="720"/>
          <w:tab w:val="left" w:pos="1140"/>
        </w:tabs>
        <w:rPr>
          <w:color w:val="000000"/>
          <w:szCs w:val="24"/>
        </w:rPr>
      </w:pPr>
    </w:p>
    <w:p w:rsidR="00177E25" w:rsidRPr="00AC34DE" w:rsidRDefault="00801396" w:rsidP="00177E25">
      <w:pPr>
        <w:tabs>
          <w:tab w:val="left" w:pos="720"/>
          <w:tab w:val="left" w:pos="1140"/>
        </w:tabs>
        <w:rPr>
          <w:szCs w:val="24"/>
          <w:lang w:eastAsia="en-US"/>
        </w:rPr>
      </w:pPr>
      <w:r>
        <w:rPr>
          <w:color w:val="000000"/>
          <w:szCs w:val="24"/>
        </w:rPr>
        <w:t xml:space="preserve">The </w:t>
      </w:r>
      <w:r w:rsidR="00177E25">
        <w:rPr>
          <w:color w:val="000000"/>
          <w:szCs w:val="24"/>
        </w:rPr>
        <w:t xml:space="preserve">November 2012 </w:t>
      </w:r>
      <w:r w:rsidR="00177E25" w:rsidRPr="00317E70">
        <w:rPr>
          <w:color w:val="000000"/>
          <w:szCs w:val="24"/>
        </w:rPr>
        <w:t xml:space="preserve">MSAC </w:t>
      </w:r>
      <w:r w:rsidR="00177E25">
        <w:rPr>
          <w:color w:val="000000"/>
          <w:szCs w:val="24"/>
        </w:rPr>
        <w:t xml:space="preserve">advice </w:t>
      </w:r>
      <w:r w:rsidR="00177E25" w:rsidRPr="00317E70">
        <w:rPr>
          <w:color w:val="000000"/>
          <w:szCs w:val="24"/>
        </w:rPr>
        <w:t>for Application 1161</w:t>
      </w:r>
      <w:r w:rsidR="00177E25" w:rsidRPr="0050769D">
        <w:rPr>
          <w:szCs w:val="24"/>
          <w:lang w:eastAsia="en-US"/>
        </w:rPr>
        <w:t xml:space="preserve"> agreed that the nominated comparator of no EGFR testing for firs</w:t>
      </w:r>
      <w:r w:rsidR="0052477F">
        <w:rPr>
          <w:szCs w:val="24"/>
          <w:lang w:eastAsia="en-US"/>
        </w:rPr>
        <w:t>t-line therapy was appropriate.</w:t>
      </w:r>
    </w:p>
    <w:p w:rsidR="00177E25" w:rsidRDefault="00177E25" w:rsidP="00E127BC">
      <w:pPr>
        <w:tabs>
          <w:tab w:val="left" w:pos="720"/>
          <w:tab w:val="left" w:pos="1140"/>
        </w:tabs>
        <w:rPr>
          <w:szCs w:val="24"/>
          <w:lang w:eastAsia="en-US"/>
        </w:rPr>
      </w:pPr>
    </w:p>
    <w:p w:rsidR="00AC34DE" w:rsidRDefault="00614A1C" w:rsidP="00177E25">
      <w:pPr>
        <w:tabs>
          <w:tab w:val="left" w:pos="720"/>
          <w:tab w:val="left" w:pos="1140"/>
        </w:tabs>
        <w:rPr>
          <w:szCs w:val="24"/>
          <w:lang w:eastAsia="en-US"/>
        </w:rPr>
      </w:pPr>
      <w:r w:rsidRPr="0050769D">
        <w:rPr>
          <w:szCs w:val="24"/>
          <w:lang w:eastAsia="en-US"/>
        </w:rPr>
        <w:t xml:space="preserve">EGFR mutation testing for second-line therapy with gefitinib </w:t>
      </w:r>
      <w:r w:rsidR="00177E25">
        <w:rPr>
          <w:szCs w:val="24"/>
          <w:lang w:eastAsia="en-US"/>
        </w:rPr>
        <w:t>was</w:t>
      </w:r>
      <w:r w:rsidRPr="0050769D">
        <w:rPr>
          <w:szCs w:val="24"/>
          <w:lang w:eastAsia="en-US"/>
        </w:rPr>
        <w:t xml:space="preserve"> included as part of the current treatment algorithm in both the Final DAP and the resubmission. </w:t>
      </w:r>
      <w:r w:rsidR="00AC34DE">
        <w:rPr>
          <w:szCs w:val="24"/>
          <w:lang w:eastAsia="en-US"/>
        </w:rPr>
        <w:t>I</w:t>
      </w:r>
      <w:r w:rsidR="00AC34DE" w:rsidRPr="00AC34DE">
        <w:rPr>
          <w:szCs w:val="24"/>
          <w:lang w:eastAsia="en-US"/>
        </w:rPr>
        <w:t>n line with MSA</w:t>
      </w:r>
      <w:r w:rsidR="00AC34DE">
        <w:rPr>
          <w:szCs w:val="24"/>
          <w:lang w:eastAsia="en-US"/>
        </w:rPr>
        <w:t>C a</w:t>
      </w:r>
      <w:r w:rsidR="00AC34DE" w:rsidRPr="00AC34DE">
        <w:rPr>
          <w:szCs w:val="24"/>
          <w:lang w:eastAsia="en-US"/>
        </w:rPr>
        <w:t>dvice, the prop</w:t>
      </w:r>
      <w:r w:rsidR="00177E25">
        <w:rPr>
          <w:szCs w:val="24"/>
          <w:lang w:eastAsia="en-US"/>
        </w:rPr>
        <w:t>osed management algorithm allowed</w:t>
      </w:r>
      <w:r w:rsidR="00AC34DE" w:rsidRPr="00AC34DE">
        <w:rPr>
          <w:szCs w:val="24"/>
          <w:lang w:eastAsia="en-US"/>
        </w:rPr>
        <w:t xml:space="preserve"> for EGFR mutation testing of all patients with non-squamous NSCLC at initial diagnosis.</w:t>
      </w:r>
    </w:p>
    <w:p w:rsidR="00177E25" w:rsidRDefault="00177E25" w:rsidP="00177E25">
      <w:pPr>
        <w:tabs>
          <w:tab w:val="left" w:pos="720"/>
          <w:tab w:val="left" w:pos="1140"/>
        </w:tabs>
        <w:rPr>
          <w:szCs w:val="24"/>
          <w:lang w:eastAsia="en-US"/>
        </w:rPr>
      </w:pPr>
    </w:p>
    <w:p w:rsidR="0079412A" w:rsidRDefault="00614A1C" w:rsidP="00177E25">
      <w:pPr>
        <w:tabs>
          <w:tab w:val="left" w:pos="720"/>
          <w:tab w:val="left" w:pos="1140"/>
        </w:tabs>
        <w:rPr>
          <w:szCs w:val="24"/>
          <w:lang w:eastAsia="en-US"/>
        </w:rPr>
      </w:pPr>
      <w:r w:rsidRPr="0050769D">
        <w:rPr>
          <w:szCs w:val="24"/>
          <w:lang w:eastAsia="en-US"/>
        </w:rPr>
        <w:t>In the current scenario of ‘no testing’, platinum-based doublet chemotherapy (mos</w:t>
      </w:r>
      <w:r w:rsidR="00177E25">
        <w:rPr>
          <w:szCs w:val="24"/>
          <w:lang w:eastAsia="en-US"/>
        </w:rPr>
        <w:t>tly carboplatin + gemcitabine) wa</w:t>
      </w:r>
      <w:r w:rsidRPr="0050769D">
        <w:rPr>
          <w:szCs w:val="24"/>
          <w:lang w:eastAsia="en-US"/>
        </w:rPr>
        <w:t xml:space="preserve">s the preferred treatment offered to patients with locally advanced and metastatic NSCLC as a first-line therapy. Under the proposed intervention, EGFR mutation testing of patients with non-squamous NSCLC will enable the use of gefitinib as a first-line therapy for those who are EGFR mutation positive on diagnosis of, or progression to, stage </w:t>
      </w:r>
      <w:proofErr w:type="spellStart"/>
      <w:r w:rsidRPr="0050769D">
        <w:rPr>
          <w:szCs w:val="24"/>
          <w:lang w:eastAsia="en-US"/>
        </w:rPr>
        <w:t>IIIb</w:t>
      </w:r>
      <w:proofErr w:type="spellEnd"/>
      <w:r w:rsidRPr="0050769D">
        <w:rPr>
          <w:szCs w:val="24"/>
          <w:lang w:eastAsia="en-US"/>
        </w:rPr>
        <w:t xml:space="preserve"> or stage IV disease.</w:t>
      </w:r>
    </w:p>
    <w:p w:rsidR="00177E25" w:rsidRPr="0050769D" w:rsidRDefault="00177E25" w:rsidP="00177E25">
      <w:pPr>
        <w:tabs>
          <w:tab w:val="left" w:pos="720"/>
          <w:tab w:val="left" w:pos="1140"/>
        </w:tabs>
        <w:rPr>
          <w:szCs w:val="24"/>
          <w:lang w:eastAsia="en-US"/>
        </w:rPr>
      </w:pPr>
    </w:p>
    <w:p w:rsidR="00937076" w:rsidRPr="006A1D88" w:rsidRDefault="002B4CE2" w:rsidP="00177E25">
      <w:pPr>
        <w:pStyle w:val="Heading1"/>
        <w:spacing w:before="0"/>
        <w:rPr>
          <w:rFonts w:cs="Arial"/>
          <w:szCs w:val="24"/>
        </w:rPr>
      </w:pPr>
      <w:r w:rsidRPr="006A1D88">
        <w:rPr>
          <w:rFonts w:cs="Arial"/>
          <w:szCs w:val="24"/>
        </w:rPr>
        <w:t>9.</w:t>
      </w:r>
      <w:r w:rsidRPr="006A1D88">
        <w:rPr>
          <w:rFonts w:cs="Arial"/>
          <w:szCs w:val="24"/>
        </w:rPr>
        <w:tab/>
      </w:r>
      <w:r w:rsidR="00E67C5A" w:rsidRPr="006A1D88">
        <w:rPr>
          <w:rFonts w:cs="Arial"/>
          <w:szCs w:val="24"/>
        </w:rPr>
        <w:t xml:space="preserve">Comparative </w:t>
      </w:r>
      <w:r w:rsidR="00C93A35" w:rsidRPr="006A1D88">
        <w:rPr>
          <w:rFonts w:cs="Arial"/>
          <w:szCs w:val="24"/>
        </w:rPr>
        <w:t>s</w:t>
      </w:r>
      <w:r w:rsidR="00937076" w:rsidRPr="006A1D88">
        <w:rPr>
          <w:rFonts w:cs="Arial"/>
          <w:szCs w:val="24"/>
        </w:rPr>
        <w:t>afety</w:t>
      </w:r>
    </w:p>
    <w:p w:rsidR="00614A1C" w:rsidRPr="00177E25" w:rsidRDefault="00614A1C" w:rsidP="00177E25">
      <w:pPr>
        <w:tabs>
          <w:tab w:val="left" w:pos="720"/>
          <w:tab w:val="left" w:pos="1140"/>
        </w:tabs>
        <w:rPr>
          <w:szCs w:val="24"/>
        </w:rPr>
      </w:pPr>
      <w:r w:rsidRPr="00177E25">
        <w:rPr>
          <w:szCs w:val="24"/>
        </w:rPr>
        <w:t>The main safety concern with EGFR testing is the need to re-biopsy as this can result in complications such as pneumothorax and haemorrhage, which were considered to occur in 14% of re-biopsy cases.</w:t>
      </w:r>
    </w:p>
    <w:p w:rsidR="00177E25" w:rsidRDefault="00177E25" w:rsidP="00177E25">
      <w:pPr>
        <w:tabs>
          <w:tab w:val="left" w:pos="720"/>
          <w:tab w:val="left" w:pos="1140"/>
        </w:tabs>
        <w:rPr>
          <w:szCs w:val="24"/>
        </w:rPr>
      </w:pPr>
    </w:p>
    <w:p w:rsidR="00614A1C" w:rsidRPr="0050769D" w:rsidRDefault="00614A1C" w:rsidP="00837196">
      <w:pPr>
        <w:tabs>
          <w:tab w:val="left" w:pos="720"/>
          <w:tab w:val="left" w:pos="1140"/>
        </w:tabs>
        <w:rPr>
          <w:szCs w:val="24"/>
        </w:rPr>
      </w:pPr>
      <w:r w:rsidRPr="0050769D">
        <w:rPr>
          <w:szCs w:val="24"/>
        </w:rPr>
        <w:t xml:space="preserve">The October 2012 </w:t>
      </w:r>
      <w:r w:rsidR="007D2BC8">
        <w:rPr>
          <w:szCs w:val="24"/>
        </w:rPr>
        <w:t xml:space="preserve">Stakeholder </w:t>
      </w:r>
      <w:r w:rsidR="001A4732">
        <w:rPr>
          <w:szCs w:val="24"/>
        </w:rPr>
        <w:t xml:space="preserve">Meeting </w:t>
      </w:r>
      <w:r w:rsidR="00837196">
        <w:rPr>
          <w:szCs w:val="24"/>
        </w:rPr>
        <w:t>minutes</w:t>
      </w:r>
      <w:r w:rsidRPr="0050769D">
        <w:rPr>
          <w:szCs w:val="24"/>
        </w:rPr>
        <w:t xml:space="preserve"> considered that repeat testing for EGFR mutations would only occur in unusual and specific circumstances, as repeat testing was not needed for monitoring purposes; assessing the development of resistance; checking multiple sites to confirm concordance of EGFR status; assessing mutation stability over time or in response to various treatments; or re-establishing eligibility for another TKI.</w:t>
      </w:r>
      <w:r w:rsidRPr="0050769D">
        <w:t xml:space="preserve"> </w:t>
      </w:r>
      <w:r w:rsidRPr="00837196">
        <w:rPr>
          <w:szCs w:val="24"/>
        </w:rPr>
        <w:t>However, there is some evidence to suggest that repeat testing after exposure to cancer therapies may be beneficial for those patients whose EGFR mutation status changes.</w:t>
      </w:r>
    </w:p>
    <w:p w:rsidR="00837196" w:rsidRDefault="00837196" w:rsidP="00837196">
      <w:pPr>
        <w:tabs>
          <w:tab w:val="left" w:pos="720"/>
          <w:tab w:val="left" w:pos="1140"/>
        </w:tabs>
        <w:rPr>
          <w:szCs w:val="24"/>
        </w:rPr>
      </w:pPr>
    </w:p>
    <w:p w:rsidR="0079412A" w:rsidRDefault="00614A1C" w:rsidP="00837196">
      <w:pPr>
        <w:tabs>
          <w:tab w:val="left" w:pos="720"/>
          <w:tab w:val="left" w:pos="1140"/>
        </w:tabs>
        <w:rPr>
          <w:szCs w:val="24"/>
        </w:rPr>
      </w:pPr>
      <w:r w:rsidRPr="0050769D">
        <w:rPr>
          <w:szCs w:val="24"/>
        </w:rPr>
        <w:t xml:space="preserve">Some patients would need to be re-biopsied and retested due to either an insufficient tumour sample or an inconclusive EGFR mutation test result. This </w:t>
      </w:r>
      <w:r w:rsidR="00A105E3">
        <w:rPr>
          <w:szCs w:val="24"/>
        </w:rPr>
        <w:t>was accounted for</w:t>
      </w:r>
      <w:r w:rsidRPr="0050769D">
        <w:rPr>
          <w:szCs w:val="24"/>
        </w:rPr>
        <w:t xml:space="preserve"> in the economic evaluation presented in the resubmission</w:t>
      </w:r>
      <w:r w:rsidR="0052477F">
        <w:rPr>
          <w:szCs w:val="24"/>
        </w:rPr>
        <w:t xml:space="preserve"> to PBAC</w:t>
      </w:r>
      <w:r w:rsidRPr="0050769D">
        <w:rPr>
          <w:szCs w:val="24"/>
        </w:rPr>
        <w:t>; the base-case assume</w:t>
      </w:r>
      <w:r w:rsidR="00A105E3">
        <w:rPr>
          <w:szCs w:val="24"/>
        </w:rPr>
        <w:t>d</w:t>
      </w:r>
      <w:r w:rsidRPr="0050769D">
        <w:rPr>
          <w:szCs w:val="24"/>
        </w:rPr>
        <w:t xml:space="preserve"> a 12% re-biopsy rate and explore</w:t>
      </w:r>
      <w:r w:rsidR="00A105E3">
        <w:rPr>
          <w:szCs w:val="24"/>
        </w:rPr>
        <w:t>d</w:t>
      </w:r>
      <w:r w:rsidRPr="0050769D">
        <w:rPr>
          <w:szCs w:val="24"/>
        </w:rPr>
        <w:t xml:space="preserve"> a range of costs in the sensitivity analyses. </w:t>
      </w:r>
      <w:r w:rsidR="00A105E3">
        <w:rPr>
          <w:szCs w:val="24"/>
        </w:rPr>
        <w:t xml:space="preserve">It is acknowledged </w:t>
      </w:r>
      <w:r w:rsidRPr="00A105E3">
        <w:rPr>
          <w:szCs w:val="24"/>
        </w:rPr>
        <w:t>that with increasing experience and knowledge of sampling requirements, the re-biopsy rate may decrease over time.</w:t>
      </w:r>
    </w:p>
    <w:p w:rsidR="00A105E3" w:rsidRPr="00A105E3" w:rsidRDefault="00A105E3" w:rsidP="00837196">
      <w:pPr>
        <w:tabs>
          <w:tab w:val="left" w:pos="720"/>
          <w:tab w:val="left" w:pos="1140"/>
        </w:tabs>
        <w:rPr>
          <w:szCs w:val="24"/>
        </w:rPr>
      </w:pPr>
    </w:p>
    <w:p w:rsidR="009140DF" w:rsidRPr="006A1D88" w:rsidRDefault="002B4CE2" w:rsidP="00837196">
      <w:pPr>
        <w:pStyle w:val="Heading1"/>
        <w:spacing w:before="0"/>
        <w:rPr>
          <w:rFonts w:cs="Arial"/>
          <w:szCs w:val="24"/>
        </w:rPr>
      </w:pPr>
      <w:r w:rsidRPr="006A1D88">
        <w:rPr>
          <w:rFonts w:cs="Arial"/>
          <w:szCs w:val="24"/>
        </w:rPr>
        <w:t>10.</w:t>
      </w:r>
      <w:r w:rsidRPr="006A1D88">
        <w:rPr>
          <w:rFonts w:cs="Arial"/>
          <w:szCs w:val="24"/>
        </w:rPr>
        <w:tab/>
      </w:r>
      <w:r w:rsidR="00E67C5A" w:rsidRPr="006A1D88">
        <w:rPr>
          <w:rFonts w:cs="Arial"/>
          <w:szCs w:val="24"/>
        </w:rPr>
        <w:t xml:space="preserve">Comparative </w:t>
      </w:r>
      <w:r w:rsidR="00937076" w:rsidRPr="006A1D88">
        <w:rPr>
          <w:rFonts w:cs="Arial"/>
          <w:szCs w:val="24"/>
        </w:rPr>
        <w:t>effectiveness</w:t>
      </w:r>
    </w:p>
    <w:p w:rsidR="00614A1C" w:rsidRDefault="00614A1C" w:rsidP="00A105E3">
      <w:pPr>
        <w:tabs>
          <w:tab w:val="left" w:pos="720"/>
          <w:tab w:val="left" w:pos="1140"/>
        </w:tabs>
        <w:rPr>
          <w:szCs w:val="24"/>
        </w:rPr>
      </w:pPr>
      <w:r w:rsidRPr="0050769D">
        <w:rPr>
          <w:szCs w:val="24"/>
        </w:rPr>
        <w:t xml:space="preserve">There is no accepted ‘reference standard’ against which the performance of EGFR mutation testing methods can be compared. The evidentiary standard used in the key IPASS trial was the </w:t>
      </w:r>
      <w:proofErr w:type="spellStart"/>
      <w:r w:rsidRPr="0050769D">
        <w:rPr>
          <w:szCs w:val="24"/>
        </w:rPr>
        <w:t>DxS</w:t>
      </w:r>
      <w:proofErr w:type="spellEnd"/>
      <w:r w:rsidRPr="0050769D">
        <w:rPr>
          <w:szCs w:val="24"/>
        </w:rPr>
        <w:t xml:space="preserve"> </w:t>
      </w:r>
      <w:proofErr w:type="spellStart"/>
      <w:r w:rsidRPr="0050769D">
        <w:rPr>
          <w:szCs w:val="24"/>
        </w:rPr>
        <w:t>TheraScreen</w:t>
      </w:r>
      <w:proofErr w:type="spellEnd"/>
      <w:r w:rsidRPr="0050769D">
        <w:rPr>
          <w:szCs w:val="24"/>
          <w:vertAlign w:val="superscript"/>
        </w:rPr>
        <w:t>®</w:t>
      </w:r>
      <w:r w:rsidRPr="0050769D">
        <w:rPr>
          <w:szCs w:val="24"/>
        </w:rPr>
        <w:t xml:space="preserve"> EGFR 29 Mutation Detection Kit, which uses Scorpion-ARMS technology. This EGFR testing technology is used in several Australian diagnostic laboratories.</w:t>
      </w:r>
    </w:p>
    <w:p w:rsidR="007363C5" w:rsidRDefault="007363C5">
      <w:pPr>
        <w:rPr>
          <w:szCs w:val="24"/>
        </w:rPr>
      </w:pPr>
    </w:p>
    <w:p w:rsidR="00614A1C" w:rsidRDefault="00614A1C" w:rsidP="00A105E3">
      <w:pPr>
        <w:tabs>
          <w:tab w:val="left" w:pos="720"/>
          <w:tab w:val="left" w:pos="1140"/>
        </w:tabs>
        <w:rPr>
          <w:szCs w:val="24"/>
        </w:rPr>
      </w:pPr>
      <w:r w:rsidRPr="003427A8">
        <w:rPr>
          <w:szCs w:val="24"/>
        </w:rPr>
        <w:t xml:space="preserve">A summary of the EGFR mutation testing methods used in the main clinical trials and in Australian laboratories are shown in </w:t>
      </w:r>
      <w:r w:rsidR="003427A8">
        <w:rPr>
          <w:szCs w:val="24"/>
        </w:rPr>
        <w:t>the table</w:t>
      </w:r>
      <w:r w:rsidRPr="003427A8">
        <w:rPr>
          <w:szCs w:val="24"/>
        </w:rPr>
        <w:t xml:space="preserve"> below.</w:t>
      </w:r>
    </w:p>
    <w:p w:rsidR="00784711" w:rsidRPr="003427A8" w:rsidRDefault="00784711" w:rsidP="00A105E3">
      <w:pPr>
        <w:tabs>
          <w:tab w:val="left" w:pos="720"/>
          <w:tab w:val="left" w:pos="1140"/>
        </w:tabs>
        <w:rPr>
          <w:szCs w:val="24"/>
        </w:rPr>
      </w:pPr>
    </w:p>
    <w:p w:rsidR="00614A1C" w:rsidRPr="00E7089A" w:rsidRDefault="00614A1C" w:rsidP="00E7089A">
      <w:pPr>
        <w:keepNext/>
        <w:spacing w:before="40" w:after="120"/>
        <w:ind w:hanging="1"/>
        <w:rPr>
          <w:rFonts w:ascii="Arial Narrow" w:hAnsi="Arial Narrow" w:cs="Arial"/>
          <w:b/>
          <w:snapToGrid w:val="0"/>
          <w:sz w:val="22"/>
          <w:szCs w:val="22"/>
        </w:rPr>
      </w:pPr>
      <w:r w:rsidRPr="00E7089A">
        <w:rPr>
          <w:rFonts w:ascii="Arial Narrow" w:hAnsi="Arial Narrow" w:cs="Arial"/>
          <w:b/>
          <w:snapToGrid w:val="0"/>
          <w:sz w:val="22"/>
          <w:szCs w:val="22"/>
        </w:rPr>
        <w:t>Summary of EGFR mutation testing methods used in clinical trials and Australian pathology laboratories</w:t>
      </w:r>
    </w:p>
    <w:tbl>
      <w:tblPr>
        <w:tblStyle w:val="Summarybox3"/>
        <w:tblW w:w="8930" w:type="dxa"/>
        <w:tblInd w:w="534" w:type="dxa"/>
        <w:tblLook w:val="04A0" w:firstRow="1" w:lastRow="0" w:firstColumn="1" w:lastColumn="0" w:noHBand="0" w:noVBand="1"/>
        <w:tblCaption w:val="Summary of EGFR mutation testing methods used in clinical trials and Australian pathology laboratories"/>
      </w:tblPr>
      <w:tblGrid>
        <w:gridCol w:w="978"/>
        <w:gridCol w:w="1174"/>
        <w:gridCol w:w="6778"/>
      </w:tblGrid>
      <w:tr w:rsidR="00527862" w:rsidRPr="00212FB3" w:rsidTr="00527862">
        <w:trPr>
          <w:cnfStyle w:val="100000000000" w:firstRow="1" w:lastRow="0" w:firstColumn="0" w:lastColumn="0" w:oddVBand="0" w:evenVBand="0" w:oddHBand="0" w:evenHBand="0" w:firstRowFirstColumn="0" w:firstRowLastColumn="0" w:lastRowFirstColumn="0" w:lastRowLastColumn="0"/>
          <w:tblHeader/>
        </w:trPr>
        <w:tc>
          <w:tcPr>
            <w:tcW w:w="978" w:type="dxa"/>
          </w:tcPr>
          <w:p w:rsidR="00527862" w:rsidRPr="00212FB3" w:rsidRDefault="00527862" w:rsidP="00527862">
            <w:pPr>
              <w:tabs>
                <w:tab w:val="left" w:pos="1134"/>
                <w:tab w:val="left" w:pos="2977"/>
              </w:tabs>
              <w:spacing w:before="96" w:after="48"/>
              <w:rPr>
                <w:rFonts w:ascii="Arial Narrow" w:hAnsi="Arial Narrow" w:cs="Arial"/>
                <w:b/>
                <w:sz w:val="20"/>
              </w:rPr>
            </w:pPr>
            <w:r>
              <w:rPr>
                <w:rFonts w:ascii="Arial Narrow" w:hAnsi="Arial Narrow" w:cs="Arial"/>
                <w:b/>
                <w:sz w:val="20"/>
                <w:szCs w:val="20"/>
              </w:rPr>
              <w:t>Drug</w:t>
            </w:r>
          </w:p>
        </w:tc>
        <w:tc>
          <w:tcPr>
            <w:tcW w:w="1174" w:type="dxa"/>
          </w:tcPr>
          <w:p w:rsidR="00527862" w:rsidRPr="00212FB3" w:rsidRDefault="00527862" w:rsidP="00614A1C">
            <w:pPr>
              <w:tabs>
                <w:tab w:val="left" w:pos="1134"/>
                <w:tab w:val="left" w:pos="2977"/>
              </w:tabs>
              <w:spacing w:beforeLines="0" w:afterLines="0" w:line="240" w:lineRule="auto"/>
              <w:rPr>
                <w:rFonts w:ascii="Arial Narrow" w:hAnsi="Arial Narrow" w:cs="Arial"/>
                <w:b/>
                <w:sz w:val="20"/>
                <w:szCs w:val="20"/>
              </w:rPr>
            </w:pPr>
            <w:r w:rsidRPr="00212FB3">
              <w:rPr>
                <w:rFonts w:ascii="Arial Narrow" w:hAnsi="Arial Narrow" w:cs="Arial"/>
                <w:b/>
                <w:sz w:val="20"/>
                <w:szCs w:val="20"/>
              </w:rPr>
              <w:t>Clinical trial</w:t>
            </w:r>
          </w:p>
        </w:tc>
        <w:tc>
          <w:tcPr>
            <w:tcW w:w="6778" w:type="dxa"/>
          </w:tcPr>
          <w:p w:rsidR="00527862" w:rsidRPr="00212FB3" w:rsidRDefault="00527862" w:rsidP="00614A1C">
            <w:pPr>
              <w:tabs>
                <w:tab w:val="left" w:pos="1134"/>
                <w:tab w:val="left" w:pos="2977"/>
              </w:tabs>
              <w:spacing w:beforeLines="0" w:afterLines="0" w:line="240" w:lineRule="auto"/>
              <w:rPr>
                <w:rFonts w:ascii="Arial Narrow" w:hAnsi="Arial Narrow" w:cs="Arial"/>
                <w:b/>
                <w:sz w:val="20"/>
                <w:szCs w:val="20"/>
              </w:rPr>
            </w:pPr>
            <w:r w:rsidRPr="00212FB3">
              <w:rPr>
                <w:rFonts w:ascii="Arial Narrow" w:hAnsi="Arial Narrow" w:cs="Arial"/>
                <w:b/>
                <w:sz w:val="20"/>
                <w:szCs w:val="20"/>
              </w:rPr>
              <w:t>EGFR mutation testing method</w:t>
            </w:r>
          </w:p>
        </w:tc>
      </w:tr>
      <w:tr w:rsidR="00614A1C" w:rsidRPr="00212FB3" w:rsidTr="00527862">
        <w:tc>
          <w:tcPr>
            <w:tcW w:w="978" w:type="dxa"/>
            <w:tcBorders>
              <w:bottom w:val="single" w:sz="4" w:space="0" w:color="auto"/>
              <w:right w:val="single" w:sz="4" w:space="0" w:color="auto"/>
            </w:tcBorders>
            <w:vAlign w:val="top"/>
          </w:tcPr>
          <w:p w:rsidR="00614A1C" w:rsidRPr="00212FB3" w:rsidRDefault="00614A1C"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 xml:space="preserve">Afatinib </w:t>
            </w:r>
          </w:p>
        </w:tc>
        <w:tc>
          <w:tcPr>
            <w:tcW w:w="1174" w:type="dxa"/>
            <w:tcBorders>
              <w:left w:val="single" w:sz="4" w:space="0" w:color="auto"/>
              <w:bottom w:val="single" w:sz="4" w:space="0" w:color="auto"/>
              <w:right w:val="single" w:sz="4" w:space="0" w:color="auto"/>
            </w:tcBorders>
            <w:vAlign w:val="top"/>
          </w:tcPr>
          <w:p w:rsidR="00614A1C" w:rsidRPr="00212FB3" w:rsidRDefault="00614A1C"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LUX Lung 3</w:t>
            </w:r>
          </w:p>
        </w:tc>
        <w:tc>
          <w:tcPr>
            <w:tcW w:w="6778" w:type="dxa"/>
            <w:tcBorders>
              <w:left w:val="single" w:sz="4" w:space="0" w:color="auto"/>
              <w:bottom w:val="single" w:sz="4" w:space="0" w:color="auto"/>
            </w:tcBorders>
            <w:vAlign w:val="top"/>
          </w:tcPr>
          <w:p w:rsidR="00614A1C" w:rsidRPr="00212FB3" w:rsidRDefault="00614A1C" w:rsidP="00614A1C">
            <w:pPr>
              <w:tabs>
                <w:tab w:val="left" w:pos="1134"/>
                <w:tab w:val="left" w:pos="2977"/>
              </w:tabs>
              <w:spacing w:before="40" w:after="40"/>
              <w:rPr>
                <w:rFonts w:ascii="Arial Narrow" w:hAnsi="Arial Narrow" w:cs="Arial"/>
                <w:sz w:val="20"/>
              </w:rPr>
            </w:pPr>
            <w:proofErr w:type="spellStart"/>
            <w:r w:rsidRPr="00212FB3">
              <w:rPr>
                <w:rFonts w:ascii="Arial Narrow" w:hAnsi="Arial Narrow" w:cs="Arial"/>
                <w:sz w:val="20"/>
              </w:rPr>
              <w:t>DxS</w:t>
            </w:r>
            <w:proofErr w:type="spellEnd"/>
            <w:r w:rsidRPr="00212FB3">
              <w:rPr>
                <w:rFonts w:ascii="Arial Narrow" w:hAnsi="Arial Narrow" w:cs="Arial"/>
                <w:sz w:val="20"/>
              </w:rPr>
              <w:t xml:space="preserve"> </w:t>
            </w:r>
            <w:proofErr w:type="spellStart"/>
            <w:r w:rsidRPr="00212FB3">
              <w:rPr>
                <w:rFonts w:ascii="Arial Narrow" w:hAnsi="Arial Narrow" w:cs="Arial"/>
                <w:sz w:val="20"/>
              </w:rPr>
              <w:t>TheraScreen</w:t>
            </w:r>
            <w:proofErr w:type="spellEnd"/>
            <w:r w:rsidRPr="00212FB3">
              <w:rPr>
                <w:rFonts w:ascii="Arial Narrow" w:hAnsi="Arial Narrow" w:cs="Arial"/>
                <w:sz w:val="20"/>
                <w:vertAlign w:val="superscript"/>
              </w:rPr>
              <w:t>®</w:t>
            </w:r>
            <w:r w:rsidRPr="00212FB3">
              <w:rPr>
                <w:rFonts w:ascii="Arial Narrow" w:hAnsi="Arial Narrow" w:cs="Arial"/>
                <w:sz w:val="20"/>
              </w:rPr>
              <w:t xml:space="preserve"> EGFR 29 Mutation Detection Kit (uses Scorpion-ARMS technology)</w:t>
            </w:r>
          </w:p>
        </w:tc>
      </w:tr>
      <w:tr w:rsidR="00614A1C" w:rsidRPr="00212FB3" w:rsidTr="00527862">
        <w:tc>
          <w:tcPr>
            <w:tcW w:w="978" w:type="dxa"/>
            <w:tcBorders>
              <w:bottom w:val="single" w:sz="4" w:space="0" w:color="auto"/>
              <w:right w:val="single" w:sz="4" w:space="0" w:color="auto"/>
            </w:tcBorders>
            <w:vAlign w:val="top"/>
          </w:tcPr>
          <w:p w:rsidR="00614A1C" w:rsidRPr="00212FB3" w:rsidRDefault="00527862"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Erlotinib</w:t>
            </w:r>
          </w:p>
        </w:tc>
        <w:tc>
          <w:tcPr>
            <w:tcW w:w="1174" w:type="dxa"/>
            <w:tcBorders>
              <w:left w:val="single" w:sz="4" w:space="0" w:color="auto"/>
              <w:bottom w:val="single" w:sz="4" w:space="0" w:color="auto"/>
              <w:right w:val="single" w:sz="4" w:space="0" w:color="auto"/>
            </w:tcBorders>
            <w:vAlign w:val="top"/>
          </w:tcPr>
          <w:p w:rsidR="00614A1C" w:rsidRPr="00212FB3" w:rsidRDefault="00614A1C"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EURTAC</w:t>
            </w:r>
          </w:p>
        </w:tc>
        <w:tc>
          <w:tcPr>
            <w:tcW w:w="6778" w:type="dxa"/>
            <w:tcBorders>
              <w:left w:val="single" w:sz="4" w:space="0" w:color="auto"/>
              <w:bottom w:val="single" w:sz="4" w:space="0" w:color="auto"/>
            </w:tcBorders>
            <w:vAlign w:val="top"/>
          </w:tcPr>
          <w:p w:rsidR="00614A1C" w:rsidRPr="00212FB3" w:rsidRDefault="00614A1C"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 xml:space="preserve">DNA sequencing, fragment length analysis (exon 19), </w:t>
            </w:r>
            <w:proofErr w:type="spellStart"/>
            <w:r w:rsidRPr="00212FB3">
              <w:rPr>
                <w:rFonts w:ascii="Arial Narrow" w:hAnsi="Arial Narrow" w:cs="Arial"/>
                <w:sz w:val="20"/>
              </w:rPr>
              <w:t>TaqMan</w:t>
            </w:r>
            <w:proofErr w:type="spellEnd"/>
            <w:r w:rsidRPr="00212FB3">
              <w:rPr>
                <w:rFonts w:ascii="Arial Narrow" w:hAnsi="Arial Narrow" w:cs="Arial"/>
                <w:sz w:val="20"/>
              </w:rPr>
              <w:t xml:space="preserve"> assay (exon 21)</w:t>
            </w:r>
          </w:p>
        </w:tc>
      </w:tr>
      <w:tr w:rsidR="00614A1C" w:rsidRPr="00212FB3" w:rsidTr="00527862">
        <w:tc>
          <w:tcPr>
            <w:tcW w:w="978" w:type="dxa"/>
            <w:tcBorders>
              <w:top w:val="single" w:sz="4" w:space="0" w:color="auto"/>
              <w:bottom w:val="single" w:sz="4" w:space="0" w:color="auto"/>
              <w:right w:val="single" w:sz="4" w:space="0" w:color="auto"/>
            </w:tcBorders>
            <w:vAlign w:val="top"/>
          </w:tcPr>
          <w:p w:rsidR="00614A1C" w:rsidRPr="00212FB3" w:rsidRDefault="00527862"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Erlotinib</w:t>
            </w:r>
          </w:p>
        </w:tc>
        <w:tc>
          <w:tcPr>
            <w:tcW w:w="1174" w:type="dxa"/>
            <w:tcBorders>
              <w:top w:val="single" w:sz="4" w:space="0" w:color="auto"/>
              <w:left w:val="single" w:sz="4" w:space="0" w:color="auto"/>
              <w:bottom w:val="single" w:sz="4" w:space="0" w:color="auto"/>
              <w:right w:val="single" w:sz="4" w:space="0" w:color="auto"/>
            </w:tcBorders>
            <w:vAlign w:val="top"/>
          </w:tcPr>
          <w:p w:rsidR="00614A1C" w:rsidRPr="00212FB3" w:rsidRDefault="00614A1C"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OPTIMAL</w:t>
            </w:r>
          </w:p>
        </w:tc>
        <w:tc>
          <w:tcPr>
            <w:tcW w:w="6778" w:type="dxa"/>
            <w:tcBorders>
              <w:top w:val="single" w:sz="4" w:space="0" w:color="auto"/>
              <w:left w:val="single" w:sz="4" w:space="0" w:color="auto"/>
              <w:bottom w:val="single" w:sz="4" w:space="0" w:color="auto"/>
            </w:tcBorders>
            <w:vAlign w:val="top"/>
          </w:tcPr>
          <w:p w:rsidR="00614A1C" w:rsidRPr="00212FB3" w:rsidRDefault="00614A1C"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 xml:space="preserve">DNA sequencing, fragment length analysis (exon 19), </w:t>
            </w:r>
            <w:proofErr w:type="spellStart"/>
            <w:r w:rsidRPr="00212FB3">
              <w:rPr>
                <w:rFonts w:ascii="Arial Narrow" w:hAnsi="Arial Narrow" w:cs="Arial"/>
                <w:sz w:val="20"/>
              </w:rPr>
              <w:t>Cycleave</w:t>
            </w:r>
            <w:proofErr w:type="spellEnd"/>
            <w:r w:rsidRPr="00212FB3">
              <w:rPr>
                <w:rFonts w:ascii="Arial Narrow" w:hAnsi="Arial Narrow" w:cs="Arial"/>
                <w:sz w:val="20"/>
              </w:rPr>
              <w:t xml:space="preserve"> assay (exon 21)</w:t>
            </w:r>
          </w:p>
        </w:tc>
      </w:tr>
      <w:tr w:rsidR="00614A1C" w:rsidRPr="00212FB3" w:rsidTr="00527862">
        <w:tc>
          <w:tcPr>
            <w:tcW w:w="978" w:type="dxa"/>
            <w:tcBorders>
              <w:bottom w:val="single" w:sz="4" w:space="0" w:color="auto"/>
              <w:right w:val="single" w:sz="4" w:space="0" w:color="auto"/>
            </w:tcBorders>
            <w:vAlign w:val="top"/>
          </w:tcPr>
          <w:p w:rsidR="00614A1C" w:rsidRPr="00212FB3" w:rsidRDefault="00614A1C"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Gefitinib</w:t>
            </w:r>
          </w:p>
        </w:tc>
        <w:tc>
          <w:tcPr>
            <w:tcW w:w="1174" w:type="dxa"/>
            <w:tcBorders>
              <w:left w:val="single" w:sz="4" w:space="0" w:color="auto"/>
              <w:bottom w:val="single" w:sz="4" w:space="0" w:color="auto"/>
              <w:right w:val="single" w:sz="4" w:space="0" w:color="auto"/>
            </w:tcBorders>
            <w:vAlign w:val="top"/>
          </w:tcPr>
          <w:p w:rsidR="00614A1C" w:rsidRPr="00212FB3" w:rsidRDefault="00614A1C"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IPASS</w:t>
            </w:r>
          </w:p>
        </w:tc>
        <w:tc>
          <w:tcPr>
            <w:tcW w:w="6778" w:type="dxa"/>
            <w:tcBorders>
              <w:left w:val="single" w:sz="4" w:space="0" w:color="auto"/>
              <w:bottom w:val="single" w:sz="4" w:space="0" w:color="auto"/>
            </w:tcBorders>
            <w:vAlign w:val="top"/>
          </w:tcPr>
          <w:p w:rsidR="00614A1C" w:rsidRPr="00212FB3" w:rsidRDefault="00614A1C" w:rsidP="00614A1C">
            <w:pPr>
              <w:tabs>
                <w:tab w:val="left" w:pos="1134"/>
                <w:tab w:val="left" w:pos="2977"/>
              </w:tabs>
              <w:spacing w:before="40" w:after="40"/>
              <w:rPr>
                <w:rFonts w:ascii="Arial Narrow" w:hAnsi="Arial Narrow" w:cs="Arial"/>
                <w:sz w:val="20"/>
              </w:rPr>
            </w:pPr>
            <w:proofErr w:type="spellStart"/>
            <w:r w:rsidRPr="00212FB3">
              <w:rPr>
                <w:rFonts w:ascii="Arial Narrow" w:hAnsi="Arial Narrow" w:cs="Arial"/>
                <w:sz w:val="20"/>
              </w:rPr>
              <w:t>DxS</w:t>
            </w:r>
            <w:proofErr w:type="spellEnd"/>
            <w:r w:rsidRPr="00212FB3">
              <w:rPr>
                <w:rFonts w:ascii="Arial Narrow" w:hAnsi="Arial Narrow" w:cs="Arial"/>
                <w:sz w:val="20"/>
              </w:rPr>
              <w:t xml:space="preserve"> </w:t>
            </w:r>
            <w:proofErr w:type="spellStart"/>
            <w:r w:rsidRPr="00212FB3">
              <w:rPr>
                <w:rFonts w:ascii="Arial Narrow" w:hAnsi="Arial Narrow" w:cs="Arial"/>
                <w:sz w:val="20"/>
              </w:rPr>
              <w:t>TheraScreen</w:t>
            </w:r>
            <w:proofErr w:type="spellEnd"/>
            <w:r w:rsidRPr="00212FB3">
              <w:rPr>
                <w:rFonts w:ascii="Arial Narrow" w:hAnsi="Arial Narrow" w:cs="Arial"/>
                <w:sz w:val="20"/>
                <w:vertAlign w:val="superscript"/>
              </w:rPr>
              <w:t>®</w:t>
            </w:r>
            <w:r w:rsidRPr="00212FB3">
              <w:rPr>
                <w:rFonts w:ascii="Arial Narrow" w:hAnsi="Arial Narrow" w:cs="Arial"/>
                <w:sz w:val="20"/>
              </w:rPr>
              <w:t xml:space="preserve"> EGFR 29 Mutation Detection Kit (uses Scorpion-ARMS technology)</w:t>
            </w:r>
          </w:p>
        </w:tc>
      </w:tr>
      <w:tr w:rsidR="00614A1C" w:rsidRPr="00212FB3" w:rsidTr="00527862">
        <w:tc>
          <w:tcPr>
            <w:tcW w:w="978" w:type="dxa"/>
            <w:tcBorders>
              <w:top w:val="single" w:sz="4" w:space="0" w:color="auto"/>
              <w:bottom w:val="single" w:sz="4" w:space="0" w:color="auto"/>
              <w:right w:val="single" w:sz="4" w:space="0" w:color="auto"/>
            </w:tcBorders>
            <w:vAlign w:val="top"/>
          </w:tcPr>
          <w:p w:rsidR="00614A1C" w:rsidRPr="00212FB3" w:rsidRDefault="00527862"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Gefitinib</w:t>
            </w:r>
          </w:p>
        </w:tc>
        <w:tc>
          <w:tcPr>
            <w:tcW w:w="1174" w:type="dxa"/>
            <w:tcBorders>
              <w:top w:val="single" w:sz="4" w:space="0" w:color="auto"/>
              <w:left w:val="single" w:sz="4" w:space="0" w:color="auto"/>
              <w:bottom w:val="single" w:sz="4" w:space="0" w:color="auto"/>
              <w:right w:val="single" w:sz="4" w:space="0" w:color="auto"/>
            </w:tcBorders>
            <w:vAlign w:val="top"/>
          </w:tcPr>
          <w:p w:rsidR="00614A1C" w:rsidRPr="00212FB3" w:rsidRDefault="00614A1C" w:rsidP="00614A1C">
            <w:pPr>
              <w:tabs>
                <w:tab w:val="left" w:pos="1134"/>
                <w:tab w:val="left" w:pos="2977"/>
              </w:tabs>
              <w:spacing w:before="40" w:after="40"/>
              <w:ind w:right="-57"/>
              <w:rPr>
                <w:rFonts w:ascii="Arial Narrow" w:hAnsi="Arial Narrow" w:cs="Arial"/>
                <w:sz w:val="20"/>
              </w:rPr>
            </w:pPr>
            <w:r w:rsidRPr="00212FB3">
              <w:rPr>
                <w:rFonts w:ascii="Arial Narrow" w:hAnsi="Arial Narrow" w:cs="Arial"/>
                <w:sz w:val="20"/>
              </w:rPr>
              <w:t>First-SIGNAL</w:t>
            </w:r>
          </w:p>
        </w:tc>
        <w:tc>
          <w:tcPr>
            <w:tcW w:w="6778" w:type="dxa"/>
            <w:tcBorders>
              <w:top w:val="single" w:sz="4" w:space="0" w:color="auto"/>
              <w:left w:val="single" w:sz="4" w:space="0" w:color="auto"/>
              <w:bottom w:val="single" w:sz="4" w:space="0" w:color="auto"/>
            </w:tcBorders>
            <w:vAlign w:val="top"/>
          </w:tcPr>
          <w:p w:rsidR="00614A1C" w:rsidRPr="00212FB3" w:rsidRDefault="00614A1C"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DNA sequencing of exons 19, 20 and 21 (repeated to confirm)</w:t>
            </w:r>
          </w:p>
        </w:tc>
      </w:tr>
      <w:tr w:rsidR="00614A1C" w:rsidRPr="00212FB3" w:rsidTr="00527862">
        <w:tc>
          <w:tcPr>
            <w:tcW w:w="978" w:type="dxa"/>
            <w:tcBorders>
              <w:top w:val="single" w:sz="4" w:space="0" w:color="auto"/>
              <w:bottom w:val="single" w:sz="4" w:space="0" w:color="auto"/>
              <w:right w:val="single" w:sz="4" w:space="0" w:color="auto"/>
            </w:tcBorders>
            <w:vAlign w:val="top"/>
          </w:tcPr>
          <w:p w:rsidR="00614A1C" w:rsidRPr="00212FB3" w:rsidRDefault="00527862"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lastRenderedPageBreak/>
              <w:t>Gefitinib</w:t>
            </w:r>
          </w:p>
        </w:tc>
        <w:tc>
          <w:tcPr>
            <w:tcW w:w="1174" w:type="dxa"/>
            <w:tcBorders>
              <w:top w:val="single" w:sz="4" w:space="0" w:color="auto"/>
              <w:left w:val="single" w:sz="4" w:space="0" w:color="auto"/>
              <w:bottom w:val="single" w:sz="4" w:space="0" w:color="auto"/>
              <w:right w:val="single" w:sz="4" w:space="0" w:color="auto"/>
            </w:tcBorders>
            <w:vAlign w:val="top"/>
          </w:tcPr>
          <w:p w:rsidR="00614A1C" w:rsidRPr="00212FB3" w:rsidRDefault="00614A1C"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NEJ002</w:t>
            </w:r>
          </w:p>
        </w:tc>
        <w:tc>
          <w:tcPr>
            <w:tcW w:w="6778" w:type="dxa"/>
            <w:tcBorders>
              <w:top w:val="single" w:sz="4" w:space="0" w:color="auto"/>
              <w:left w:val="single" w:sz="4" w:space="0" w:color="auto"/>
              <w:bottom w:val="single" w:sz="4" w:space="0" w:color="auto"/>
            </w:tcBorders>
            <w:vAlign w:val="top"/>
          </w:tcPr>
          <w:p w:rsidR="00614A1C" w:rsidRPr="00212FB3" w:rsidRDefault="00614A1C"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PNA-LNA PCR clamp</w:t>
            </w:r>
          </w:p>
        </w:tc>
      </w:tr>
      <w:tr w:rsidR="00614A1C" w:rsidRPr="00212FB3" w:rsidTr="00527862">
        <w:tc>
          <w:tcPr>
            <w:tcW w:w="978" w:type="dxa"/>
            <w:tcBorders>
              <w:top w:val="single" w:sz="4" w:space="0" w:color="auto"/>
              <w:right w:val="single" w:sz="4" w:space="0" w:color="auto"/>
            </w:tcBorders>
            <w:vAlign w:val="top"/>
          </w:tcPr>
          <w:p w:rsidR="00614A1C" w:rsidRPr="00212FB3" w:rsidRDefault="00527862"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Gefitinib</w:t>
            </w:r>
          </w:p>
        </w:tc>
        <w:tc>
          <w:tcPr>
            <w:tcW w:w="1174" w:type="dxa"/>
            <w:tcBorders>
              <w:top w:val="single" w:sz="4" w:space="0" w:color="auto"/>
              <w:left w:val="single" w:sz="4" w:space="0" w:color="auto"/>
              <w:right w:val="single" w:sz="4" w:space="0" w:color="auto"/>
            </w:tcBorders>
            <w:vAlign w:val="top"/>
          </w:tcPr>
          <w:p w:rsidR="00614A1C" w:rsidRPr="00212FB3" w:rsidRDefault="00614A1C"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WJOTG3405</w:t>
            </w:r>
          </w:p>
        </w:tc>
        <w:tc>
          <w:tcPr>
            <w:tcW w:w="6778" w:type="dxa"/>
            <w:tcBorders>
              <w:top w:val="single" w:sz="4" w:space="0" w:color="auto"/>
              <w:left w:val="single" w:sz="4" w:space="0" w:color="auto"/>
            </w:tcBorders>
            <w:vAlign w:val="top"/>
          </w:tcPr>
          <w:p w:rsidR="00614A1C" w:rsidRPr="00212FB3" w:rsidRDefault="00614A1C" w:rsidP="00614A1C">
            <w:pPr>
              <w:tabs>
                <w:tab w:val="left" w:pos="1134"/>
                <w:tab w:val="left" w:pos="2977"/>
              </w:tabs>
              <w:spacing w:before="40" w:after="40"/>
              <w:rPr>
                <w:rFonts w:ascii="Arial Narrow" w:hAnsi="Arial Narrow" w:cs="Arial"/>
                <w:sz w:val="20"/>
              </w:rPr>
            </w:pPr>
            <w:r w:rsidRPr="00212FB3">
              <w:rPr>
                <w:rFonts w:ascii="Arial Narrow" w:hAnsi="Arial Narrow" w:cs="Arial"/>
                <w:sz w:val="20"/>
              </w:rPr>
              <w:t xml:space="preserve">Fragment length analysis (exon 19), </w:t>
            </w:r>
            <w:proofErr w:type="spellStart"/>
            <w:r w:rsidRPr="00212FB3">
              <w:rPr>
                <w:rFonts w:ascii="Arial Narrow" w:hAnsi="Arial Narrow" w:cs="Arial"/>
                <w:sz w:val="20"/>
              </w:rPr>
              <w:t>Cycleave</w:t>
            </w:r>
            <w:proofErr w:type="spellEnd"/>
            <w:r w:rsidRPr="00212FB3">
              <w:rPr>
                <w:rFonts w:ascii="Arial Narrow" w:hAnsi="Arial Narrow" w:cs="Arial"/>
                <w:sz w:val="20"/>
              </w:rPr>
              <w:t xml:space="preserve"> assay (exon 21) confirmed by DNA sequencing</w:t>
            </w:r>
          </w:p>
        </w:tc>
      </w:tr>
    </w:tbl>
    <w:p w:rsidR="00527862" w:rsidRDefault="00527862"/>
    <w:tbl>
      <w:tblPr>
        <w:tblStyle w:val="Summarybox3"/>
        <w:tblW w:w="8930" w:type="dxa"/>
        <w:tblInd w:w="534" w:type="dxa"/>
        <w:tblLook w:val="04A0" w:firstRow="1" w:lastRow="0" w:firstColumn="1" w:lastColumn="0" w:noHBand="0" w:noVBand="1"/>
        <w:tblCaption w:val="Summary of EGFR mutation testing methods used in clinical trials and Australian pathology laboratories"/>
      </w:tblPr>
      <w:tblGrid>
        <w:gridCol w:w="2152"/>
        <w:gridCol w:w="6778"/>
      </w:tblGrid>
      <w:tr w:rsidR="00614A1C" w:rsidRPr="00212FB3" w:rsidTr="00527862">
        <w:trPr>
          <w:cnfStyle w:val="100000000000" w:firstRow="1" w:lastRow="0" w:firstColumn="0" w:lastColumn="0" w:oddVBand="0" w:evenVBand="0" w:oddHBand="0" w:evenHBand="0" w:firstRowFirstColumn="0" w:firstRowLastColumn="0" w:lastRowFirstColumn="0" w:lastRowLastColumn="0"/>
          <w:tblHeader/>
        </w:trPr>
        <w:tc>
          <w:tcPr>
            <w:tcW w:w="2152" w:type="dxa"/>
            <w:tcBorders>
              <w:right w:val="nil"/>
            </w:tcBorders>
            <w:vAlign w:val="top"/>
          </w:tcPr>
          <w:p w:rsidR="00614A1C" w:rsidRPr="00212FB3" w:rsidRDefault="00614A1C" w:rsidP="00527862">
            <w:pPr>
              <w:tabs>
                <w:tab w:val="left" w:pos="1134"/>
                <w:tab w:val="left" w:pos="2977"/>
              </w:tabs>
              <w:spacing w:before="96" w:after="48"/>
              <w:rPr>
                <w:rFonts w:ascii="Arial Narrow" w:hAnsi="Arial Narrow" w:cs="Arial"/>
                <w:sz w:val="20"/>
              </w:rPr>
            </w:pPr>
            <w:r w:rsidRPr="00212FB3">
              <w:rPr>
                <w:rFonts w:ascii="Arial Narrow" w:hAnsi="Arial Narrow" w:cs="Arial"/>
                <w:sz w:val="20"/>
              </w:rPr>
              <w:t>Australian pathology laboratories</w:t>
            </w:r>
          </w:p>
        </w:tc>
        <w:tc>
          <w:tcPr>
            <w:tcW w:w="6778" w:type="dxa"/>
            <w:tcBorders>
              <w:left w:val="nil"/>
            </w:tcBorders>
            <w:vAlign w:val="top"/>
          </w:tcPr>
          <w:p w:rsidR="00614A1C" w:rsidRPr="00212FB3" w:rsidRDefault="00614A1C" w:rsidP="00527862">
            <w:pPr>
              <w:tabs>
                <w:tab w:val="left" w:pos="2977"/>
              </w:tabs>
              <w:spacing w:before="96" w:after="48"/>
              <w:rPr>
                <w:rFonts w:ascii="Arial Narrow" w:hAnsi="Arial Narrow" w:cs="Arial"/>
                <w:sz w:val="20"/>
              </w:rPr>
            </w:pPr>
            <w:r w:rsidRPr="00212FB3">
              <w:rPr>
                <w:rFonts w:ascii="Arial Narrow" w:hAnsi="Arial Narrow" w:cs="Arial"/>
                <w:sz w:val="20"/>
              </w:rPr>
              <w:t>Direct DNA sequencing</w:t>
            </w:r>
          </w:p>
          <w:p w:rsidR="00614A1C" w:rsidRPr="00212FB3" w:rsidRDefault="00614A1C" w:rsidP="00527862">
            <w:pPr>
              <w:tabs>
                <w:tab w:val="left" w:pos="2977"/>
              </w:tabs>
              <w:spacing w:before="96" w:after="48"/>
              <w:rPr>
                <w:rFonts w:ascii="Arial Narrow" w:hAnsi="Arial Narrow" w:cs="Arial"/>
                <w:sz w:val="20"/>
              </w:rPr>
            </w:pPr>
            <w:r w:rsidRPr="00212FB3">
              <w:rPr>
                <w:rFonts w:ascii="Arial Narrow" w:hAnsi="Arial Narrow" w:cs="Arial"/>
                <w:sz w:val="20"/>
              </w:rPr>
              <w:t xml:space="preserve">Mass Spectrometry </w:t>
            </w:r>
            <w:proofErr w:type="spellStart"/>
            <w:r w:rsidRPr="00212FB3">
              <w:rPr>
                <w:rFonts w:ascii="Arial Narrow" w:hAnsi="Arial Narrow" w:cs="Arial"/>
                <w:sz w:val="20"/>
              </w:rPr>
              <w:t>Sequenom</w:t>
            </w:r>
            <w:proofErr w:type="spellEnd"/>
          </w:p>
          <w:p w:rsidR="00614A1C" w:rsidRPr="00212FB3" w:rsidRDefault="00614A1C" w:rsidP="00527862">
            <w:pPr>
              <w:tabs>
                <w:tab w:val="left" w:pos="2977"/>
              </w:tabs>
              <w:spacing w:before="96" w:after="48"/>
              <w:rPr>
                <w:rFonts w:ascii="Arial Narrow" w:hAnsi="Arial Narrow" w:cs="Arial"/>
                <w:sz w:val="20"/>
              </w:rPr>
            </w:pPr>
            <w:r w:rsidRPr="00212FB3">
              <w:rPr>
                <w:rFonts w:ascii="Arial Narrow" w:hAnsi="Arial Narrow" w:cs="Arial"/>
                <w:sz w:val="20"/>
              </w:rPr>
              <w:t xml:space="preserve">Scorpion ARMS technology (including </w:t>
            </w:r>
            <w:proofErr w:type="spellStart"/>
            <w:r w:rsidRPr="00212FB3">
              <w:rPr>
                <w:rFonts w:ascii="Arial Narrow" w:hAnsi="Arial Narrow" w:cs="Arial"/>
                <w:sz w:val="20"/>
              </w:rPr>
              <w:t>DxS</w:t>
            </w:r>
            <w:proofErr w:type="spellEnd"/>
            <w:r w:rsidRPr="00212FB3">
              <w:rPr>
                <w:rFonts w:ascii="Arial Narrow" w:hAnsi="Arial Narrow" w:cs="Arial"/>
                <w:sz w:val="20"/>
              </w:rPr>
              <w:t xml:space="preserve"> </w:t>
            </w:r>
            <w:proofErr w:type="spellStart"/>
            <w:r w:rsidRPr="00212FB3">
              <w:rPr>
                <w:rFonts w:ascii="Arial Narrow" w:hAnsi="Arial Narrow" w:cs="Arial"/>
                <w:sz w:val="20"/>
              </w:rPr>
              <w:t>TheraScreen</w:t>
            </w:r>
            <w:proofErr w:type="spellEnd"/>
            <w:r w:rsidRPr="00212FB3">
              <w:rPr>
                <w:rFonts w:ascii="Arial Narrow" w:hAnsi="Arial Narrow" w:cs="Arial"/>
                <w:sz w:val="20"/>
                <w:vertAlign w:val="superscript"/>
              </w:rPr>
              <w:t>®</w:t>
            </w:r>
            <w:r w:rsidRPr="00212FB3">
              <w:rPr>
                <w:rFonts w:ascii="Arial Narrow" w:hAnsi="Arial Narrow" w:cs="Arial"/>
                <w:sz w:val="20"/>
              </w:rPr>
              <w:t xml:space="preserve"> Kit)</w:t>
            </w:r>
          </w:p>
          <w:p w:rsidR="00614A1C" w:rsidRPr="00212FB3" w:rsidRDefault="00614A1C" w:rsidP="00527862">
            <w:pPr>
              <w:tabs>
                <w:tab w:val="left" w:pos="2977"/>
              </w:tabs>
              <w:spacing w:before="96" w:after="48"/>
              <w:rPr>
                <w:rFonts w:ascii="Arial Narrow" w:hAnsi="Arial Narrow" w:cs="Arial"/>
                <w:sz w:val="20"/>
              </w:rPr>
            </w:pPr>
            <w:proofErr w:type="spellStart"/>
            <w:r w:rsidRPr="00212FB3">
              <w:rPr>
                <w:rFonts w:ascii="Arial Narrow" w:hAnsi="Arial Narrow" w:cs="Arial"/>
                <w:sz w:val="20"/>
              </w:rPr>
              <w:t>TaqMan</w:t>
            </w:r>
            <w:proofErr w:type="spellEnd"/>
            <w:r w:rsidRPr="00212FB3">
              <w:rPr>
                <w:rFonts w:ascii="Arial Narrow" w:hAnsi="Arial Narrow" w:cs="Arial"/>
                <w:sz w:val="20"/>
                <w:vertAlign w:val="superscript"/>
              </w:rPr>
              <w:t>®</w:t>
            </w:r>
            <w:r w:rsidRPr="00212FB3">
              <w:rPr>
                <w:rFonts w:ascii="Arial Narrow" w:hAnsi="Arial Narrow" w:cs="Arial"/>
                <w:sz w:val="20"/>
              </w:rPr>
              <w:t xml:space="preserve"> Mutation Detection Assays</w:t>
            </w:r>
          </w:p>
          <w:p w:rsidR="00614A1C" w:rsidRPr="00212FB3" w:rsidRDefault="00614A1C" w:rsidP="00527862">
            <w:pPr>
              <w:tabs>
                <w:tab w:val="left" w:pos="1134"/>
                <w:tab w:val="left" w:pos="2977"/>
              </w:tabs>
              <w:spacing w:before="96" w:after="48"/>
              <w:rPr>
                <w:rFonts w:ascii="Arial Narrow" w:hAnsi="Arial Narrow" w:cs="Arial"/>
                <w:sz w:val="20"/>
              </w:rPr>
            </w:pPr>
            <w:proofErr w:type="spellStart"/>
            <w:r w:rsidRPr="00212FB3">
              <w:rPr>
                <w:rFonts w:ascii="Arial Narrow" w:hAnsi="Arial Narrow" w:cs="Arial"/>
                <w:sz w:val="20"/>
              </w:rPr>
              <w:t>Cobas</w:t>
            </w:r>
            <w:proofErr w:type="spellEnd"/>
            <w:r w:rsidRPr="00212FB3">
              <w:rPr>
                <w:rFonts w:ascii="Arial Narrow" w:hAnsi="Arial Narrow" w:cs="Arial"/>
                <w:sz w:val="20"/>
                <w:vertAlign w:val="superscript"/>
              </w:rPr>
              <w:t>®</w:t>
            </w:r>
            <w:r w:rsidRPr="00212FB3">
              <w:rPr>
                <w:rFonts w:ascii="Arial Narrow" w:hAnsi="Arial Narrow" w:cs="Arial"/>
                <w:sz w:val="20"/>
              </w:rPr>
              <w:t xml:space="preserve"> EGFR Mutation Test</w:t>
            </w:r>
          </w:p>
        </w:tc>
      </w:tr>
    </w:tbl>
    <w:p w:rsidR="00614A1C" w:rsidRPr="00212FB3" w:rsidRDefault="00614A1C" w:rsidP="00614A1C">
      <w:pPr>
        <w:tabs>
          <w:tab w:val="left" w:pos="720"/>
          <w:tab w:val="left" w:pos="1140"/>
        </w:tabs>
        <w:spacing w:after="240"/>
        <w:ind w:left="357"/>
        <w:jc w:val="both"/>
        <w:rPr>
          <w:rFonts w:ascii="Arial Narrow" w:hAnsi="Arial Narrow" w:cs="Arial"/>
          <w:snapToGrid w:val="0"/>
          <w:sz w:val="20"/>
        </w:rPr>
      </w:pPr>
      <w:r w:rsidRPr="00212FB3">
        <w:rPr>
          <w:rFonts w:ascii="Arial Narrow" w:hAnsi="Arial Narrow" w:cs="Arial"/>
          <w:snapToGrid w:val="0"/>
          <w:sz w:val="20"/>
        </w:rPr>
        <w:t>ARMS = Amplified Refractory Mutation System; EGFR = epidermal growth factor receptor; PCR = polymerase chain reaction; PNA-LNA = peptide nucleic acid-locked nucleic acid.</w:t>
      </w:r>
    </w:p>
    <w:p w:rsidR="00614A1C" w:rsidRPr="0050769D" w:rsidRDefault="00614A1C" w:rsidP="00784711">
      <w:pPr>
        <w:tabs>
          <w:tab w:val="left" w:pos="720"/>
          <w:tab w:val="left" w:pos="1140"/>
        </w:tabs>
        <w:rPr>
          <w:color w:val="000000"/>
          <w:szCs w:val="24"/>
          <w:u w:val="single"/>
        </w:rPr>
      </w:pPr>
      <w:r w:rsidRPr="0050769D">
        <w:rPr>
          <w:color w:val="000000"/>
          <w:szCs w:val="24"/>
          <w:u w:val="single"/>
        </w:rPr>
        <w:t>Test accuracy</w:t>
      </w:r>
    </w:p>
    <w:p w:rsidR="00614A1C" w:rsidRDefault="00524632" w:rsidP="00784711">
      <w:pPr>
        <w:tabs>
          <w:tab w:val="left" w:pos="720"/>
          <w:tab w:val="left" w:pos="1140"/>
        </w:tabs>
        <w:rPr>
          <w:szCs w:val="24"/>
        </w:rPr>
      </w:pPr>
      <w:r>
        <w:rPr>
          <w:color w:val="000000"/>
          <w:szCs w:val="24"/>
        </w:rPr>
        <w:t xml:space="preserve">The </w:t>
      </w:r>
      <w:r w:rsidR="00784711">
        <w:rPr>
          <w:color w:val="000000"/>
          <w:szCs w:val="24"/>
        </w:rPr>
        <w:t xml:space="preserve">November 2012 </w:t>
      </w:r>
      <w:r w:rsidR="00784711" w:rsidRPr="00317E70">
        <w:rPr>
          <w:color w:val="000000"/>
          <w:szCs w:val="24"/>
        </w:rPr>
        <w:t xml:space="preserve">MSAC </w:t>
      </w:r>
      <w:r w:rsidR="00784711">
        <w:rPr>
          <w:color w:val="000000"/>
          <w:szCs w:val="24"/>
        </w:rPr>
        <w:t xml:space="preserve">advice </w:t>
      </w:r>
      <w:r w:rsidR="00784711" w:rsidRPr="00317E70">
        <w:rPr>
          <w:color w:val="000000"/>
          <w:szCs w:val="24"/>
        </w:rPr>
        <w:t>for Application 1161</w:t>
      </w:r>
      <w:r w:rsidR="00784711">
        <w:rPr>
          <w:szCs w:val="24"/>
        </w:rPr>
        <w:t xml:space="preserve"> </w:t>
      </w:r>
      <w:r w:rsidR="00614A1C" w:rsidRPr="0050769D">
        <w:rPr>
          <w:szCs w:val="24"/>
        </w:rPr>
        <w:t>considered that an assumption for modelling purposes of 100% sensitivity and 100% specificity for the test forming the evidentiary standard used in the key gefitinib trial (IPASS) overestimated the likely test performance across test options and pathology laboratories in Australia. MSAC recommended that the sensitivity analyses of the economic evaluations presented to PBAC should appropriately examine the likely extent of proportions of false positive and false negative test results in Australia compared with those of the evidentiary standard because these proportions will have clinical and cost-effectiveness consequences due to the resulting misallocation of treatment.</w:t>
      </w:r>
    </w:p>
    <w:p w:rsidR="00784711" w:rsidRPr="0050769D" w:rsidRDefault="00784711" w:rsidP="00784711">
      <w:pPr>
        <w:tabs>
          <w:tab w:val="left" w:pos="720"/>
          <w:tab w:val="left" w:pos="1140"/>
        </w:tabs>
        <w:rPr>
          <w:szCs w:val="24"/>
        </w:rPr>
      </w:pPr>
    </w:p>
    <w:p w:rsidR="00614A1C" w:rsidRDefault="00524632" w:rsidP="00784711">
      <w:pPr>
        <w:tabs>
          <w:tab w:val="left" w:pos="720"/>
          <w:tab w:val="left" w:pos="1140"/>
        </w:tabs>
        <w:rPr>
          <w:i/>
        </w:rPr>
      </w:pPr>
      <w:r>
        <w:rPr>
          <w:szCs w:val="24"/>
        </w:rPr>
        <w:t>T</w:t>
      </w:r>
      <w:r w:rsidR="00614A1C" w:rsidRPr="0050769D">
        <w:rPr>
          <w:szCs w:val="24"/>
        </w:rPr>
        <w:t>he Final DAP noted that the evidentiary standard would be used to determine false positive and negative values for the current and proposed decision</w:t>
      </w:r>
      <w:r w:rsidR="00784711">
        <w:rPr>
          <w:szCs w:val="24"/>
        </w:rPr>
        <w:t xml:space="preserve"> analy</w:t>
      </w:r>
      <w:r>
        <w:rPr>
          <w:szCs w:val="24"/>
        </w:rPr>
        <w:t>s</w:t>
      </w:r>
      <w:r w:rsidR="00784711">
        <w:rPr>
          <w:szCs w:val="24"/>
        </w:rPr>
        <w:t>is. The resubmission</w:t>
      </w:r>
      <w:r w:rsidR="00614A1C" w:rsidRPr="0050769D">
        <w:rPr>
          <w:szCs w:val="24"/>
        </w:rPr>
        <w:t xml:space="preserve"> </w:t>
      </w:r>
      <w:r w:rsidR="0052477F">
        <w:rPr>
          <w:szCs w:val="24"/>
        </w:rPr>
        <w:t xml:space="preserve">to PBAC </w:t>
      </w:r>
      <w:r w:rsidR="00614A1C" w:rsidRPr="0050769D">
        <w:rPr>
          <w:szCs w:val="24"/>
        </w:rPr>
        <w:t>used 100% sensitivity and specificity in the base case, as this reflects the use of the evidentiary standard in the key trial, but the resubmission also presented results for a range of EGFR testing sensitivity and specificity values between 80% and 98%.</w:t>
      </w:r>
    </w:p>
    <w:p w:rsidR="00784711" w:rsidRPr="0050769D" w:rsidRDefault="00784711" w:rsidP="00784711">
      <w:pPr>
        <w:tabs>
          <w:tab w:val="left" w:pos="720"/>
          <w:tab w:val="left" w:pos="1140"/>
        </w:tabs>
        <w:rPr>
          <w:szCs w:val="24"/>
        </w:rPr>
      </w:pPr>
    </w:p>
    <w:p w:rsidR="00614A1C" w:rsidRPr="00784711" w:rsidRDefault="00614A1C" w:rsidP="00784711">
      <w:pPr>
        <w:tabs>
          <w:tab w:val="left" w:pos="720"/>
          <w:tab w:val="left" w:pos="1140"/>
        </w:tabs>
        <w:rPr>
          <w:szCs w:val="24"/>
        </w:rPr>
      </w:pPr>
      <w:r w:rsidRPr="00784711">
        <w:rPr>
          <w:szCs w:val="24"/>
        </w:rPr>
        <w:t xml:space="preserve">In the Australian clinical setting, the impact of test accuracy is more likely to relate to sensitivity rather than specificity. The inclusion of poor samples with too few tumour cells may lead to a false negative report, but </w:t>
      </w:r>
      <w:r w:rsidR="00524632">
        <w:rPr>
          <w:szCs w:val="24"/>
        </w:rPr>
        <w:t>is u</w:t>
      </w:r>
      <w:r w:rsidRPr="00784711">
        <w:rPr>
          <w:szCs w:val="24"/>
        </w:rPr>
        <w:t xml:space="preserve">nlikely to </w:t>
      </w:r>
      <w:r w:rsidR="00524632">
        <w:rPr>
          <w:szCs w:val="24"/>
        </w:rPr>
        <w:t xml:space="preserve">result in </w:t>
      </w:r>
      <w:r w:rsidRPr="00784711">
        <w:rPr>
          <w:szCs w:val="24"/>
        </w:rPr>
        <w:t>a false positive report. False positives would most likely result from human error; e.g. cross contamination of samples or the reporting of mutations with unknown effects on EGFR TKI activity.</w:t>
      </w:r>
    </w:p>
    <w:p w:rsidR="00784711" w:rsidRPr="00643575" w:rsidRDefault="00784711" w:rsidP="00784711">
      <w:pPr>
        <w:tabs>
          <w:tab w:val="left" w:pos="720"/>
          <w:tab w:val="left" w:pos="1140"/>
        </w:tabs>
        <w:rPr>
          <w:szCs w:val="24"/>
        </w:rPr>
      </w:pPr>
    </w:p>
    <w:p w:rsidR="008E0406" w:rsidRPr="00643575" w:rsidRDefault="00614A1C" w:rsidP="00784711">
      <w:pPr>
        <w:tabs>
          <w:tab w:val="left" w:pos="720"/>
          <w:tab w:val="left" w:pos="1140"/>
        </w:tabs>
        <w:rPr>
          <w:szCs w:val="24"/>
        </w:rPr>
      </w:pPr>
      <w:r w:rsidRPr="00784711">
        <w:rPr>
          <w:szCs w:val="24"/>
        </w:rPr>
        <w:t>The potential for false negative or false positive reporting by Australian laboratories is very low based on the results of the RCPA Molecular Genetics Quality Assurance Program (QAP) Generic Report on EGFR, KRAS and BRAF mutation screening of human tumours, which became available on 5th September 2012 (RCPA 2008).</w:t>
      </w:r>
    </w:p>
    <w:p w:rsidR="008E0406" w:rsidRPr="00643575" w:rsidRDefault="008E0406" w:rsidP="00784711">
      <w:pPr>
        <w:tabs>
          <w:tab w:val="left" w:pos="720"/>
          <w:tab w:val="left" w:pos="1140"/>
        </w:tabs>
        <w:rPr>
          <w:szCs w:val="24"/>
        </w:rPr>
      </w:pPr>
    </w:p>
    <w:p w:rsidR="00614A1C" w:rsidRPr="00784711" w:rsidRDefault="008E0406" w:rsidP="00784711">
      <w:pPr>
        <w:tabs>
          <w:tab w:val="left" w:pos="720"/>
          <w:tab w:val="left" w:pos="1140"/>
        </w:tabs>
        <w:rPr>
          <w:szCs w:val="24"/>
        </w:rPr>
      </w:pPr>
      <w:r>
        <w:rPr>
          <w:szCs w:val="24"/>
        </w:rPr>
        <w:t>However, the</w:t>
      </w:r>
      <w:r w:rsidR="00614A1C" w:rsidRPr="00784711">
        <w:rPr>
          <w:szCs w:val="24"/>
        </w:rPr>
        <w:t xml:space="preserve"> QAP report does not provide any data on the accuracy of test results obtained in Australian diagnostic laboratories from poor quality samples containing less than 25% tumour tissue. The likelihood of a false negative result increases dramatically as the proportion of tumour material in a sample decreases below 20%. This can be overcome with the use of tumour enrichment techniques, such as Laser Capture </w:t>
      </w:r>
      <w:proofErr w:type="spellStart"/>
      <w:r w:rsidR="00614A1C" w:rsidRPr="00784711">
        <w:rPr>
          <w:szCs w:val="24"/>
        </w:rPr>
        <w:t>Microdissection</w:t>
      </w:r>
      <w:proofErr w:type="spellEnd"/>
      <w:r w:rsidR="00614A1C" w:rsidRPr="00784711">
        <w:rPr>
          <w:szCs w:val="24"/>
        </w:rPr>
        <w:t>, which are utilised in some Australian laboratories.</w:t>
      </w:r>
    </w:p>
    <w:p w:rsidR="00784711" w:rsidRPr="00643575" w:rsidRDefault="00784711" w:rsidP="00784711">
      <w:pPr>
        <w:tabs>
          <w:tab w:val="left" w:pos="720"/>
          <w:tab w:val="left" w:pos="1140"/>
        </w:tabs>
        <w:rPr>
          <w:szCs w:val="24"/>
        </w:rPr>
      </w:pPr>
    </w:p>
    <w:p w:rsidR="004C0DCE" w:rsidRPr="006A1D88" w:rsidRDefault="002B4CE2" w:rsidP="00784711">
      <w:pPr>
        <w:pStyle w:val="Heading1"/>
        <w:spacing w:before="0"/>
        <w:rPr>
          <w:rFonts w:cs="Arial"/>
          <w:szCs w:val="24"/>
        </w:rPr>
      </w:pPr>
      <w:r w:rsidRPr="006A1D88">
        <w:rPr>
          <w:rFonts w:cs="Arial"/>
          <w:szCs w:val="24"/>
        </w:rPr>
        <w:lastRenderedPageBreak/>
        <w:t>11.</w:t>
      </w:r>
      <w:r w:rsidRPr="006A1D88">
        <w:rPr>
          <w:rFonts w:cs="Arial"/>
          <w:szCs w:val="24"/>
        </w:rPr>
        <w:tab/>
      </w:r>
      <w:r w:rsidR="004C0DCE" w:rsidRPr="006A1D88">
        <w:rPr>
          <w:rFonts w:cs="Arial"/>
          <w:szCs w:val="24"/>
        </w:rPr>
        <w:t>Economic evaluation</w:t>
      </w:r>
    </w:p>
    <w:p w:rsidR="00614A1C" w:rsidRPr="0050769D" w:rsidRDefault="00614A1C" w:rsidP="008E0406">
      <w:pPr>
        <w:tabs>
          <w:tab w:val="left" w:pos="720"/>
          <w:tab w:val="left" w:pos="1140"/>
        </w:tabs>
        <w:rPr>
          <w:color w:val="000000"/>
          <w:szCs w:val="24"/>
          <w:u w:val="single"/>
        </w:rPr>
      </w:pPr>
      <w:r w:rsidRPr="0050769D">
        <w:rPr>
          <w:color w:val="000000"/>
          <w:szCs w:val="24"/>
          <w:u w:val="single"/>
        </w:rPr>
        <w:t>The proposed MBS fee</w:t>
      </w:r>
    </w:p>
    <w:p w:rsidR="00614A1C" w:rsidRDefault="006601D4" w:rsidP="008E0406">
      <w:pPr>
        <w:tabs>
          <w:tab w:val="left" w:pos="720"/>
          <w:tab w:val="left" w:pos="1140"/>
        </w:tabs>
        <w:rPr>
          <w:szCs w:val="24"/>
        </w:rPr>
      </w:pPr>
      <w:r>
        <w:rPr>
          <w:color w:val="000000"/>
          <w:szCs w:val="24"/>
        </w:rPr>
        <w:t xml:space="preserve">November 2012 </w:t>
      </w:r>
      <w:r w:rsidRPr="00317E70">
        <w:rPr>
          <w:color w:val="000000"/>
          <w:szCs w:val="24"/>
        </w:rPr>
        <w:t xml:space="preserve">MSAC </w:t>
      </w:r>
      <w:r>
        <w:rPr>
          <w:color w:val="000000"/>
          <w:szCs w:val="24"/>
        </w:rPr>
        <w:t xml:space="preserve">advice </w:t>
      </w:r>
      <w:r w:rsidRPr="00317E70">
        <w:rPr>
          <w:color w:val="000000"/>
          <w:szCs w:val="24"/>
        </w:rPr>
        <w:t>for Application 1161</w:t>
      </w:r>
      <w:r w:rsidRPr="0050769D">
        <w:rPr>
          <w:szCs w:val="24"/>
          <w:lang w:eastAsia="en-US"/>
        </w:rPr>
        <w:t xml:space="preserve"> </w:t>
      </w:r>
      <w:r w:rsidR="00614A1C" w:rsidRPr="0050769D">
        <w:rPr>
          <w:szCs w:val="24"/>
        </w:rPr>
        <w:t>suggest</w:t>
      </w:r>
      <w:r>
        <w:rPr>
          <w:szCs w:val="24"/>
        </w:rPr>
        <w:t>ed</w:t>
      </w:r>
      <w:r w:rsidR="00614A1C" w:rsidRPr="0050769D">
        <w:rPr>
          <w:szCs w:val="24"/>
        </w:rPr>
        <w:t xml:space="preserve"> that, in the absence of any reason not to do so, the current MBS fee should apply to any expansion of eligibility for MBS funding of EGFR testing.</w:t>
      </w:r>
    </w:p>
    <w:p w:rsidR="006601D4" w:rsidRPr="0050769D" w:rsidRDefault="006601D4" w:rsidP="008E0406">
      <w:pPr>
        <w:tabs>
          <w:tab w:val="left" w:pos="720"/>
          <w:tab w:val="left" w:pos="1140"/>
        </w:tabs>
        <w:rPr>
          <w:szCs w:val="24"/>
        </w:rPr>
      </w:pPr>
    </w:p>
    <w:p w:rsidR="00614A1C" w:rsidRDefault="006601D4" w:rsidP="008E0406">
      <w:pPr>
        <w:tabs>
          <w:tab w:val="left" w:pos="720"/>
          <w:tab w:val="left" w:pos="1140"/>
        </w:tabs>
        <w:rPr>
          <w:szCs w:val="24"/>
        </w:rPr>
      </w:pPr>
      <w:r>
        <w:rPr>
          <w:szCs w:val="24"/>
        </w:rPr>
        <w:t>The resubmission suggested</w:t>
      </w:r>
      <w:r w:rsidR="00614A1C" w:rsidRPr="0050769D">
        <w:rPr>
          <w:szCs w:val="24"/>
        </w:rPr>
        <w:t xml:space="preserve"> that the current MBS fee associated with i</w:t>
      </w:r>
      <w:r>
        <w:rPr>
          <w:szCs w:val="24"/>
        </w:rPr>
        <w:t>tem 73328 is reasonable and did</w:t>
      </w:r>
      <w:r w:rsidR="00614A1C" w:rsidRPr="0050769D">
        <w:rPr>
          <w:szCs w:val="24"/>
        </w:rPr>
        <w:t xml:space="preserve"> not request any changes to the current fee.</w:t>
      </w:r>
    </w:p>
    <w:p w:rsidR="006601D4" w:rsidRPr="0050769D" w:rsidRDefault="006601D4" w:rsidP="008E0406">
      <w:pPr>
        <w:tabs>
          <w:tab w:val="left" w:pos="720"/>
          <w:tab w:val="left" w:pos="1140"/>
        </w:tabs>
        <w:rPr>
          <w:szCs w:val="24"/>
        </w:rPr>
      </w:pPr>
    </w:p>
    <w:p w:rsidR="00614A1C" w:rsidRPr="0050769D" w:rsidRDefault="00614A1C" w:rsidP="008E0406">
      <w:pPr>
        <w:tabs>
          <w:tab w:val="left" w:pos="720"/>
          <w:tab w:val="left" w:pos="1140"/>
        </w:tabs>
        <w:rPr>
          <w:color w:val="000000"/>
          <w:szCs w:val="24"/>
          <w:u w:val="single"/>
        </w:rPr>
      </w:pPr>
      <w:r w:rsidRPr="0050769D">
        <w:rPr>
          <w:color w:val="000000"/>
          <w:szCs w:val="24"/>
          <w:u w:val="single"/>
        </w:rPr>
        <w:t>Cost-effectiveness analysis</w:t>
      </w:r>
    </w:p>
    <w:p w:rsidR="00614A1C" w:rsidRDefault="00C221B7" w:rsidP="008E0406">
      <w:pPr>
        <w:tabs>
          <w:tab w:val="left" w:pos="720"/>
          <w:tab w:val="left" w:pos="1140"/>
        </w:tabs>
        <w:rPr>
          <w:szCs w:val="24"/>
        </w:rPr>
      </w:pPr>
      <w:r>
        <w:rPr>
          <w:color w:val="000000"/>
          <w:szCs w:val="24"/>
        </w:rPr>
        <w:t xml:space="preserve">The </w:t>
      </w:r>
      <w:r w:rsidR="006601D4">
        <w:rPr>
          <w:color w:val="000000"/>
          <w:szCs w:val="24"/>
        </w:rPr>
        <w:t xml:space="preserve">November 2012 </w:t>
      </w:r>
      <w:r w:rsidR="006601D4" w:rsidRPr="00317E70">
        <w:rPr>
          <w:color w:val="000000"/>
          <w:szCs w:val="24"/>
        </w:rPr>
        <w:t xml:space="preserve">MSAC </w:t>
      </w:r>
      <w:r w:rsidR="006601D4">
        <w:rPr>
          <w:color w:val="000000"/>
          <w:szCs w:val="24"/>
        </w:rPr>
        <w:t xml:space="preserve">advice </w:t>
      </w:r>
      <w:r w:rsidR="006601D4" w:rsidRPr="00317E70">
        <w:rPr>
          <w:color w:val="000000"/>
          <w:szCs w:val="24"/>
        </w:rPr>
        <w:t>for Application 1161</w:t>
      </w:r>
      <w:r w:rsidR="006601D4" w:rsidRPr="0050769D">
        <w:rPr>
          <w:szCs w:val="24"/>
          <w:lang w:eastAsia="en-US"/>
        </w:rPr>
        <w:t xml:space="preserve"> </w:t>
      </w:r>
      <w:r w:rsidR="00614A1C" w:rsidRPr="0050769D">
        <w:rPr>
          <w:szCs w:val="24"/>
        </w:rPr>
        <w:t>recommended th</w:t>
      </w:r>
      <w:r w:rsidR="005D5564">
        <w:rPr>
          <w:szCs w:val="24"/>
        </w:rPr>
        <w:t>e following.</w:t>
      </w:r>
    </w:p>
    <w:p w:rsidR="005D5564" w:rsidRPr="0050769D" w:rsidRDefault="005D5564" w:rsidP="008E0406">
      <w:pPr>
        <w:tabs>
          <w:tab w:val="left" w:pos="720"/>
          <w:tab w:val="left" w:pos="1140"/>
        </w:tabs>
        <w:rPr>
          <w:szCs w:val="24"/>
        </w:rPr>
      </w:pPr>
    </w:p>
    <w:p w:rsidR="00614A1C" w:rsidRPr="0050769D" w:rsidRDefault="005D5564" w:rsidP="00C221B7">
      <w:pPr>
        <w:numPr>
          <w:ilvl w:val="0"/>
          <w:numId w:val="13"/>
        </w:numPr>
        <w:tabs>
          <w:tab w:val="clear" w:pos="720"/>
        </w:tabs>
        <w:ind w:left="426" w:hanging="426"/>
        <w:rPr>
          <w:szCs w:val="24"/>
        </w:rPr>
      </w:pPr>
      <w:r w:rsidRPr="0050769D">
        <w:rPr>
          <w:szCs w:val="24"/>
        </w:rPr>
        <w:t>T</w:t>
      </w:r>
      <w:r w:rsidR="00614A1C" w:rsidRPr="0050769D">
        <w:rPr>
          <w:szCs w:val="24"/>
        </w:rPr>
        <w:t>he economic evaluation presented to PBAC should reflect the fact that the effectiveness of gefitinib has only been demonstrated in randomised trial evidence for up to 70% of the prevalent EGFR activating mutations (that is, for exon 19 deletions and exon 21 L858R point mutations)</w:t>
      </w:r>
      <w:r>
        <w:rPr>
          <w:szCs w:val="24"/>
        </w:rPr>
        <w:t>.</w:t>
      </w:r>
    </w:p>
    <w:p w:rsidR="00614A1C" w:rsidRDefault="005D5564" w:rsidP="00C221B7">
      <w:pPr>
        <w:numPr>
          <w:ilvl w:val="1"/>
          <w:numId w:val="14"/>
        </w:numPr>
        <w:ind w:left="851"/>
        <w:rPr>
          <w:szCs w:val="24"/>
        </w:rPr>
      </w:pPr>
      <w:r w:rsidRPr="0050769D">
        <w:rPr>
          <w:szCs w:val="24"/>
        </w:rPr>
        <w:t>T</w:t>
      </w:r>
      <w:r w:rsidR="00614A1C" w:rsidRPr="0050769D">
        <w:rPr>
          <w:szCs w:val="24"/>
        </w:rPr>
        <w:t xml:space="preserve">he resubmission </w:t>
      </w:r>
      <w:r w:rsidR="006601D4">
        <w:rPr>
          <w:szCs w:val="24"/>
        </w:rPr>
        <w:t>did not</w:t>
      </w:r>
      <w:r w:rsidR="00614A1C" w:rsidRPr="0050769D">
        <w:rPr>
          <w:szCs w:val="24"/>
        </w:rPr>
        <w:t xml:space="preserve"> agree with this advice</w:t>
      </w:r>
      <w:r w:rsidR="006601D4">
        <w:rPr>
          <w:szCs w:val="24"/>
        </w:rPr>
        <w:t xml:space="preserve"> and</w:t>
      </w:r>
      <w:r w:rsidR="00614A1C" w:rsidRPr="0050769D">
        <w:rPr>
          <w:szCs w:val="24"/>
        </w:rPr>
        <w:t xml:space="preserve"> argued that the proposed PBS listing and associated economic evaluation for gefitinib as first-line treatment requests access for patients with tumours expressing activating EGFR mutations known to be associated with increased sensitivity to treatment with gefitinib. The resubmission </w:t>
      </w:r>
      <w:r w:rsidR="0052477F">
        <w:rPr>
          <w:szCs w:val="24"/>
        </w:rPr>
        <w:t xml:space="preserve">to PBAC </w:t>
      </w:r>
      <w:r w:rsidR="00614A1C" w:rsidRPr="0050769D">
        <w:rPr>
          <w:szCs w:val="24"/>
        </w:rPr>
        <w:t>presented a cost-effectiveness analysis assuming all EGFR mutation positive patients are equally responsive</w:t>
      </w:r>
      <w:r w:rsidR="006601D4">
        <w:rPr>
          <w:szCs w:val="24"/>
        </w:rPr>
        <w:t xml:space="preserve"> to gefitinib treatment. There wa</w:t>
      </w:r>
      <w:r w:rsidR="00614A1C" w:rsidRPr="0050769D">
        <w:rPr>
          <w:szCs w:val="24"/>
        </w:rPr>
        <w:t>s no further analysis of the effect of treating patients with uncommon EGFR mutations that may be less responsive to treatment.</w:t>
      </w:r>
    </w:p>
    <w:p w:rsidR="00885600" w:rsidRDefault="00885600" w:rsidP="00885600">
      <w:pPr>
        <w:rPr>
          <w:szCs w:val="24"/>
        </w:rPr>
      </w:pPr>
    </w:p>
    <w:p w:rsidR="00614A1C" w:rsidRPr="0050769D" w:rsidRDefault="005D5564" w:rsidP="003A6F1E">
      <w:pPr>
        <w:numPr>
          <w:ilvl w:val="0"/>
          <w:numId w:val="13"/>
        </w:numPr>
        <w:tabs>
          <w:tab w:val="clear" w:pos="720"/>
        </w:tabs>
        <w:ind w:left="426" w:hanging="426"/>
        <w:rPr>
          <w:szCs w:val="24"/>
        </w:rPr>
      </w:pPr>
      <w:r w:rsidRPr="0050769D">
        <w:rPr>
          <w:szCs w:val="24"/>
        </w:rPr>
        <w:t>T</w:t>
      </w:r>
      <w:r w:rsidR="00614A1C" w:rsidRPr="0050769D">
        <w:rPr>
          <w:szCs w:val="24"/>
        </w:rPr>
        <w:t>he base case of the economic evaluations and financial analyses presented to PBAC should use 15% for the prevalence of activating EGFR mutations and the corresponding sensitivity analyses should examine a range of 10% to 20%</w:t>
      </w:r>
      <w:r w:rsidR="00885600">
        <w:rPr>
          <w:szCs w:val="24"/>
        </w:rPr>
        <w:t>.</w:t>
      </w:r>
    </w:p>
    <w:p w:rsidR="00614A1C" w:rsidRPr="0050769D" w:rsidRDefault="00614A1C" w:rsidP="00885600">
      <w:pPr>
        <w:numPr>
          <w:ilvl w:val="1"/>
          <w:numId w:val="14"/>
        </w:numPr>
        <w:ind w:left="851"/>
        <w:rPr>
          <w:szCs w:val="24"/>
        </w:rPr>
      </w:pPr>
      <w:r w:rsidRPr="0050769D">
        <w:rPr>
          <w:szCs w:val="24"/>
        </w:rPr>
        <w:t xml:space="preserve">The resubmission </w:t>
      </w:r>
      <w:r w:rsidR="0052477F">
        <w:rPr>
          <w:szCs w:val="24"/>
        </w:rPr>
        <w:t xml:space="preserve">to PBAC </w:t>
      </w:r>
      <w:r w:rsidRPr="0050769D">
        <w:rPr>
          <w:szCs w:val="24"/>
        </w:rPr>
        <w:t>conducted a cost-effectiveness analysis and used a prevalence of 15% for the base-case economic model:</w:t>
      </w:r>
    </w:p>
    <w:p w:rsidR="00614A1C" w:rsidRPr="0050769D" w:rsidRDefault="00E03414" w:rsidP="0052477F">
      <w:pPr>
        <w:numPr>
          <w:ilvl w:val="2"/>
          <w:numId w:val="15"/>
        </w:numPr>
        <w:ind w:left="1276"/>
        <w:rPr>
          <w:snapToGrid w:val="0"/>
          <w:szCs w:val="24"/>
        </w:rPr>
      </w:pPr>
      <w:r w:rsidRPr="0050769D">
        <w:rPr>
          <w:snapToGrid w:val="0"/>
          <w:szCs w:val="24"/>
        </w:rPr>
        <w:t>t</w:t>
      </w:r>
      <w:r w:rsidR="00614A1C" w:rsidRPr="0050769D">
        <w:rPr>
          <w:snapToGrid w:val="0"/>
          <w:szCs w:val="24"/>
        </w:rPr>
        <w:t xml:space="preserve">he base case (without pemetrexed maintenance) with a 15% EGFR mutation prevalence </w:t>
      </w:r>
      <w:r w:rsidR="006601D4">
        <w:rPr>
          <w:snapToGrid w:val="0"/>
          <w:szCs w:val="24"/>
        </w:rPr>
        <w:t>wa</w:t>
      </w:r>
      <w:r w:rsidR="00614A1C" w:rsidRPr="0050769D">
        <w:rPr>
          <w:snapToGrid w:val="0"/>
          <w:szCs w:val="24"/>
        </w:rPr>
        <w:t xml:space="preserve">s </w:t>
      </w:r>
      <w:r w:rsidR="00007A49">
        <w:rPr>
          <w:snapToGrid w:val="0"/>
          <w:szCs w:val="24"/>
        </w:rPr>
        <w:t xml:space="preserve">estimated to be </w:t>
      </w:r>
      <w:r w:rsidR="00614A1C" w:rsidRPr="0050769D">
        <w:rPr>
          <w:snapToGrid w:val="0"/>
          <w:szCs w:val="24"/>
        </w:rPr>
        <w:t>dominant for gefitinib (estimated cost saving of $</w:t>
      </w:r>
      <w:r w:rsidR="00D53018" w:rsidRPr="00D53018">
        <w:rPr>
          <w:b/>
          <w:snapToGrid w:val="0"/>
          <w:szCs w:val="24"/>
        </w:rPr>
        <w:t>(redacted information)</w:t>
      </w:r>
      <w:r w:rsidR="00D53018">
        <w:rPr>
          <w:snapToGrid w:val="0"/>
          <w:szCs w:val="24"/>
        </w:rPr>
        <w:t xml:space="preserve"> </w:t>
      </w:r>
      <w:r w:rsidR="00614A1C" w:rsidRPr="0050769D">
        <w:rPr>
          <w:snapToGrid w:val="0"/>
          <w:szCs w:val="24"/>
        </w:rPr>
        <w:t xml:space="preserve">per patient with </w:t>
      </w:r>
      <w:r w:rsidR="00D53018" w:rsidRPr="00D53018">
        <w:rPr>
          <w:b/>
          <w:snapToGrid w:val="0"/>
          <w:szCs w:val="24"/>
        </w:rPr>
        <w:t>(redacted information)</w:t>
      </w:r>
      <w:r w:rsidR="00632482">
        <w:rPr>
          <w:b/>
          <w:snapToGrid w:val="0"/>
          <w:szCs w:val="24"/>
        </w:rPr>
        <w:t xml:space="preserve"> </w:t>
      </w:r>
      <w:r w:rsidR="00614A1C" w:rsidRPr="0050769D">
        <w:rPr>
          <w:snapToGrid w:val="0"/>
          <w:szCs w:val="24"/>
        </w:rPr>
        <w:t>QALYs gained</w:t>
      </w:r>
      <w:r w:rsidR="00007A49">
        <w:rPr>
          <w:snapToGrid w:val="0"/>
          <w:szCs w:val="24"/>
        </w:rPr>
        <w:t xml:space="preserve"> per patient</w:t>
      </w:r>
      <w:r w:rsidR="00614A1C" w:rsidRPr="0050769D">
        <w:rPr>
          <w:snapToGrid w:val="0"/>
          <w:szCs w:val="24"/>
        </w:rPr>
        <w:t>)</w:t>
      </w:r>
    </w:p>
    <w:p w:rsidR="00614A1C" w:rsidRPr="0050769D" w:rsidRDefault="00E03414" w:rsidP="0052477F">
      <w:pPr>
        <w:numPr>
          <w:ilvl w:val="2"/>
          <w:numId w:val="15"/>
        </w:numPr>
        <w:ind w:left="1276"/>
        <w:rPr>
          <w:snapToGrid w:val="0"/>
          <w:szCs w:val="24"/>
        </w:rPr>
      </w:pPr>
      <w:r w:rsidRPr="0050769D">
        <w:rPr>
          <w:snapToGrid w:val="0"/>
          <w:szCs w:val="24"/>
        </w:rPr>
        <w:t>w</w:t>
      </w:r>
      <w:r w:rsidR="00614A1C" w:rsidRPr="0050769D">
        <w:rPr>
          <w:snapToGrid w:val="0"/>
          <w:szCs w:val="24"/>
        </w:rPr>
        <w:t xml:space="preserve">hen a 10% prevalence </w:t>
      </w:r>
      <w:r w:rsidR="006601D4">
        <w:rPr>
          <w:snapToGrid w:val="0"/>
          <w:szCs w:val="24"/>
        </w:rPr>
        <w:t>wa</w:t>
      </w:r>
      <w:r w:rsidR="00614A1C" w:rsidRPr="0050769D">
        <w:rPr>
          <w:snapToGrid w:val="0"/>
          <w:szCs w:val="24"/>
        </w:rPr>
        <w:t xml:space="preserve">s used in sensitivity analysis, the </w:t>
      </w:r>
      <w:r>
        <w:rPr>
          <w:snapToGrid w:val="0"/>
          <w:szCs w:val="24"/>
        </w:rPr>
        <w:t xml:space="preserve">incremental cost </w:t>
      </w:r>
      <w:r w:rsidR="00614A1C" w:rsidRPr="0050769D">
        <w:rPr>
          <w:snapToGrid w:val="0"/>
          <w:szCs w:val="24"/>
        </w:rPr>
        <w:t>increase</w:t>
      </w:r>
      <w:r w:rsidR="006601D4">
        <w:rPr>
          <w:snapToGrid w:val="0"/>
          <w:szCs w:val="24"/>
        </w:rPr>
        <w:t>d</w:t>
      </w:r>
      <w:r w:rsidR="00614A1C" w:rsidRPr="0050769D">
        <w:rPr>
          <w:snapToGrid w:val="0"/>
          <w:szCs w:val="24"/>
        </w:rPr>
        <w:t xml:space="preserve"> to </w:t>
      </w:r>
      <w:r w:rsidR="00D53018">
        <w:rPr>
          <w:snapToGrid w:val="0"/>
          <w:szCs w:val="24"/>
        </w:rPr>
        <w:t>be less than $15,000</w:t>
      </w:r>
      <w:r w:rsidR="00614A1C" w:rsidRPr="0050769D">
        <w:rPr>
          <w:snapToGrid w:val="0"/>
          <w:szCs w:val="24"/>
        </w:rPr>
        <w:t>/QALY</w:t>
      </w:r>
    </w:p>
    <w:p w:rsidR="00614A1C" w:rsidRDefault="00E03414" w:rsidP="0052477F">
      <w:pPr>
        <w:numPr>
          <w:ilvl w:val="2"/>
          <w:numId w:val="15"/>
        </w:numPr>
        <w:ind w:left="1276"/>
        <w:rPr>
          <w:snapToGrid w:val="0"/>
          <w:szCs w:val="24"/>
        </w:rPr>
      </w:pPr>
      <w:proofErr w:type="gramStart"/>
      <w:r>
        <w:rPr>
          <w:snapToGrid w:val="0"/>
          <w:szCs w:val="24"/>
        </w:rPr>
        <w:t>w</w:t>
      </w:r>
      <w:r w:rsidR="006601D4">
        <w:rPr>
          <w:snapToGrid w:val="0"/>
          <w:szCs w:val="24"/>
        </w:rPr>
        <w:t>hen</w:t>
      </w:r>
      <w:proofErr w:type="gramEnd"/>
      <w:r w:rsidR="006601D4">
        <w:rPr>
          <w:snapToGrid w:val="0"/>
          <w:szCs w:val="24"/>
        </w:rPr>
        <w:t xml:space="preserve"> a 20% prevalence wa</w:t>
      </w:r>
      <w:r w:rsidR="00614A1C" w:rsidRPr="0050769D">
        <w:rPr>
          <w:snapToGrid w:val="0"/>
          <w:szCs w:val="24"/>
        </w:rPr>
        <w:t>s used in sensitivity analysis, gefitinib remain</w:t>
      </w:r>
      <w:r w:rsidR="006601D4">
        <w:rPr>
          <w:snapToGrid w:val="0"/>
          <w:szCs w:val="24"/>
        </w:rPr>
        <w:t>ed</w:t>
      </w:r>
      <w:r w:rsidR="00614A1C" w:rsidRPr="0050769D">
        <w:rPr>
          <w:snapToGrid w:val="0"/>
          <w:szCs w:val="24"/>
        </w:rPr>
        <w:t xml:space="preserve"> dominant (cost saving of $</w:t>
      </w:r>
      <w:r w:rsidR="00D53018" w:rsidRPr="00D53018">
        <w:rPr>
          <w:b/>
          <w:snapToGrid w:val="0"/>
          <w:szCs w:val="24"/>
        </w:rPr>
        <w:t>(redacted information)</w:t>
      </w:r>
      <w:r w:rsidR="00D53018">
        <w:rPr>
          <w:snapToGrid w:val="0"/>
          <w:szCs w:val="24"/>
        </w:rPr>
        <w:t xml:space="preserve"> </w:t>
      </w:r>
      <w:r w:rsidR="00614A1C" w:rsidRPr="0050769D">
        <w:rPr>
          <w:snapToGrid w:val="0"/>
          <w:szCs w:val="24"/>
        </w:rPr>
        <w:t xml:space="preserve"> and an additional </w:t>
      </w:r>
      <w:r w:rsidR="00D53018" w:rsidRPr="00D53018">
        <w:rPr>
          <w:b/>
          <w:snapToGrid w:val="0"/>
          <w:szCs w:val="24"/>
        </w:rPr>
        <w:t>(redacted information)</w:t>
      </w:r>
      <w:r w:rsidR="00D53018">
        <w:rPr>
          <w:snapToGrid w:val="0"/>
          <w:szCs w:val="24"/>
        </w:rPr>
        <w:t xml:space="preserve"> </w:t>
      </w:r>
      <w:r w:rsidR="00614A1C" w:rsidRPr="0050769D">
        <w:rPr>
          <w:snapToGrid w:val="0"/>
          <w:szCs w:val="24"/>
        </w:rPr>
        <w:t>QALYs gained).</w:t>
      </w:r>
    </w:p>
    <w:p w:rsidR="00892A87" w:rsidRPr="0050769D" w:rsidRDefault="00892A87" w:rsidP="00E03414">
      <w:pPr>
        <w:rPr>
          <w:snapToGrid w:val="0"/>
          <w:szCs w:val="24"/>
        </w:rPr>
      </w:pPr>
    </w:p>
    <w:p w:rsidR="00614A1C" w:rsidRPr="0050769D" w:rsidRDefault="00614A1C" w:rsidP="00E03414">
      <w:pPr>
        <w:numPr>
          <w:ilvl w:val="0"/>
          <w:numId w:val="13"/>
        </w:numPr>
        <w:tabs>
          <w:tab w:val="clear" w:pos="720"/>
        </w:tabs>
        <w:ind w:left="426" w:hanging="426"/>
        <w:rPr>
          <w:szCs w:val="24"/>
        </w:rPr>
      </w:pPr>
      <w:r w:rsidRPr="0050769D">
        <w:rPr>
          <w:szCs w:val="24"/>
        </w:rPr>
        <w:t>The economic evaluations and financial analyses presented to PBAC should include:</w:t>
      </w:r>
    </w:p>
    <w:p w:rsidR="002216CC" w:rsidRDefault="002216CC" w:rsidP="008E0406">
      <w:pPr>
        <w:numPr>
          <w:ilvl w:val="1"/>
          <w:numId w:val="10"/>
        </w:numPr>
        <w:ind w:left="1218" w:hanging="367"/>
        <w:rPr>
          <w:snapToGrid w:val="0"/>
          <w:szCs w:val="24"/>
        </w:rPr>
      </w:pPr>
      <w:r w:rsidRPr="0050769D">
        <w:rPr>
          <w:snapToGrid w:val="0"/>
          <w:szCs w:val="24"/>
        </w:rPr>
        <w:t>a</w:t>
      </w:r>
      <w:r w:rsidR="00614A1C" w:rsidRPr="0050769D">
        <w:rPr>
          <w:snapToGrid w:val="0"/>
          <w:szCs w:val="24"/>
        </w:rPr>
        <w:t xml:space="preserve"> 12% re-biopsy rate</w:t>
      </w:r>
    </w:p>
    <w:p w:rsidR="002216CC" w:rsidRDefault="00614A1C" w:rsidP="008E0406">
      <w:pPr>
        <w:numPr>
          <w:ilvl w:val="1"/>
          <w:numId w:val="10"/>
        </w:numPr>
        <w:ind w:left="1218" w:hanging="367"/>
        <w:rPr>
          <w:snapToGrid w:val="0"/>
          <w:szCs w:val="24"/>
        </w:rPr>
      </w:pPr>
      <w:r w:rsidRPr="0050769D">
        <w:rPr>
          <w:snapToGrid w:val="0"/>
          <w:szCs w:val="24"/>
        </w:rPr>
        <w:t>a 14% complication rate per biopsy</w:t>
      </w:r>
    </w:p>
    <w:p w:rsidR="00614A1C" w:rsidRPr="0050769D" w:rsidRDefault="002216CC" w:rsidP="008E0406">
      <w:pPr>
        <w:numPr>
          <w:ilvl w:val="1"/>
          <w:numId w:val="10"/>
        </w:numPr>
        <w:ind w:left="1218" w:hanging="367"/>
        <w:rPr>
          <w:snapToGrid w:val="0"/>
          <w:szCs w:val="24"/>
        </w:rPr>
      </w:pPr>
      <w:proofErr w:type="gramStart"/>
      <w:r w:rsidRPr="00C235B6">
        <w:rPr>
          <w:snapToGrid w:val="0"/>
          <w:szCs w:val="24"/>
        </w:rPr>
        <w:t>the</w:t>
      </w:r>
      <w:proofErr w:type="gramEnd"/>
      <w:r w:rsidRPr="00C235B6">
        <w:rPr>
          <w:snapToGrid w:val="0"/>
          <w:szCs w:val="24"/>
        </w:rPr>
        <w:t xml:space="preserve"> costs of patient retrieval for re-biopsy, such as professional attendance fees, medical imaging or use of bronchoscopy</w:t>
      </w:r>
      <w:r w:rsidR="00614A1C" w:rsidRPr="0050769D">
        <w:rPr>
          <w:snapToGrid w:val="0"/>
          <w:szCs w:val="24"/>
        </w:rPr>
        <w:t>.</w:t>
      </w:r>
    </w:p>
    <w:p w:rsidR="00614A1C" w:rsidRPr="0050769D" w:rsidRDefault="00614A1C" w:rsidP="002216CC">
      <w:pPr>
        <w:numPr>
          <w:ilvl w:val="1"/>
          <w:numId w:val="14"/>
        </w:numPr>
        <w:ind w:left="851"/>
        <w:rPr>
          <w:szCs w:val="24"/>
        </w:rPr>
      </w:pPr>
      <w:r w:rsidRPr="0050769D">
        <w:rPr>
          <w:szCs w:val="24"/>
        </w:rPr>
        <w:t>The base</w:t>
      </w:r>
      <w:r w:rsidR="002216CC">
        <w:rPr>
          <w:szCs w:val="24"/>
        </w:rPr>
        <w:t xml:space="preserve"> </w:t>
      </w:r>
      <w:r w:rsidRPr="0050769D">
        <w:rPr>
          <w:szCs w:val="24"/>
        </w:rPr>
        <w:t xml:space="preserve">case economic analysis </w:t>
      </w:r>
      <w:r w:rsidR="002216CC">
        <w:rPr>
          <w:szCs w:val="24"/>
        </w:rPr>
        <w:t xml:space="preserve">in the resubmission to PBAC </w:t>
      </w:r>
      <w:r w:rsidRPr="0050769D">
        <w:rPr>
          <w:szCs w:val="24"/>
        </w:rPr>
        <w:t>assume</w:t>
      </w:r>
      <w:r w:rsidR="006601D4">
        <w:rPr>
          <w:szCs w:val="24"/>
        </w:rPr>
        <w:t>d</w:t>
      </w:r>
      <w:r w:rsidRPr="0050769D">
        <w:rPr>
          <w:szCs w:val="24"/>
        </w:rPr>
        <w:t xml:space="preserve"> a 1</w:t>
      </w:r>
      <w:r w:rsidR="006601D4">
        <w:rPr>
          <w:szCs w:val="24"/>
        </w:rPr>
        <w:t>2% invalid test rate and assumed</w:t>
      </w:r>
      <w:r w:rsidRPr="0050769D">
        <w:rPr>
          <w:szCs w:val="24"/>
        </w:rPr>
        <w:t xml:space="preserve"> all invalid tests lead to a re-biopsy with a 14% complication rate and all samples were retested. </w:t>
      </w:r>
      <w:r w:rsidR="006601D4">
        <w:rPr>
          <w:szCs w:val="24"/>
        </w:rPr>
        <w:t xml:space="preserve">However, the resubmission </w:t>
      </w:r>
      <w:r w:rsidR="002216CC">
        <w:rPr>
          <w:szCs w:val="24"/>
        </w:rPr>
        <w:t xml:space="preserve">to PBAC </w:t>
      </w:r>
      <w:r w:rsidR="006601D4">
        <w:rPr>
          <w:szCs w:val="24"/>
        </w:rPr>
        <w:t>failed</w:t>
      </w:r>
      <w:r w:rsidRPr="006601D4">
        <w:rPr>
          <w:szCs w:val="24"/>
        </w:rPr>
        <w:t xml:space="preserve"> to consider the MBS costs for EGFR retesting when calculating the financial implications to the MBS</w:t>
      </w:r>
      <w:r w:rsidR="002216CC">
        <w:rPr>
          <w:szCs w:val="24"/>
        </w:rPr>
        <w:t>.</w:t>
      </w:r>
    </w:p>
    <w:p w:rsidR="00614A1C" w:rsidRPr="0050769D" w:rsidRDefault="00614A1C" w:rsidP="002216CC">
      <w:pPr>
        <w:numPr>
          <w:ilvl w:val="1"/>
          <w:numId w:val="14"/>
        </w:numPr>
        <w:ind w:left="851"/>
        <w:rPr>
          <w:szCs w:val="24"/>
        </w:rPr>
      </w:pPr>
      <w:r w:rsidRPr="0050769D">
        <w:rPr>
          <w:szCs w:val="24"/>
        </w:rPr>
        <w:t>In calculating the cost of re-biopsy and the associated complications, the following estimates were used in resubmission</w:t>
      </w:r>
      <w:r w:rsidR="002216CC">
        <w:rPr>
          <w:szCs w:val="24"/>
        </w:rPr>
        <w:t xml:space="preserve"> to PBAC</w:t>
      </w:r>
      <w:r w:rsidRPr="0050769D">
        <w:rPr>
          <w:szCs w:val="24"/>
        </w:rPr>
        <w:t>:</w:t>
      </w:r>
    </w:p>
    <w:p w:rsidR="00614A1C" w:rsidRPr="0050769D" w:rsidRDefault="002216CC" w:rsidP="0052477F">
      <w:pPr>
        <w:numPr>
          <w:ilvl w:val="2"/>
          <w:numId w:val="15"/>
        </w:numPr>
        <w:ind w:left="1276"/>
        <w:rPr>
          <w:szCs w:val="24"/>
        </w:rPr>
      </w:pPr>
      <w:r w:rsidRPr="0050769D">
        <w:rPr>
          <w:szCs w:val="24"/>
        </w:rPr>
        <w:lastRenderedPageBreak/>
        <w:t>t</w:t>
      </w:r>
      <w:r w:rsidR="00614A1C" w:rsidRPr="0050769D">
        <w:rPr>
          <w:szCs w:val="24"/>
        </w:rPr>
        <w:t xml:space="preserve">he cost of </w:t>
      </w:r>
      <w:r w:rsidR="00614A1C" w:rsidRPr="0052477F">
        <w:rPr>
          <w:snapToGrid w:val="0"/>
          <w:szCs w:val="24"/>
        </w:rPr>
        <w:t>bronchoscopy</w:t>
      </w:r>
      <w:r w:rsidR="00614A1C" w:rsidRPr="0050769D">
        <w:rPr>
          <w:szCs w:val="24"/>
        </w:rPr>
        <w:t xml:space="preserve"> as an outpatient ($</w:t>
      </w:r>
      <w:r w:rsidR="004A3FE1" w:rsidRPr="007809C1">
        <w:rPr>
          <w:b/>
          <w:snapToGrid w:val="0"/>
          <w:szCs w:val="24"/>
        </w:rPr>
        <w:t>(redacted information)</w:t>
      </w:r>
      <w:r w:rsidR="00614A1C" w:rsidRPr="0050769D">
        <w:rPr>
          <w:szCs w:val="24"/>
        </w:rPr>
        <w:t xml:space="preserve">) was used for </w:t>
      </w:r>
      <w:r w:rsidR="008775D3" w:rsidRPr="007809C1">
        <w:rPr>
          <w:b/>
          <w:snapToGrid w:val="0"/>
          <w:szCs w:val="24"/>
        </w:rPr>
        <w:t>(redacted information)</w:t>
      </w:r>
      <w:r w:rsidR="00614A1C" w:rsidRPr="0050769D">
        <w:rPr>
          <w:szCs w:val="24"/>
        </w:rPr>
        <w:t>% of patients</w:t>
      </w:r>
    </w:p>
    <w:p w:rsidR="00614A1C" w:rsidRPr="0050769D" w:rsidRDefault="002216CC" w:rsidP="0052477F">
      <w:pPr>
        <w:numPr>
          <w:ilvl w:val="2"/>
          <w:numId w:val="15"/>
        </w:numPr>
        <w:ind w:left="1276"/>
        <w:rPr>
          <w:szCs w:val="24"/>
        </w:rPr>
      </w:pPr>
      <w:r w:rsidRPr="0050769D">
        <w:rPr>
          <w:szCs w:val="24"/>
        </w:rPr>
        <w:t>t</w:t>
      </w:r>
      <w:r w:rsidR="00614A1C" w:rsidRPr="0050769D">
        <w:rPr>
          <w:szCs w:val="24"/>
        </w:rPr>
        <w:t xml:space="preserve">he cost of </w:t>
      </w:r>
      <w:r w:rsidR="00614A1C" w:rsidRPr="0052477F">
        <w:rPr>
          <w:snapToGrid w:val="0"/>
          <w:szCs w:val="24"/>
        </w:rPr>
        <w:t>bronchoscopy</w:t>
      </w:r>
      <w:r w:rsidR="00614A1C" w:rsidRPr="0050769D">
        <w:rPr>
          <w:szCs w:val="24"/>
        </w:rPr>
        <w:t xml:space="preserve"> as an inpatient ($</w:t>
      </w:r>
      <w:r w:rsidR="004A3FE1" w:rsidRPr="007809C1">
        <w:rPr>
          <w:b/>
          <w:snapToGrid w:val="0"/>
          <w:szCs w:val="24"/>
        </w:rPr>
        <w:t>(redacted information)</w:t>
      </w:r>
      <w:r w:rsidR="00614A1C" w:rsidRPr="0050769D">
        <w:rPr>
          <w:szCs w:val="24"/>
        </w:rPr>
        <w:t xml:space="preserve">) was used for </w:t>
      </w:r>
      <w:r w:rsidR="008775D3" w:rsidRPr="007809C1">
        <w:rPr>
          <w:b/>
          <w:snapToGrid w:val="0"/>
          <w:szCs w:val="24"/>
        </w:rPr>
        <w:t>(redacted information)</w:t>
      </w:r>
      <w:r w:rsidR="00614A1C" w:rsidRPr="0050769D">
        <w:rPr>
          <w:szCs w:val="24"/>
        </w:rPr>
        <w:t>% of patients</w:t>
      </w:r>
    </w:p>
    <w:p w:rsidR="00614A1C" w:rsidRPr="0050769D" w:rsidRDefault="002216CC" w:rsidP="0052477F">
      <w:pPr>
        <w:numPr>
          <w:ilvl w:val="2"/>
          <w:numId w:val="15"/>
        </w:numPr>
        <w:ind w:left="1276"/>
        <w:rPr>
          <w:szCs w:val="24"/>
        </w:rPr>
      </w:pPr>
      <w:r w:rsidRPr="0050769D">
        <w:rPr>
          <w:szCs w:val="24"/>
        </w:rPr>
        <w:t>t</w:t>
      </w:r>
      <w:r w:rsidR="00614A1C" w:rsidRPr="0050769D">
        <w:rPr>
          <w:szCs w:val="24"/>
        </w:rPr>
        <w:t xml:space="preserve">he average weighted </w:t>
      </w:r>
      <w:r w:rsidR="00614A1C" w:rsidRPr="002216CC">
        <w:rPr>
          <w:snapToGrid w:val="0"/>
          <w:szCs w:val="24"/>
        </w:rPr>
        <w:t>cost</w:t>
      </w:r>
      <w:r w:rsidR="00614A1C" w:rsidRPr="0050769D">
        <w:rPr>
          <w:szCs w:val="24"/>
        </w:rPr>
        <w:t xml:space="preserve"> per bronchoscopy was $</w:t>
      </w:r>
      <w:r w:rsidR="008775D3" w:rsidRPr="007809C1">
        <w:rPr>
          <w:b/>
          <w:snapToGrid w:val="0"/>
          <w:szCs w:val="24"/>
        </w:rPr>
        <w:t>(redacted information)</w:t>
      </w:r>
    </w:p>
    <w:p w:rsidR="00614A1C" w:rsidRPr="0050769D" w:rsidRDefault="002216CC" w:rsidP="0052477F">
      <w:pPr>
        <w:numPr>
          <w:ilvl w:val="2"/>
          <w:numId w:val="15"/>
        </w:numPr>
        <w:ind w:left="1276"/>
        <w:rPr>
          <w:szCs w:val="24"/>
        </w:rPr>
      </w:pPr>
      <w:r w:rsidRPr="0050769D">
        <w:rPr>
          <w:szCs w:val="24"/>
        </w:rPr>
        <w:t>t</w:t>
      </w:r>
      <w:r w:rsidR="00614A1C" w:rsidRPr="0050769D">
        <w:rPr>
          <w:szCs w:val="24"/>
        </w:rPr>
        <w:t xml:space="preserve">he average </w:t>
      </w:r>
      <w:r w:rsidR="00614A1C" w:rsidRPr="0052477F">
        <w:rPr>
          <w:snapToGrid w:val="0"/>
          <w:szCs w:val="24"/>
        </w:rPr>
        <w:t>weighted</w:t>
      </w:r>
      <w:r w:rsidR="00614A1C" w:rsidRPr="0050769D">
        <w:rPr>
          <w:szCs w:val="24"/>
        </w:rPr>
        <w:t xml:space="preserve"> </w:t>
      </w:r>
      <w:r w:rsidR="00614A1C" w:rsidRPr="002216CC">
        <w:rPr>
          <w:snapToGrid w:val="0"/>
          <w:szCs w:val="24"/>
        </w:rPr>
        <w:t>cost</w:t>
      </w:r>
      <w:r w:rsidR="00614A1C" w:rsidRPr="0050769D">
        <w:rPr>
          <w:szCs w:val="24"/>
        </w:rPr>
        <w:t xml:space="preserve"> per bronchoscopy for the 14% with complications was $</w:t>
      </w:r>
      <w:r w:rsidR="008775D3" w:rsidRPr="007809C1">
        <w:rPr>
          <w:b/>
          <w:snapToGrid w:val="0"/>
          <w:szCs w:val="24"/>
        </w:rPr>
        <w:t>(redacted information)</w:t>
      </w:r>
      <w:r w:rsidR="008775D3" w:rsidRPr="0050769D" w:rsidDel="008775D3">
        <w:rPr>
          <w:szCs w:val="24"/>
        </w:rPr>
        <w:t xml:space="preserve"> </w:t>
      </w:r>
      <w:r w:rsidR="00614A1C" w:rsidRPr="0050769D">
        <w:rPr>
          <w:szCs w:val="24"/>
        </w:rPr>
        <w:t>($</w:t>
      </w:r>
      <w:r w:rsidR="008775D3" w:rsidRPr="007809C1">
        <w:rPr>
          <w:b/>
          <w:snapToGrid w:val="0"/>
          <w:szCs w:val="24"/>
        </w:rPr>
        <w:t>(redacted information)</w:t>
      </w:r>
      <w:r w:rsidR="00632482">
        <w:rPr>
          <w:b/>
          <w:snapToGrid w:val="0"/>
          <w:szCs w:val="24"/>
        </w:rPr>
        <w:t xml:space="preserve"> </w:t>
      </w:r>
      <w:r w:rsidR="00614A1C" w:rsidRPr="0050769D">
        <w:rPr>
          <w:szCs w:val="24"/>
        </w:rPr>
        <w:t>for complications requiring hospitalisation and $</w:t>
      </w:r>
      <w:r w:rsidR="008775D3" w:rsidRPr="007809C1">
        <w:rPr>
          <w:b/>
          <w:snapToGrid w:val="0"/>
          <w:szCs w:val="24"/>
        </w:rPr>
        <w:t>(redacted information)</w:t>
      </w:r>
      <w:r w:rsidR="00614A1C" w:rsidRPr="0050769D">
        <w:rPr>
          <w:szCs w:val="24"/>
        </w:rPr>
        <w:t xml:space="preserve"> for those not requiring hospital admission)</w:t>
      </w:r>
    </w:p>
    <w:p w:rsidR="00614A1C" w:rsidRDefault="002216CC" w:rsidP="0052477F">
      <w:pPr>
        <w:numPr>
          <w:ilvl w:val="2"/>
          <w:numId w:val="15"/>
        </w:numPr>
        <w:ind w:left="1276"/>
        <w:rPr>
          <w:szCs w:val="24"/>
        </w:rPr>
      </w:pPr>
      <w:proofErr w:type="gramStart"/>
      <w:r w:rsidRPr="0050769D">
        <w:rPr>
          <w:szCs w:val="24"/>
        </w:rPr>
        <w:t>s</w:t>
      </w:r>
      <w:r w:rsidR="00614A1C" w:rsidRPr="0050769D">
        <w:rPr>
          <w:szCs w:val="24"/>
        </w:rPr>
        <w:t>ensitivity</w:t>
      </w:r>
      <w:proofErr w:type="gramEnd"/>
      <w:r w:rsidR="00614A1C" w:rsidRPr="0050769D">
        <w:rPr>
          <w:szCs w:val="24"/>
        </w:rPr>
        <w:t xml:space="preserve"> </w:t>
      </w:r>
      <w:r w:rsidR="00614A1C" w:rsidRPr="0052477F">
        <w:rPr>
          <w:snapToGrid w:val="0"/>
          <w:szCs w:val="24"/>
        </w:rPr>
        <w:t>analyses</w:t>
      </w:r>
      <w:r w:rsidR="00614A1C" w:rsidRPr="0050769D">
        <w:rPr>
          <w:szCs w:val="24"/>
        </w:rPr>
        <w:t xml:space="preserve"> were </w:t>
      </w:r>
      <w:r w:rsidR="00614A1C" w:rsidRPr="002216CC">
        <w:rPr>
          <w:snapToGrid w:val="0"/>
          <w:szCs w:val="24"/>
        </w:rPr>
        <w:t>conducted</w:t>
      </w:r>
      <w:r w:rsidR="00614A1C" w:rsidRPr="0050769D">
        <w:rPr>
          <w:szCs w:val="24"/>
        </w:rPr>
        <w:t xml:space="preserve"> varying the costs for re-biopsy </w:t>
      </w:r>
      <w:r w:rsidR="00B40725" w:rsidRPr="00D53018">
        <w:rPr>
          <w:b/>
          <w:snapToGrid w:val="0"/>
          <w:szCs w:val="24"/>
        </w:rPr>
        <w:t>(redacted information)</w:t>
      </w:r>
      <w:r w:rsidR="00614A1C" w:rsidRPr="0050769D">
        <w:rPr>
          <w:szCs w:val="24"/>
        </w:rPr>
        <w:t xml:space="preserve">, from </w:t>
      </w:r>
      <w:r w:rsidR="00B40725" w:rsidRPr="00D53018">
        <w:rPr>
          <w:b/>
          <w:snapToGrid w:val="0"/>
          <w:szCs w:val="24"/>
        </w:rPr>
        <w:t>(redacted information)</w:t>
      </w:r>
      <w:r w:rsidR="00B40725">
        <w:rPr>
          <w:snapToGrid w:val="0"/>
          <w:szCs w:val="24"/>
        </w:rPr>
        <w:t xml:space="preserve"> </w:t>
      </w:r>
      <w:r w:rsidR="00614A1C" w:rsidRPr="0050769D">
        <w:rPr>
          <w:szCs w:val="24"/>
        </w:rPr>
        <w:t>for complications requiring hospitalisation, and up to $</w:t>
      </w:r>
      <w:r w:rsidR="00B40725" w:rsidRPr="00D53018">
        <w:rPr>
          <w:b/>
          <w:snapToGrid w:val="0"/>
          <w:szCs w:val="24"/>
        </w:rPr>
        <w:t>(redacted information)</w:t>
      </w:r>
      <w:r w:rsidR="00614A1C" w:rsidRPr="0050769D">
        <w:rPr>
          <w:szCs w:val="24"/>
        </w:rPr>
        <w:t xml:space="preserve"> for complications not requiring hospitalisation.</w:t>
      </w:r>
    </w:p>
    <w:p w:rsidR="00F1562F" w:rsidRPr="0050769D" w:rsidRDefault="00F1562F" w:rsidP="002216CC">
      <w:pPr>
        <w:rPr>
          <w:szCs w:val="24"/>
        </w:rPr>
      </w:pPr>
    </w:p>
    <w:p w:rsidR="00614A1C" w:rsidRPr="002216CC" w:rsidRDefault="00614A1C" w:rsidP="00E03414">
      <w:pPr>
        <w:numPr>
          <w:ilvl w:val="0"/>
          <w:numId w:val="13"/>
        </w:numPr>
        <w:tabs>
          <w:tab w:val="clear" w:pos="720"/>
        </w:tabs>
        <w:ind w:left="426" w:hanging="426"/>
        <w:rPr>
          <w:szCs w:val="24"/>
        </w:rPr>
      </w:pPr>
      <w:r w:rsidRPr="0050769D">
        <w:rPr>
          <w:szCs w:val="24"/>
        </w:rPr>
        <w:t xml:space="preserve">The economic evaluations and financial analyses presented to PBAC </w:t>
      </w:r>
      <w:r w:rsidR="00321B82">
        <w:rPr>
          <w:szCs w:val="24"/>
        </w:rPr>
        <w:t xml:space="preserve">and MSAC </w:t>
      </w:r>
      <w:r w:rsidRPr="0050769D">
        <w:rPr>
          <w:szCs w:val="24"/>
        </w:rPr>
        <w:t>need not include any other repeat testing.</w:t>
      </w:r>
    </w:p>
    <w:p w:rsidR="00F1562F" w:rsidRPr="0050769D" w:rsidRDefault="00F1562F" w:rsidP="002216CC">
      <w:pPr>
        <w:rPr>
          <w:szCs w:val="24"/>
        </w:rPr>
      </w:pPr>
    </w:p>
    <w:p w:rsidR="00614A1C" w:rsidRPr="006601D4" w:rsidRDefault="00614A1C" w:rsidP="002216CC">
      <w:pPr>
        <w:numPr>
          <w:ilvl w:val="0"/>
          <w:numId w:val="13"/>
        </w:numPr>
        <w:tabs>
          <w:tab w:val="clear" w:pos="720"/>
        </w:tabs>
        <w:ind w:left="426" w:hanging="426"/>
        <w:rPr>
          <w:szCs w:val="24"/>
        </w:rPr>
      </w:pPr>
      <w:r w:rsidRPr="0050769D">
        <w:rPr>
          <w:szCs w:val="24"/>
        </w:rPr>
        <w:t xml:space="preserve">The economic evaluations and financial analyses presented to PBAC </w:t>
      </w:r>
      <w:r w:rsidR="00321B82">
        <w:rPr>
          <w:szCs w:val="24"/>
        </w:rPr>
        <w:t xml:space="preserve">and MSAC </w:t>
      </w:r>
      <w:r w:rsidRPr="0050769D">
        <w:rPr>
          <w:szCs w:val="24"/>
        </w:rPr>
        <w:t xml:space="preserve">should include the full costs of testing, such as patient episode initiation </w:t>
      </w:r>
      <w:r w:rsidR="00321B82">
        <w:rPr>
          <w:szCs w:val="24"/>
        </w:rPr>
        <w:t xml:space="preserve">fees </w:t>
      </w:r>
      <w:r w:rsidRPr="0050769D">
        <w:rPr>
          <w:szCs w:val="24"/>
        </w:rPr>
        <w:t>and any extra specimen enrichment</w:t>
      </w:r>
      <w:r w:rsidR="00321B82">
        <w:rPr>
          <w:szCs w:val="24"/>
        </w:rPr>
        <w:t>.</w:t>
      </w:r>
    </w:p>
    <w:p w:rsidR="00614A1C" w:rsidRPr="0050769D" w:rsidRDefault="00614A1C" w:rsidP="00321B82">
      <w:pPr>
        <w:numPr>
          <w:ilvl w:val="1"/>
          <w:numId w:val="14"/>
        </w:numPr>
        <w:ind w:left="851"/>
        <w:rPr>
          <w:szCs w:val="24"/>
        </w:rPr>
      </w:pPr>
      <w:r w:rsidRPr="0050769D">
        <w:rPr>
          <w:szCs w:val="24"/>
        </w:rPr>
        <w:t xml:space="preserve">In the economic model, the resubmission </w:t>
      </w:r>
      <w:r w:rsidR="00655867">
        <w:rPr>
          <w:szCs w:val="24"/>
        </w:rPr>
        <w:t xml:space="preserve">to PBAC </w:t>
      </w:r>
      <w:r w:rsidRPr="0050769D">
        <w:rPr>
          <w:szCs w:val="24"/>
        </w:rPr>
        <w:t xml:space="preserve">used a cost of $397.35 plus a </w:t>
      </w:r>
      <w:r w:rsidR="00321B82" w:rsidRPr="0050769D">
        <w:rPr>
          <w:szCs w:val="24"/>
        </w:rPr>
        <w:t>p</w:t>
      </w:r>
      <w:r w:rsidRPr="0050769D">
        <w:rPr>
          <w:szCs w:val="24"/>
        </w:rPr>
        <w:t xml:space="preserve">atient </w:t>
      </w:r>
      <w:r w:rsidR="00321B82" w:rsidRPr="0050769D">
        <w:rPr>
          <w:szCs w:val="24"/>
        </w:rPr>
        <w:t>e</w:t>
      </w:r>
      <w:r w:rsidRPr="0050769D">
        <w:rPr>
          <w:szCs w:val="24"/>
        </w:rPr>
        <w:t xml:space="preserve">pisode </w:t>
      </w:r>
      <w:r w:rsidR="00321B82" w:rsidRPr="0050769D">
        <w:rPr>
          <w:szCs w:val="24"/>
        </w:rPr>
        <w:t>i</w:t>
      </w:r>
      <w:r w:rsidRPr="0050769D">
        <w:rPr>
          <w:szCs w:val="24"/>
        </w:rPr>
        <w:t xml:space="preserve">nitiation </w:t>
      </w:r>
      <w:r w:rsidR="00321B82" w:rsidRPr="0050769D">
        <w:rPr>
          <w:szCs w:val="24"/>
        </w:rPr>
        <w:t>f</w:t>
      </w:r>
      <w:r w:rsidRPr="0050769D">
        <w:rPr>
          <w:szCs w:val="24"/>
        </w:rPr>
        <w:t>ee of $</w:t>
      </w:r>
      <w:r w:rsidR="004A3FE1" w:rsidRPr="007809C1">
        <w:rPr>
          <w:b/>
          <w:snapToGrid w:val="0"/>
          <w:szCs w:val="24"/>
        </w:rPr>
        <w:t>(redacted information)</w:t>
      </w:r>
      <w:r w:rsidR="009E3D82">
        <w:rPr>
          <w:b/>
          <w:snapToGrid w:val="0"/>
          <w:szCs w:val="24"/>
        </w:rPr>
        <w:t xml:space="preserve"> </w:t>
      </w:r>
      <w:r w:rsidRPr="0050769D">
        <w:rPr>
          <w:szCs w:val="24"/>
        </w:rPr>
        <w:t xml:space="preserve">and a </w:t>
      </w:r>
      <w:r w:rsidR="00321B82" w:rsidRPr="0050769D">
        <w:rPr>
          <w:szCs w:val="24"/>
        </w:rPr>
        <w:t>s</w:t>
      </w:r>
      <w:r w:rsidRPr="0050769D">
        <w:rPr>
          <w:szCs w:val="24"/>
        </w:rPr>
        <w:t xml:space="preserve">pecimen </w:t>
      </w:r>
      <w:r w:rsidR="00321B82" w:rsidRPr="0050769D">
        <w:rPr>
          <w:szCs w:val="24"/>
        </w:rPr>
        <w:t>r</w:t>
      </w:r>
      <w:r w:rsidRPr="0050769D">
        <w:rPr>
          <w:szCs w:val="24"/>
        </w:rPr>
        <w:t xml:space="preserve">eferred </w:t>
      </w:r>
      <w:r w:rsidR="00321B82" w:rsidRPr="0050769D">
        <w:rPr>
          <w:szCs w:val="24"/>
        </w:rPr>
        <w:t>f</w:t>
      </w:r>
      <w:r w:rsidRPr="0050769D">
        <w:rPr>
          <w:szCs w:val="24"/>
        </w:rPr>
        <w:t>ee of $</w:t>
      </w:r>
      <w:r w:rsidR="004A3FE1" w:rsidRPr="007809C1">
        <w:rPr>
          <w:b/>
          <w:snapToGrid w:val="0"/>
          <w:szCs w:val="24"/>
        </w:rPr>
        <w:t>(redacted information)</w:t>
      </w:r>
      <w:r w:rsidR="009E3D82">
        <w:rPr>
          <w:szCs w:val="24"/>
        </w:rPr>
        <w:t xml:space="preserve"> </w:t>
      </w:r>
      <w:r w:rsidRPr="0050769D">
        <w:rPr>
          <w:szCs w:val="24"/>
        </w:rPr>
        <w:t>per EGFR test, for a total cost of $</w:t>
      </w:r>
      <w:r w:rsidR="004A3FE1" w:rsidRPr="007809C1">
        <w:rPr>
          <w:b/>
          <w:snapToGrid w:val="0"/>
          <w:szCs w:val="24"/>
        </w:rPr>
        <w:t>(redacted information)</w:t>
      </w:r>
      <w:r w:rsidRPr="0050769D">
        <w:rPr>
          <w:szCs w:val="24"/>
        </w:rPr>
        <w:t>.</w:t>
      </w:r>
      <w:r w:rsidRPr="00321B82">
        <w:rPr>
          <w:szCs w:val="24"/>
        </w:rPr>
        <w:t xml:space="preserve"> </w:t>
      </w:r>
      <w:r w:rsidR="00321B82">
        <w:rPr>
          <w:szCs w:val="24"/>
        </w:rPr>
        <w:t>A cost for</w:t>
      </w:r>
      <w:r w:rsidRPr="006601D4">
        <w:rPr>
          <w:szCs w:val="24"/>
        </w:rPr>
        <w:t xml:space="preserve"> specimen enrichment was not taken into account in the economic model. The resubmission argue</w:t>
      </w:r>
      <w:r w:rsidR="006601D4">
        <w:rPr>
          <w:szCs w:val="24"/>
        </w:rPr>
        <w:t>d</w:t>
      </w:r>
      <w:r w:rsidRPr="006601D4">
        <w:rPr>
          <w:szCs w:val="24"/>
        </w:rPr>
        <w:t xml:space="preserve"> that with sample enrichment, </w:t>
      </w:r>
      <w:proofErr w:type="spellStart"/>
      <w:r w:rsidRPr="006601D4">
        <w:rPr>
          <w:szCs w:val="24"/>
        </w:rPr>
        <w:t>eg</w:t>
      </w:r>
      <w:proofErr w:type="spellEnd"/>
      <w:r w:rsidRPr="006601D4">
        <w:rPr>
          <w:szCs w:val="24"/>
        </w:rPr>
        <w:t xml:space="preserve"> micro- or macro-dissection, when required, the associated costs are considered as part of the conduct of the mutation test and not coded separately.</w:t>
      </w:r>
    </w:p>
    <w:p w:rsidR="006601D4" w:rsidRPr="00321B82" w:rsidRDefault="006601D4" w:rsidP="0052477F">
      <w:pPr>
        <w:rPr>
          <w:snapToGrid w:val="0"/>
          <w:szCs w:val="24"/>
        </w:rPr>
      </w:pPr>
    </w:p>
    <w:p w:rsidR="00937076" w:rsidRPr="008F38C7" w:rsidRDefault="002B4CE2" w:rsidP="00967A4D">
      <w:pPr>
        <w:pStyle w:val="Heading1"/>
        <w:spacing w:before="0"/>
        <w:rPr>
          <w:rFonts w:cs="Arial"/>
        </w:rPr>
      </w:pPr>
      <w:r w:rsidRPr="008F38C7">
        <w:rPr>
          <w:rFonts w:cs="Arial"/>
        </w:rPr>
        <w:t>12.</w:t>
      </w:r>
      <w:r w:rsidRPr="008F38C7">
        <w:rPr>
          <w:rFonts w:cs="Arial"/>
        </w:rPr>
        <w:tab/>
      </w:r>
      <w:r w:rsidR="0095175A" w:rsidRPr="008F38C7">
        <w:rPr>
          <w:rFonts w:cs="Arial"/>
        </w:rPr>
        <w:t>Financial/budgetary impacts</w:t>
      </w:r>
    </w:p>
    <w:p w:rsidR="00614A1C" w:rsidRPr="0050769D" w:rsidRDefault="00614A1C" w:rsidP="00967A4D">
      <w:pPr>
        <w:tabs>
          <w:tab w:val="left" w:pos="720"/>
          <w:tab w:val="left" w:pos="1140"/>
        </w:tabs>
        <w:rPr>
          <w:szCs w:val="24"/>
        </w:rPr>
      </w:pPr>
      <w:r w:rsidRPr="0050769D">
        <w:rPr>
          <w:szCs w:val="24"/>
        </w:rPr>
        <w:t xml:space="preserve">The listing of gefitinib for first-line therapy </w:t>
      </w:r>
      <w:r w:rsidR="008E6C3B">
        <w:rPr>
          <w:szCs w:val="24"/>
        </w:rPr>
        <w:t>would</w:t>
      </w:r>
      <w:r w:rsidR="008E6C3B" w:rsidRPr="0050769D">
        <w:rPr>
          <w:szCs w:val="24"/>
        </w:rPr>
        <w:t xml:space="preserve"> </w:t>
      </w:r>
      <w:r w:rsidRPr="0050769D">
        <w:rPr>
          <w:szCs w:val="24"/>
        </w:rPr>
        <w:t xml:space="preserve">have an impact on the MBS as patients with non-squamous or not otherwise specified NSCLC </w:t>
      </w:r>
      <w:r w:rsidR="008E6C3B" w:rsidRPr="0050769D">
        <w:rPr>
          <w:szCs w:val="24"/>
        </w:rPr>
        <w:t>w</w:t>
      </w:r>
      <w:r w:rsidR="008E6C3B">
        <w:rPr>
          <w:szCs w:val="24"/>
        </w:rPr>
        <w:t>ould</w:t>
      </w:r>
      <w:r w:rsidR="008E6C3B" w:rsidRPr="0050769D">
        <w:rPr>
          <w:szCs w:val="24"/>
        </w:rPr>
        <w:t xml:space="preserve"> </w:t>
      </w:r>
      <w:r w:rsidRPr="0050769D">
        <w:rPr>
          <w:szCs w:val="24"/>
        </w:rPr>
        <w:t xml:space="preserve">undergo MBS-funded EGFR testing to determine their EGFR mutation status at the time of diagnosis, as opposed to only after first line treatment has failed. </w:t>
      </w:r>
      <w:r w:rsidRPr="00967A4D">
        <w:rPr>
          <w:szCs w:val="24"/>
        </w:rPr>
        <w:t xml:space="preserve">However, as most patients </w:t>
      </w:r>
      <w:r w:rsidR="008E6C3B" w:rsidRPr="00967A4D">
        <w:rPr>
          <w:szCs w:val="24"/>
        </w:rPr>
        <w:t>w</w:t>
      </w:r>
      <w:r w:rsidR="008E6C3B">
        <w:rPr>
          <w:szCs w:val="24"/>
        </w:rPr>
        <w:t>ould</w:t>
      </w:r>
      <w:r w:rsidR="008E6C3B" w:rsidRPr="00967A4D">
        <w:rPr>
          <w:szCs w:val="24"/>
        </w:rPr>
        <w:t xml:space="preserve"> </w:t>
      </w:r>
      <w:r w:rsidRPr="00967A4D">
        <w:rPr>
          <w:szCs w:val="24"/>
        </w:rPr>
        <w:t xml:space="preserve">have disease progression once diagnosed with NSCLC, it is likely that the increase in testing </w:t>
      </w:r>
      <w:r w:rsidR="008E6C3B">
        <w:rPr>
          <w:szCs w:val="24"/>
        </w:rPr>
        <w:t>would</w:t>
      </w:r>
      <w:r w:rsidR="008E6C3B" w:rsidRPr="00967A4D">
        <w:rPr>
          <w:szCs w:val="24"/>
        </w:rPr>
        <w:t xml:space="preserve"> </w:t>
      </w:r>
      <w:r w:rsidRPr="00967A4D">
        <w:rPr>
          <w:szCs w:val="24"/>
        </w:rPr>
        <w:t>be small.</w:t>
      </w:r>
      <w:r w:rsidRPr="0050769D">
        <w:rPr>
          <w:szCs w:val="24"/>
        </w:rPr>
        <w:t xml:space="preserve"> The costs to the MBS of the proposed MBS and PBS listings associated with gefitinib </w:t>
      </w:r>
      <w:r w:rsidR="008E6C3B">
        <w:rPr>
          <w:szCs w:val="24"/>
        </w:rPr>
        <w:t>we</w:t>
      </w:r>
      <w:r w:rsidRPr="0050769D">
        <w:rPr>
          <w:szCs w:val="24"/>
        </w:rPr>
        <w:t>re presented in the resubmission</w:t>
      </w:r>
      <w:r w:rsidR="000061E8">
        <w:rPr>
          <w:szCs w:val="24"/>
        </w:rPr>
        <w:t xml:space="preserve"> to PBAC</w:t>
      </w:r>
      <w:r w:rsidRPr="0050769D">
        <w:rPr>
          <w:szCs w:val="24"/>
        </w:rPr>
        <w:t>.</w:t>
      </w:r>
    </w:p>
    <w:p w:rsidR="00967A4D" w:rsidRDefault="00967A4D" w:rsidP="00967A4D">
      <w:pPr>
        <w:tabs>
          <w:tab w:val="left" w:pos="720"/>
          <w:tab w:val="left" w:pos="1140"/>
        </w:tabs>
        <w:rPr>
          <w:szCs w:val="24"/>
        </w:rPr>
      </w:pPr>
    </w:p>
    <w:p w:rsidR="000061E8" w:rsidRDefault="00614A1C" w:rsidP="00967A4D">
      <w:pPr>
        <w:tabs>
          <w:tab w:val="left" w:pos="720"/>
          <w:tab w:val="left" w:pos="1140"/>
        </w:tabs>
        <w:rPr>
          <w:szCs w:val="24"/>
        </w:rPr>
      </w:pPr>
      <w:r w:rsidRPr="0050769D">
        <w:rPr>
          <w:szCs w:val="24"/>
        </w:rPr>
        <w:t xml:space="preserve">The projected number of patients that </w:t>
      </w:r>
      <w:r w:rsidR="008E6C3B">
        <w:rPr>
          <w:szCs w:val="24"/>
        </w:rPr>
        <w:t>would</w:t>
      </w:r>
      <w:r w:rsidR="008E6C3B" w:rsidRPr="0050769D">
        <w:rPr>
          <w:szCs w:val="24"/>
        </w:rPr>
        <w:t xml:space="preserve"> </w:t>
      </w:r>
      <w:r w:rsidRPr="0050769D">
        <w:rPr>
          <w:szCs w:val="24"/>
        </w:rPr>
        <w:t>require an EGFR mutation test was derived from the incidence of lung cancer as extracted from the Australian Cancer Incidence and Prevalence statistics (AIHW, 2011). Literature searches were conducted to provide information to determine the proportion of lung cancer patients with non-squamous or not otherwise specified NSCLC.</w:t>
      </w:r>
    </w:p>
    <w:p w:rsidR="004A2806" w:rsidRDefault="004A2806" w:rsidP="00967A4D">
      <w:pPr>
        <w:tabs>
          <w:tab w:val="left" w:pos="720"/>
          <w:tab w:val="left" w:pos="1140"/>
        </w:tabs>
        <w:rPr>
          <w:szCs w:val="24"/>
        </w:rPr>
      </w:pPr>
    </w:p>
    <w:p w:rsidR="00614A1C" w:rsidRPr="0050769D" w:rsidRDefault="00614A1C" w:rsidP="00967A4D">
      <w:pPr>
        <w:tabs>
          <w:tab w:val="left" w:pos="720"/>
          <w:tab w:val="left" w:pos="1140"/>
        </w:tabs>
        <w:rPr>
          <w:szCs w:val="24"/>
        </w:rPr>
      </w:pPr>
      <w:r w:rsidRPr="0050769D">
        <w:t xml:space="preserve">The number of patients eligible for EGFR testing was assumed to be </w:t>
      </w:r>
      <w:r w:rsidR="00A54F85">
        <w:t xml:space="preserve">in the range </w:t>
      </w:r>
      <w:r w:rsidR="00A54F85" w:rsidRPr="00A54F85">
        <w:t>10,000 – 50,000</w:t>
      </w:r>
      <w:r w:rsidR="005C5513">
        <w:t xml:space="preserve"> in the fifth year.</w:t>
      </w:r>
    </w:p>
    <w:p w:rsidR="005C5513" w:rsidRDefault="005C5513" w:rsidP="00967A4D">
      <w:pPr>
        <w:tabs>
          <w:tab w:val="left" w:pos="720"/>
          <w:tab w:val="left" w:pos="1140"/>
        </w:tabs>
        <w:rPr>
          <w:szCs w:val="24"/>
        </w:rPr>
      </w:pPr>
    </w:p>
    <w:p w:rsidR="00614A1C" w:rsidRDefault="00614A1C" w:rsidP="00397C47">
      <w:pPr>
        <w:tabs>
          <w:tab w:val="left" w:pos="720"/>
          <w:tab w:val="left" w:pos="1140"/>
        </w:tabs>
        <w:rPr>
          <w:szCs w:val="24"/>
        </w:rPr>
      </w:pPr>
      <w:r w:rsidRPr="0050769D">
        <w:rPr>
          <w:szCs w:val="24"/>
        </w:rPr>
        <w:t xml:space="preserve">The net cost to the MBS </w:t>
      </w:r>
      <w:r w:rsidR="004F526E">
        <w:rPr>
          <w:szCs w:val="24"/>
        </w:rPr>
        <w:t>wa</w:t>
      </w:r>
      <w:r w:rsidRPr="0050769D">
        <w:rPr>
          <w:szCs w:val="24"/>
        </w:rPr>
        <w:t xml:space="preserve">s estimated to be </w:t>
      </w:r>
      <w:r w:rsidR="004F526E">
        <w:rPr>
          <w:szCs w:val="24"/>
        </w:rPr>
        <w:t>less than $5 million</w:t>
      </w:r>
      <w:r w:rsidR="005C5513">
        <w:rPr>
          <w:szCs w:val="24"/>
        </w:rPr>
        <w:t xml:space="preserve"> in the fifth year.</w:t>
      </w:r>
      <w:r w:rsidR="00C82595">
        <w:rPr>
          <w:szCs w:val="24"/>
        </w:rPr>
        <w:t xml:space="preserve"> </w:t>
      </w:r>
      <w:r w:rsidRPr="0050769D">
        <w:rPr>
          <w:szCs w:val="24"/>
        </w:rPr>
        <w:t>The costs to the MBS could be either higher or lower than the</w:t>
      </w:r>
      <w:r w:rsidR="000061E8">
        <w:rPr>
          <w:szCs w:val="24"/>
        </w:rPr>
        <w:t>se</w:t>
      </w:r>
      <w:r w:rsidRPr="0050769D">
        <w:rPr>
          <w:szCs w:val="24"/>
        </w:rPr>
        <w:t xml:space="preserve"> estimates, as the resubmission d</w:t>
      </w:r>
      <w:r w:rsidR="00397C47">
        <w:rPr>
          <w:szCs w:val="24"/>
        </w:rPr>
        <w:t>id</w:t>
      </w:r>
      <w:r w:rsidRPr="0050769D">
        <w:rPr>
          <w:szCs w:val="24"/>
        </w:rPr>
        <w:t xml:space="preserve"> not consider the costs for re-testing, costs for EGFR testing before second-line gefitinib (in the comparator arm only), the associated MBS fees for re-biopsy and complications for patients treated in a public hospital as private patients or in a private hospital, and the savings from avoiding side-effects associated with chemotherapy (</w:t>
      </w:r>
      <w:proofErr w:type="spellStart"/>
      <w:r w:rsidRPr="0050769D">
        <w:rPr>
          <w:szCs w:val="24"/>
        </w:rPr>
        <w:t>eg</w:t>
      </w:r>
      <w:proofErr w:type="spellEnd"/>
      <w:r w:rsidRPr="0050769D">
        <w:rPr>
          <w:szCs w:val="24"/>
        </w:rPr>
        <w:t>. blood transfusion).</w:t>
      </w:r>
    </w:p>
    <w:p w:rsidR="00C878DA" w:rsidRPr="0050769D" w:rsidRDefault="00C878DA" w:rsidP="00397C47">
      <w:pPr>
        <w:tabs>
          <w:tab w:val="left" w:pos="720"/>
          <w:tab w:val="left" w:pos="1140"/>
        </w:tabs>
        <w:rPr>
          <w:szCs w:val="24"/>
        </w:rPr>
      </w:pPr>
    </w:p>
    <w:p w:rsidR="006A19C5" w:rsidRPr="006A1D88" w:rsidRDefault="002B4CE2" w:rsidP="00397C47">
      <w:pPr>
        <w:pStyle w:val="Heading1"/>
        <w:spacing w:before="0"/>
        <w:rPr>
          <w:rFonts w:cs="Arial"/>
          <w:b w:val="0"/>
          <w:bCs w:val="0"/>
          <w:szCs w:val="24"/>
        </w:rPr>
      </w:pPr>
      <w:r w:rsidRPr="006A1D88">
        <w:rPr>
          <w:rFonts w:cs="Arial"/>
          <w:szCs w:val="24"/>
        </w:rPr>
        <w:t>13.</w:t>
      </w:r>
      <w:r w:rsidRPr="006A1D88">
        <w:rPr>
          <w:rFonts w:cs="Arial"/>
          <w:szCs w:val="24"/>
        </w:rPr>
        <w:tab/>
        <w:t xml:space="preserve">Key issues for </w:t>
      </w:r>
      <w:r w:rsidR="00E67C5A" w:rsidRPr="006A1D88">
        <w:rPr>
          <w:rFonts w:cs="Arial"/>
          <w:szCs w:val="24"/>
        </w:rPr>
        <w:t>MSAC</w:t>
      </w:r>
    </w:p>
    <w:p w:rsidR="00614A1C" w:rsidRPr="0050769D" w:rsidRDefault="00614A1C" w:rsidP="00397C47">
      <w:pPr>
        <w:rPr>
          <w:szCs w:val="24"/>
        </w:rPr>
      </w:pPr>
      <w:r w:rsidRPr="0050769D">
        <w:rPr>
          <w:szCs w:val="24"/>
        </w:rPr>
        <w:t>Uncertainty remains regarding the test performance of the EGFR testing methods used in Australian laboratories relative to that in the IPASS trial. The economic model is sensitive to the EGFR mutation test specificity.</w:t>
      </w:r>
    </w:p>
    <w:p w:rsidR="00823261" w:rsidRPr="0050769D" w:rsidRDefault="00823261" w:rsidP="00397C47">
      <w:pPr>
        <w:tabs>
          <w:tab w:val="left" w:pos="720"/>
          <w:tab w:val="left" w:pos="1140"/>
        </w:tabs>
        <w:rPr>
          <w:szCs w:val="24"/>
        </w:rPr>
      </w:pPr>
    </w:p>
    <w:p w:rsidR="004C0DCE" w:rsidRDefault="006A19C5" w:rsidP="00397C47">
      <w:pPr>
        <w:pStyle w:val="Heading1"/>
        <w:spacing w:before="0"/>
        <w:rPr>
          <w:rFonts w:cs="Arial"/>
          <w:szCs w:val="24"/>
        </w:rPr>
      </w:pPr>
      <w:r w:rsidRPr="006A1D88">
        <w:rPr>
          <w:rFonts w:cs="Arial"/>
          <w:szCs w:val="24"/>
        </w:rPr>
        <w:t>14.</w:t>
      </w:r>
      <w:r w:rsidRPr="006A1D88">
        <w:rPr>
          <w:rFonts w:cs="Arial"/>
          <w:szCs w:val="24"/>
        </w:rPr>
        <w:tab/>
      </w:r>
      <w:r w:rsidR="004C0DCE" w:rsidRPr="006A1D88">
        <w:rPr>
          <w:rFonts w:cs="Arial"/>
          <w:szCs w:val="24"/>
        </w:rPr>
        <w:t>Other significant factors</w:t>
      </w:r>
    </w:p>
    <w:p w:rsidR="008E14BC" w:rsidRDefault="008E14BC" w:rsidP="00397C47">
      <w:proofErr w:type="gramStart"/>
      <w:r>
        <w:t>Nil</w:t>
      </w:r>
      <w:r w:rsidR="00700ABA">
        <w:t>.</w:t>
      </w:r>
      <w:proofErr w:type="gramEnd"/>
    </w:p>
    <w:p w:rsidR="00397C47" w:rsidRPr="008E14BC" w:rsidRDefault="00397C47" w:rsidP="00397C47"/>
    <w:p w:rsidR="00937076" w:rsidRPr="006A1D88" w:rsidRDefault="006A19C5" w:rsidP="00397C47">
      <w:pPr>
        <w:pStyle w:val="Heading1"/>
        <w:spacing w:before="0"/>
        <w:rPr>
          <w:rFonts w:cs="Arial"/>
          <w:szCs w:val="24"/>
        </w:rPr>
      </w:pPr>
      <w:r w:rsidRPr="006A1D88">
        <w:rPr>
          <w:rFonts w:cs="Arial"/>
          <w:szCs w:val="24"/>
        </w:rPr>
        <w:t>15.</w:t>
      </w:r>
      <w:r w:rsidRPr="006A1D88">
        <w:rPr>
          <w:rFonts w:cs="Arial"/>
          <w:szCs w:val="24"/>
        </w:rPr>
        <w:tab/>
      </w:r>
      <w:r w:rsidR="00937076" w:rsidRPr="006A1D88">
        <w:rPr>
          <w:rFonts w:cs="Arial"/>
          <w:szCs w:val="24"/>
        </w:rPr>
        <w:t>Summary of consideration and rationale for MSAC’s advice</w:t>
      </w:r>
    </w:p>
    <w:p w:rsidR="00C57C45" w:rsidRPr="009E3D82" w:rsidRDefault="00C57C45" w:rsidP="00397C47">
      <w:pPr>
        <w:tabs>
          <w:tab w:val="left" w:pos="720"/>
          <w:tab w:val="left" w:pos="1140"/>
        </w:tabs>
        <w:rPr>
          <w:szCs w:val="24"/>
        </w:rPr>
      </w:pPr>
      <w:r w:rsidRPr="009E3D82">
        <w:rPr>
          <w:szCs w:val="24"/>
        </w:rPr>
        <w:t>MSAC noted that the July 2013 PBAC meeting had deferred its decision in relation to extending the listing of gefitinib on the PBS, but had reaffirmed its intention to restrict such a listing to locally advanced (stage IIIB) or metastatic (stage IV) non-squamous or not otherwise specified (NOS) non-small-cell lung cancer (NSCLC) in patients with evidence that the tumour harbours an activating mutation(s) of the EGFR gene known to confer sensitivity to treatment with EGFR tyrosine kinase inhibitors (TKIs)</w:t>
      </w:r>
      <w:r w:rsidRPr="009E3D82">
        <w:rPr>
          <w:color w:val="000000"/>
          <w:szCs w:val="24"/>
        </w:rPr>
        <w:t xml:space="preserve">. MSAC reaffirmed the importance of aligning the </w:t>
      </w:r>
      <w:r w:rsidRPr="009E3D82">
        <w:rPr>
          <w:szCs w:val="24"/>
        </w:rPr>
        <w:t xml:space="preserve">population of patients eligible for </w:t>
      </w:r>
      <w:r w:rsidRPr="009E3D82">
        <w:rPr>
          <w:color w:val="000000"/>
          <w:szCs w:val="24"/>
        </w:rPr>
        <w:t xml:space="preserve">testing </w:t>
      </w:r>
      <w:r w:rsidRPr="009E3D82">
        <w:rPr>
          <w:szCs w:val="24"/>
        </w:rPr>
        <w:t>with this restriction, although also allowing for EGFR mutation testing in non-squamous or NOS NSCLC at initial diagnosis rather than necessarily requiring that a patient waits until progression to locally advanced or metastatic disease before testing.</w:t>
      </w:r>
    </w:p>
    <w:p w:rsidR="00397C47" w:rsidRPr="009E3D82" w:rsidRDefault="00397C47" w:rsidP="00397C47">
      <w:pPr>
        <w:tabs>
          <w:tab w:val="left" w:pos="720"/>
          <w:tab w:val="left" w:pos="1140"/>
        </w:tabs>
      </w:pPr>
    </w:p>
    <w:p w:rsidR="00C57C45" w:rsidRPr="009E3D82" w:rsidRDefault="00C57C45" w:rsidP="00397C47">
      <w:pPr>
        <w:tabs>
          <w:tab w:val="left" w:pos="720"/>
          <w:tab w:val="left" w:pos="1140"/>
        </w:tabs>
      </w:pPr>
      <w:r w:rsidRPr="009E3D82">
        <w:t xml:space="preserve">MSAC foreshadowed it would advise that the medication names “gefitinib or erlotinib or afatinib”, or any </w:t>
      </w:r>
      <w:r w:rsidRPr="009E3D82">
        <w:rPr>
          <w:szCs w:val="24"/>
        </w:rPr>
        <w:t>appropriate</w:t>
      </w:r>
      <w:r w:rsidRPr="009E3D82">
        <w:t xml:space="preserve"> sub-set thereof, would be used in the revised wording of an MBS item for EGFR mutation testing in the event of a PBAC recommendation to list any one or more of these medicines. MSAC did not prefer the alternative of “EGFR tyrosine kinase inhibitor” because it wanted to be able to review each new co-dependent linkage at this early stage of considering co-dependent test and medicine technologies. For example, it would want to consider the “evidentiary standard” test for each subsequent new treatment option (the test used to identify the EGFR mutation status in the key trials supporting the new treatment option) and to consider the means through which the treatment option achieves its effect.</w:t>
      </w:r>
    </w:p>
    <w:p w:rsidR="00397C47" w:rsidRPr="009E3D82" w:rsidRDefault="00397C47" w:rsidP="00397C47">
      <w:pPr>
        <w:tabs>
          <w:tab w:val="left" w:pos="720"/>
          <w:tab w:val="left" w:pos="1140"/>
        </w:tabs>
      </w:pPr>
    </w:p>
    <w:p w:rsidR="00C57C45" w:rsidRPr="009E3D82" w:rsidRDefault="00C57C45" w:rsidP="00397C47">
      <w:pPr>
        <w:tabs>
          <w:tab w:val="left" w:pos="720"/>
          <w:tab w:val="left" w:pos="1140"/>
        </w:tabs>
      </w:pPr>
      <w:r w:rsidRPr="009E3D82">
        <w:t>MSAC rejected any proposal to include “tumour cells” rather than “tumour tissue” to define the source of the specimen for EGFR mutation testing. In particular, MSAC advised that EGFR mutation testing should not be subsidised when the source of the specimen is circulating tumour cells. Suitable specimens include a tissue biopsy of the lung cancer which would include cytology blocks.</w:t>
      </w:r>
    </w:p>
    <w:p w:rsidR="00397C47" w:rsidRPr="009E3D82" w:rsidRDefault="00397C47" w:rsidP="00397C47">
      <w:pPr>
        <w:tabs>
          <w:tab w:val="left" w:pos="720"/>
          <w:tab w:val="left" w:pos="1140"/>
        </w:tabs>
      </w:pPr>
    </w:p>
    <w:p w:rsidR="00C57C45" w:rsidRPr="009E3D82" w:rsidRDefault="00C57C45" w:rsidP="00397C47">
      <w:pPr>
        <w:tabs>
          <w:tab w:val="left" w:pos="720"/>
          <w:tab w:val="left" w:pos="1140"/>
        </w:tabs>
      </w:pPr>
      <w:r w:rsidRPr="009E3D82">
        <w:t>MSAC reaffirmed its November 2012 advice that the proposed MBS item should be made a pathology determinable service so that the pathologist can perform EGFR mutation testing on samples which meet the requisite histological criteria. This process ensures that the diagnostic process is not interrupted by the need to get a referral from a clinician for mutation testing. This supports MSAC’s preference that EGFR mutation testing be performed on the same specimen in the same laboratory as the prerequisite histology testing because this would optimise both confidence in pathology results and parsimonious use of the specimen. It is also consistent with MSAC’s previous advice that pathology practice should be optimised through a more centralised approach to ensure EGFR mutation testing is limited to laboratories with appropriate expertise and back-up. However, MSAC did not change its advice on the text for the proposed MBS item descriptor to require that the one laboratory performs both the histology and genetic testing on the specimen. Similarly, MSAC reaffirmed its November 2012 advice that biopsy sampling practice should also be optimised to obtain sufficient tumour tissue of adequate quality to obtain high rates of satisfactory specimens.</w:t>
      </w:r>
    </w:p>
    <w:p w:rsidR="00397C47" w:rsidRPr="009E3D82" w:rsidRDefault="00397C47" w:rsidP="00397C47">
      <w:pPr>
        <w:tabs>
          <w:tab w:val="left" w:pos="720"/>
          <w:tab w:val="left" w:pos="1140"/>
        </w:tabs>
      </w:pPr>
    </w:p>
    <w:p w:rsidR="00C57C45" w:rsidRPr="009E3D82" w:rsidRDefault="00C57C45" w:rsidP="00397C47">
      <w:pPr>
        <w:tabs>
          <w:tab w:val="left" w:pos="720"/>
          <w:tab w:val="left" w:pos="1140"/>
        </w:tabs>
      </w:pPr>
      <w:r w:rsidRPr="009E3D82">
        <w:t>MSAC noted that the economic evaluations and financial analyses presented to the July 2013 PBAC meeting generally followed its November 2012 advice including on the prevalence of activating EGFR mutations (15%), re-biopsy rate (12%), costs for re-biopsy, complication rate for re-biopsy (14%), costs for testing, and the need for sensitiv</w:t>
      </w:r>
      <w:r w:rsidR="004418EA" w:rsidRPr="009E3D82">
        <w:t xml:space="preserve">ity analyses of the likely </w:t>
      </w:r>
      <w:r w:rsidRPr="009E3D82">
        <w:t>extent of proportions of false positive test results and false negative test results in Australia.</w:t>
      </w:r>
    </w:p>
    <w:p w:rsidR="004F5CA8" w:rsidRPr="009E3D82" w:rsidRDefault="004F5CA8" w:rsidP="00397C47">
      <w:pPr>
        <w:tabs>
          <w:tab w:val="left" w:pos="720"/>
          <w:tab w:val="left" w:pos="1140"/>
        </w:tabs>
      </w:pPr>
    </w:p>
    <w:p w:rsidR="00C57C45" w:rsidRPr="009E3D82" w:rsidRDefault="00C57C45" w:rsidP="00397C47">
      <w:pPr>
        <w:tabs>
          <w:tab w:val="left" w:pos="720"/>
          <w:tab w:val="left" w:pos="1140"/>
        </w:tabs>
        <w:rPr>
          <w:szCs w:val="24"/>
        </w:rPr>
      </w:pPr>
      <w:r w:rsidRPr="009E3D82">
        <w:rPr>
          <w:szCs w:val="24"/>
        </w:rPr>
        <w:t xml:space="preserve">MSAC reaffirmed its November 2012 advice that, in the absence of any reason not to do so, the current MBS fee should apply to any expansion of eligibility for MBS funding of EGFR mutation testing. </w:t>
      </w:r>
      <w:r w:rsidRPr="009E3D82">
        <w:rPr>
          <w:color w:val="000000"/>
          <w:szCs w:val="24"/>
        </w:rPr>
        <w:t xml:space="preserve">MSAC </w:t>
      </w:r>
      <w:r w:rsidRPr="009E3D82">
        <w:rPr>
          <w:szCs w:val="24"/>
        </w:rPr>
        <w:t>noted</w:t>
      </w:r>
      <w:r w:rsidRPr="009E3D82">
        <w:rPr>
          <w:color w:val="000000"/>
          <w:szCs w:val="24"/>
        </w:rPr>
        <w:t xml:space="preserve"> the applicant’s estimates of financial implications to the MBS </w:t>
      </w:r>
      <w:r w:rsidR="00137A82" w:rsidRPr="009E3D82">
        <w:rPr>
          <w:color w:val="000000"/>
          <w:szCs w:val="24"/>
        </w:rPr>
        <w:t>were less than $5</w:t>
      </w:r>
      <w:r w:rsidRPr="009E3D82">
        <w:rPr>
          <w:color w:val="000000"/>
          <w:szCs w:val="24"/>
        </w:rPr>
        <w:t xml:space="preserve"> million per year.</w:t>
      </w:r>
    </w:p>
    <w:p w:rsidR="00397C47" w:rsidRPr="009E3D82" w:rsidRDefault="00397C47" w:rsidP="00397C47">
      <w:pPr>
        <w:tabs>
          <w:tab w:val="left" w:pos="720"/>
          <w:tab w:val="left" w:pos="1140"/>
        </w:tabs>
        <w:rPr>
          <w:szCs w:val="24"/>
        </w:rPr>
      </w:pPr>
    </w:p>
    <w:p w:rsidR="00C57C45" w:rsidRPr="009E3D82" w:rsidRDefault="00C57C45" w:rsidP="00397C47">
      <w:pPr>
        <w:tabs>
          <w:tab w:val="left" w:pos="720"/>
          <w:tab w:val="left" w:pos="1140"/>
        </w:tabs>
      </w:pPr>
      <w:r w:rsidRPr="009E3D82">
        <w:rPr>
          <w:szCs w:val="24"/>
        </w:rPr>
        <w:t>MSAC recalled its November 2012 advice to c</w:t>
      </w:r>
      <w:r w:rsidRPr="009E3D82">
        <w:rPr>
          <w:spacing w:val="4"/>
          <w:szCs w:val="24"/>
        </w:rPr>
        <w:t>o</w:t>
      </w:r>
      <w:r w:rsidRPr="009E3D82">
        <w:rPr>
          <w:spacing w:val="-4"/>
          <w:szCs w:val="24"/>
        </w:rPr>
        <w:t>lle</w:t>
      </w:r>
      <w:r w:rsidRPr="009E3D82">
        <w:rPr>
          <w:szCs w:val="24"/>
        </w:rPr>
        <w:t>ct</w:t>
      </w:r>
      <w:r w:rsidRPr="009E3D82">
        <w:rPr>
          <w:spacing w:val="-6"/>
          <w:szCs w:val="24"/>
        </w:rPr>
        <w:t xml:space="preserve"> </w:t>
      </w:r>
      <w:r w:rsidRPr="009E3D82">
        <w:rPr>
          <w:szCs w:val="24"/>
        </w:rPr>
        <w:t>da</w:t>
      </w:r>
      <w:r w:rsidRPr="009E3D82">
        <w:rPr>
          <w:spacing w:val="4"/>
          <w:szCs w:val="24"/>
        </w:rPr>
        <w:t>t</w:t>
      </w:r>
      <w:r w:rsidRPr="009E3D82">
        <w:rPr>
          <w:szCs w:val="24"/>
        </w:rPr>
        <w:t>a</w:t>
      </w:r>
      <w:r w:rsidRPr="009E3D82">
        <w:rPr>
          <w:spacing w:val="-3"/>
          <w:szCs w:val="24"/>
        </w:rPr>
        <w:t xml:space="preserve"> </w:t>
      </w:r>
      <w:r w:rsidRPr="009E3D82">
        <w:rPr>
          <w:spacing w:val="5"/>
          <w:szCs w:val="24"/>
        </w:rPr>
        <w:t>o</w:t>
      </w:r>
      <w:r w:rsidRPr="009E3D82">
        <w:rPr>
          <w:szCs w:val="24"/>
        </w:rPr>
        <w:t>n</w:t>
      </w:r>
      <w:r w:rsidRPr="009E3D82">
        <w:rPr>
          <w:spacing w:val="-5"/>
          <w:szCs w:val="24"/>
        </w:rPr>
        <w:t xml:space="preserve"> </w:t>
      </w:r>
      <w:r w:rsidRPr="009E3D82">
        <w:rPr>
          <w:spacing w:val="8"/>
          <w:szCs w:val="24"/>
        </w:rPr>
        <w:t>t</w:t>
      </w:r>
      <w:r w:rsidRPr="009E3D82">
        <w:rPr>
          <w:spacing w:val="-5"/>
          <w:szCs w:val="24"/>
        </w:rPr>
        <w:t>h</w:t>
      </w:r>
      <w:r w:rsidRPr="009E3D82">
        <w:rPr>
          <w:szCs w:val="24"/>
        </w:rPr>
        <w:t xml:space="preserve">e </w:t>
      </w:r>
      <w:r w:rsidR="00FE54C2" w:rsidRPr="009E3D82">
        <w:rPr>
          <w:szCs w:val="24"/>
        </w:rPr>
        <w:t>p</w:t>
      </w:r>
      <w:r w:rsidR="00FE54C2" w:rsidRPr="009E3D82">
        <w:rPr>
          <w:spacing w:val="3"/>
          <w:szCs w:val="24"/>
        </w:rPr>
        <w:t>r</w:t>
      </w:r>
      <w:r w:rsidR="00FE54C2" w:rsidRPr="009E3D82">
        <w:rPr>
          <w:szCs w:val="24"/>
        </w:rPr>
        <w:t>e</w:t>
      </w:r>
      <w:r w:rsidR="00FE54C2" w:rsidRPr="009E3D82">
        <w:rPr>
          <w:spacing w:val="-6"/>
          <w:szCs w:val="24"/>
        </w:rPr>
        <w:t>v</w:t>
      </w:r>
      <w:r w:rsidR="00FE54C2" w:rsidRPr="009E3D82">
        <w:rPr>
          <w:spacing w:val="4"/>
          <w:szCs w:val="24"/>
        </w:rPr>
        <w:t>a</w:t>
      </w:r>
      <w:r w:rsidR="00FE54C2" w:rsidRPr="009E3D82">
        <w:rPr>
          <w:spacing w:val="-9"/>
          <w:szCs w:val="24"/>
        </w:rPr>
        <w:t>l</w:t>
      </w:r>
      <w:r w:rsidR="00FE54C2" w:rsidRPr="009E3D82">
        <w:rPr>
          <w:spacing w:val="4"/>
          <w:szCs w:val="24"/>
        </w:rPr>
        <w:t>e</w:t>
      </w:r>
      <w:r w:rsidR="00FE54C2" w:rsidRPr="009E3D82">
        <w:rPr>
          <w:szCs w:val="24"/>
        </w:rPr>
        <w:t>nce</w:t>
      </w:r>
      <w:r w:rsidRPr="009E3D82">
        <w:rPr>
          <w:spacing w:val="-2"/>
          <w:szCs w:val="24"/>
        </w:rPr>
        <w:t xml:space="preserve"> </w:t>
      </w:r>
      <w:r w:rsidRPr="009E3D82">
        <w:rPr>
          <w:spacing w:val="5"/>
          <w:szCs w:val="24"/>
        </w:rPr>
        <w:t>o</w:t>
      </w:r>
      <w:r w:rsidRPr="009E3D82">
        <w:rPr>
          <w:szCs w:val="24"/>
        </w:rPr>
        <w:t>f</w:t>
      </w:r>
      <w:r w:rsidRPr="009E3D82">
        <w:rPr>
          <w:spacing w:val="-1"/>
          <w:szCs w:val="24"/>
        </w:rPr>
        <w:t xml:space="preserve"> </w:t>
      </w:r>
      <w:r w:rsidRPr="009E3D82">
        <w:rPr>
          <w:spacing w:val="-5"/>
          <w:szCs w:val="24"/>
        </w:rPr>
        <w:t>v</w:t>
      </w:r>
      <w:r w:rsidRPr="009E3D82">
        <w:rPr>
          <w:szCs w:val="24"/>
        </w:rPr>
        <w:t>a</w:t>
      </w:r>
      <w:r w:rsidRPr="009E3D82">
        <w:rPr>
          <w:spacing w:val="6"/>
          <w:szCs w:val="24"/>
        </w:rPr>
        <w:t>r</w:t>
      </w:r>
      <w:r w:rsidRPr="009E3D82">
        <w:rPr>
          <w:spacing w:val="-9"/>
          <w:szCs w:val="24"/>
        </w:rPr>
        <w:t>i</w:t>
      </w:r>
      <w:r w:rsidRPr="009E3D82">
        <w:rPr>
          <w:spacing w:val="5"/>
          <w:szCs w:val="24"/>
        </w:rPr>
        <w:t>o</w:t>
      </w:r>
      <w:r w:rsidRPr="009E3D82">
        <w:rPr>
          <w:szCs w:val="24"/>
        </w:rPr>
        <w:t xml:space="preserve">us </w:t>
      </w:r>
      <w:r w:rsidRPr="009E3D82">
        <w:rPr>
          <w:spacing w:val="10"/>
          <w:szCs w:val="24"/>
        </w:rPr>
        <w:t>t</w:t>
      </w:r>
      <w:r w:rsidRPr="009E3D82">
        <w:rPr>
          <w:spacing w:val="-10"/>
          <w:szCs w:val="24"/>
        </w:rPr>
        <w:t>y</w:t>
      </w:r>
      <w:r w:rsidRPr="009E3D82">
        <w:rPr>
          <w:szCs w:val="24"/>
        </w:rPr>
        <w:t>p</w:t>
      </w:r>
      <w:r w:rsidRPr="009E3D82">
        <w:rPr>
          <w:spacing w:val="4"/>
          <w:szCs w:val="24"/>
        </w:rPr>
        <w:t>e</w:t>
      </w:r>
      <w:r w:rsidRPr="009E3D82">
        <w:rPr>
          <w:szCs w:val="24"/>
        </w:rPr>
        <w:t xml:space="preserve">s </w:t>
      </w:r>
      <w:r w:rsidRPr="009E3D82">
        <w:rPr>
          <w:spacing w:val="5"/>
          <w:szCs w:val="24"/>
        </w:rPr>
        <w:t>o</w:t>
      </w:r>
      <w:r w:rsidRPr="009E3D82">
        <w:rPr>
          <w:szCs w:val="24"/>
        </w:rPr>
        <w:t>f</w:t>
      </w:r>
      <w:r w:rsidRPr="009E3D82">
        <w:rPr>
          <w:spacing w:val="-8"/>
          <w:szCs w:val="24"/>
        </w:rPr>
        <w:t xml:space="preserve"> </w:t>
      </w:r>
      <w:r w:rsidRPr="009E3D82">
        <w:rPr>
          <w:szCs w:val="24"/>
        </w:rPr>
        <w:t>de</w:t>
      </w:r>
      <w:r w:rsidRPr="009E3D82">
        <w:rPr>
          <w:spacing w:val="7"/>
          <w:szCs w:val="24"/>
        </w:rPr>
        <w:t>t</w:t>
      </w:r>
      <w:r w:rsidRPr="009E3D82">
        <w:rPr>
          <w:szCs w:val="24"/>
        </w:rPr>
        <w:t>e</w:t>
      </w:r>
      <w:r w:rsidRPr="009E3D82">
        <w:rPr>
          <w:spacing w:val="-7"/>
          <w:szCs w:val="24"/>
        </w:rPr>
        <w:t>c</w:t>
      </w:r>
      <w:r w:rsidRPr="009E3D82">
        <w:rPr>
          <w:spacing w:val="5"/>
          <w:szCs w:val="24"/>
        </w:rPr>
        <w:t>t</w:t>
      </w:r>
      <w:r w:rsidRPr="009E3D82">
        <w:rPr>
          <w:szCs w:val="24"/>
        </w:rPr>
        <w:t xml:space="preserve">ed </w:t>
      </w:r>
      <w:r w:rsidRPr="009E3D82">
        <w:rPr>
          <w:spacing w:val="4"/>
          <w:szCs w:val="24"/>
        </w:rPr>
        <w:t>E</w:t>
      </w:r>
      <w:r w:rsidRPr="009E3D82">
        <w:rPr>
          <w:szCs w:val="24"/>
        </w:rPr>
        <w:t>G</w:t>
      </w:r>
      <w:r w:rsidRPr="009E3D82">
        <w:rPr>
          <w:spacing w:val="-4"/>
          <w:szCs w:val="24"/>
        </w:rPr>
        <w:t>F</w:t>
      </w:r>
      <w:r w:rsidRPr="009E3D82">
        <w:rPr>
          <w:szCs w:val="24"/>
        </w:rPr>
        <w:t xml:space="preserve">R </w:t>
      </w:r>
      <w:r w:rsidRPr="009E3D82">
        <w:rPr>
          <w:spacing w:val="-8"/>
          <w:szCs w:val="24"/>
        </w:rPr>
        <w:t>m</w:t>
      </w:r>
      <w:r w:rsidRPr="009E3D82">
        <w:rPr>
          <w:szCs w:val="24"/>
        </w:rPr>
        <w:t>u</w:t>
      </w:r>
      <w:r w:rsidRPr="009E3D82">
        <w:rPr>
          <w:spacing w:val="5"/>
          <w:szCs w:val="24"/>
        </w:rPr>
        <w:t>t</w:t>
      </w:r>
      <w:r w:rsidRPr="009E3D82">
        <w:rPr>
          <w:szCs w:val="24"/>
        </w:rPr>
        <w:t>a</w:t>
      </w:r>
      <w:r w:rsidRPr="009E3D82">
        <w:rPr>
          <w:spacing w:val="4"/>
          <w:szCs w:val="24"/>
        </w:rPr>
        <w:t>t</w:t>
      </w:r>
      <w:r w:rsidRPr="009E3D82">
        <w:rPr>
          <w:spacing w:val="-9"/>
          <w:szCs w:val="24"/>
        </w:rPr>
        <w:t>i</w:t>
      </w:r>
      <w:r w:rsidRPr="009E3D82">
        <w:rPr>
          <w:spacing w:val="5"/>
          <w:szCs w:val="24"/>
        </w:rPr>
        <w:t>o</w:t>
      </w:r>
      <w:r w:rsidRPr="009E3D82">
        <w:rPr>
          <w:szCs w:val="24"/>
        </w:rPr>
        <w:t>ns a</w:t>
      </w:r>
      <w:r w:rsidRPr="009E3D82">
        <w:rPr>
          <w:spacing w:val="-6"/>
          <w:szCs w:val="24"/>
        </w:rPr>
        <w:t>n</w:t>
      </w:r>
      <w:r w:rsidRPr="009E3D82">
        <w:rPr>
          <w:szCs w:val="24"/>
        </w:rPr>
        <w:t xml:space="preserve">d to support </w:t>
      </w:r>
      <w:r w:rsidRPr="009E3D82">
        <w:rPr>
          <w:spacing w:val="8"/>
          <w:szCs w:val="24"/>
        </w:rPr>
        <w:t>t</w:t>
      </w:r>
      <w:r w:rsidRPr="009E3D82">
        <w:rPr>
          <w:spacing w:val="-5"/>
          <w:szCs w:val="24"/>
        </w:rPr>
        <w:t>h</w:t>
      </w:r>
      <w:r w:rsidRPr="009E3D82">
        <w:rPr>
          <w:szCs w:val="24"/>
        </w:rPr>
        <w:t xml:space="preserve">e </w:t>
      </w:r>
      <w:r w:rsidRPr="009E3D82">
        <w:rPr>
          <w:spacing w:val="4"/>
          <w:szCs w:val="24"/>
        </w:rPr>
        <w:t>c</w:t>
      </w:r>
      <w:r w:rsidRPr="009E3D82">
        <w:rPr>
          <w:spacing w:val="-4"/>
          <w:szCs w:val="24"/>
        </w:rPr>
        <w:t>li</w:t>
      </w:r>
      <w:r w:rsidRPr="009E3D82">
        <w:rPr>
          <w:spacing w:val="5"/>
          <w:szCs w:val="24"/>
        </w:rPr>
        <w:t>n</w:t>
      </w:r>
      <w:r w:rsidRPr="009E3D82">
        <w:rPr>
          <w:spacing w:val="-4"/>
          <w:szCs w:val="24"/>
        </w:rPr>
        <w:t>i</w:t>
      </w:r>
      <w:r w:rsidRPr="009E3D82">
        <w:rPr>
          <w:szCs w:val="24"/>
        </w:rPr>
        <w:t>c</w:t>
      </w:r>
      <w:r w:rsidRPr="009E3D82">
        <w:rPr>
          <w:spacing w:val="3"/>
          <w:szCs w:val="24"/>
        </w:rPr>
        <w:t>a</w:t>
      </w:r>
      <w:r w:rsidRPr="009E3D82">
        <w:rPr>
          <w:szCs w:val="24"/>
        </w:rPr>
        <w:t>l</w:t>
      </w:r>
      <w:r w:rsidRPr="009E3D82">
        <w:rPr>
          <w:spacing w:val="3"/>
          <w:szCs w:val="24"/>
        </w:rPr>
        <w:t xml:space="preserve"> </w:t>
      </w:r>
      <w:r w:rsidRPr="009E3D82">
        <w:rPr>
          <w:spacing w:val="-5"/>
          <w:szCs w:val="24"/>
        </w:rPr>
        <w:t>b</w:t>
      </w:r>
      <w:r w:rsidRPr="009E3D82">
        <w:rPr>
          <w:szCs w:val="24"/>
        </w:rPr>
        <w:t>as</w:t>
      </w:r>
      <w:r w:rsidRPr="009E3D82">
        <w:rPr>
          <w:spacing w:val="-3"/>
          <w:szCs w:val="24"/>
        </w:rPr>
        <w:t>i</w:t>
      </w:r>
      <w:r w:rsidRPr="009E3D82">
        <w:rPr>
          <w:szCs w:val="24"/>
        </w:rPr>
        <w:t>s</w:t>
      </w:r>
      <w:r w:rsidRPr="009E3D82">
        <w:rPr>
          <w:spacing w:val="5"/>
          <w:szCs w:val="24"/>
        </w:rPr>
        <w:t xml:space="preserve"> </w:t>
      </w:r>
      <w:r w:rsidRPr="009E3D82">
        <w:rPr>
          <w:spacing w:val="-8"/>
          <w:szCs w:val="24"/>
        </w:rPr>
        <w:t>f</w:t>
      </w:r>
      <w:r w:rsidRPr="009E3D82">
        <w:rPr>
          <w:spacing w:val="5"/>
          <w:szCs w:val="24"/>
        </w:rPr>
        <w:t>o</w:t>
      </w:r>
      <w:r w:rsidRPr="009E3D82">
        <w:rPr>
          <w:szCs w:val="24"/>
        </w:rPr>
        <w:t>r</w:t>
      </w:r>
      <w:r w:rsidRPr="009E3D82">
        <w:rPr>
          <w:spacing w:val="4"/>
          <w:szCs w:val="24"/>
        </w:rPr>
        <w:t xml:space="preserve"> </w:t>
      </w:r>
      <w:r w:rsidRPr="009E3D82">
        <w:rPr>
          <w:szCs w:val="24"/>
        </w:rPr>
        <w:t>de</w:t>
      </w:r>
      <w:r w:rsidRPr="009E3D82">
        <w:rPr>
          <w:spacing w:val="4"/>
          <w:szCs w:val="24"/>
        </w:rPr>
        <w:t>t</w:t>
      </w:r>
      <w:r w:rsidRPr="009E3D82">
        <w:rPr>
          <w:szCs w:val="24"/>
        </w:rPr>
        <w:t>er</w:t>
      </w:r>
      <w:r w:rsidRPr="009E3D82">
        <w:rPr>
          <w:spacing w:val="-4"/>
          <w:szCs w:val="24"/>
        </w:rPr>
        <w:t>mi</w:t>
      </w:r>
      <w:r w:rsidRPr="009E3D82">
        <w:rPr>
          <w:szCs w:val="24"/>
        </w:rPr>
        <w:t>n</w:t>
      </w:r>
      <w:r w:rsidRPr="009E3D82">
        <w:rPr>
          <w:spacing w:val="-4"/>
          <w:szCs w:val="24"/>
        </w:rPr>
        <w:t>i</w:t>
      </w:r>
      <w:r w:rsidRPr="009E3D82">
        <w:rPr>
          <w:szCs w:val="24"/>
        </w:rPr>
        <w:t>ng</w:t>
      </w:r>
      <w:r w:rsidRPr="009E3D82">
        <w:rPr>
          <w:spacing w:val="2"/>
          <w:szCs w:val="24"/>
        </w:rPr>
        <w:t xml:space="preserve"> </w:t>
      </w:r>
      <w:r w:rsidRPr="009E3D82">
        <w:rPr>
          <w:spacing w:val="4"/>
          <w:szCs w:val="24"/>
        </w:rPr>
        <w:t>w</w:t>
      </w:r>
      <w:r w:rsidRPr="009E3D82">
        <w:rPr>
          <w:spacing w:val="-5"/>
          <w:szCs w:val="24"/>
        </w:rPr>
        <w:t>h</w:t>
      </w:r>
      <w:r w:rsidRPr="009E3D82">
        <w:rPr>
          <w:szCs w:val="24"/>
        </w:rPr>
        <w:t>e</w:t>
      </w:r>
      <w:r w:rsidRPr="009E3D82">
        <w:rPr>
          <w:spacing w:val="4"/>
          <w:szCs w:val="24"/>
        </w:rPr>
        <w:t>t</w:t>
      </w:r>
      <w:r w:rsidRPr="009E3D82">
        <w:rPr>
          <w:spacing w:val="-5"/>
          <w:szCs w:val="24"/>
        </w:rPr>
        <w:t>h</w:t>
      </w:r>
      <w:r w:rsidRPr="009E3D82">
        <w:rPr>
          <w:szCs w:val="24"/>
        </w:rPr>
        <w:t>er</w:t>
      </w:r>
      <w:r w:rsidRPr="009E3D82">
        <w:rPr>
          <w:spacing w:val="3"/>
          <w:szCs w:val="24"/>
        </w:rPr>
        <w:t xml:space="preserve"> </w:t>
      </w:r>
      <w:r w:rsidRPr="009E3D82">
        <w:rPr>
          <w:spacing w:val="5"/>
          <w:szCs w:val="24"/>
        </w:rPr>
        <w:t>t</w:t>
      </w:r>
      <w:r w:rsidRPr="009E3D82">
        <w:rPr>
          <w:spacing w:val="-5"/>
          <w:szCs w:val="24"/>
        </w:rPr>
        <w:t>h</w:t>
      </w:r>
      <w:r w:rsidRPr="009E3D82">
        <w:rPr>
          <w:spacing w:val="4"/>
          <w:szCs w:val="24"/>
        </w:rPr>
        <w:t>e</w:t>
      </w:r>
      <w:r w:rsidRPr="009E3D82">
        <w:rPr>
          <w:szCs w:val="24"/>
        </w:rPr>
        <w:t>y</w:t>
      </w:r>
      <w:r w:rsidRPr="009E3D82">
        <w:rPr>
          <w:spacing w:val="-7"/>
          <w:szCs w:val="24"/>
        </w:rPr>
        <w:t xml:space="preserve"> </w:t>
      </w:r>
      <w:r w:rsidRPr="009E3D82">
        <w:rPr>
          <w:szCs w:val="24"/>
        </w:rPr>
        <w:t>pre</w:t>
      </w:r>
      <w:r w:rsidRPr="009E3D82">
        <w:rPr>
          <w:spacing w:val="6"/>
          <w:szCs w:val="24"/>
        </w:rPr>
        <w:t>d</w:t>
      </w:r>
      <w:r w:rsidRPr="009E3D82">
        <w:rPr>
          <w:spacing w:val="-4"/>
          <w:szCs w:val="24"/>
        </w:rPr>
        <w:t>i</w:t>
      </w:r>
      <w:r w:rsidRPr="009E3D82">
        <w:rPr>
          <w:szCs w:val="24"/>
        </w:rPr>
        <w:t>ct</w:t>
      </w:r>
      <w:r w:rsidRPr="009E3D82">
        <w:rPr>
          <w:spacing w:val="4"/>
          <w:szCs w:val="24"/>
        </w:rPr>
        <w:t xml:space="preserve"> </w:t>
      </w:r>
      <w:r w:rsidRPr="009E3D82">
        <w:rPr>
          <w:spacing w:val="-5"/>
          <w:szCs w:val="24"/>
        </w:rPr>
        <w:t>s</w:t>
      </w:r>
      <w:r w:rsidRPr="009E3D82">
        <w:rPr>
          <w:spacing w:val="4"/>
          <w:szCs w:val="24"/>
        </w:rPr>
        <w:t>e</w:t>
      </w:r>
      <w:r w:rsidRPr="009E3D82">
        <w:rPr>
          <w:spacing w:val="-5"/>
          <w:szCs w:val="24"/>
        </w:rPr>
        <w:t>n</w:t>
      </w:r>
      <w:r w:rsidRPr="009E3D82">
        <w:rPr>
          <w:spacing w:val="3"/>
          <w:szCs w:val="24"/>
        </w:rPr>
        <w:t>s</w:t>
      </w:r>
      <w:r w:rsidRPr="009E3D82">
        <w:rPr>
          <w:spacing w:val="-9"/>
          <w:szCs w:val="24"/>
        </w:rPr>
        <w:t>i</w:t>
      </w:r>
      <w:r w:rsidRPr="009E3D82">
        <w:rPr>
          <w:spacing w:val="10"/>
          <w:szCs w:val="24"/>
        </w:rPr>
        <w:t>t</w:t>
      </w:r>
      <w:r w:rsidRPr="009E3D82">
        <w:rPr>
          <w:spacing w:val="-4"/>
          <w:szCs w:val="24"/>
        </w:rPr>
        <w:t>i</w:t>
      </w:r>
      <w:r w:rsidRPr="009E3D82">
        <w:rPr>
          <w:spacing w:val="5"/>
          <w:szCs w:val="24"/>
        </w:rPr>
        <w:t>v</w:t>
      </w:r>
      <w:r w:rsidRPr="009E3D82">
        <w:rPr>
          <w:spacing w:val="-9"/>
          <w:szCs w:val="24"/>
        </w:rPr>
        <w:t>i</w:t>
      </w:r>
      <w:r w:rsidRPr="009E3D82">
        <w:rPr>
          <w:spacing w:val="10"/>
          <w:szCs w:val="24"/>
        </w:rPr>
        <w:t>t</w:t>
      </w:r>
      <w:r w:rsidRPr="009E3D82">
        <w:rPr>
          <w:szCs w:val="24"/>
        </w:rPr>
        <w:t>y</w:t>
      </w:r>
      <w:r w:rsidRPr="009E3D82">
        <w:rPr>
          <w:spacing w:val="-10"/>
          <w:szCs w:val="24"/>
        </w:rPr>
        <w:t xml:space="preserve"> </w:t>
      </w:r>
      <w:r w:rsidRPr="009E3D82">
        <w:rPr>
          <w:spacing w:val="7"/>
          <w:szCs w:val="24"/>
        </w:rPr>
        <w:t>o</w:t>
      </w:r>
      <w:r w:rsidRPr="009E3D82">
        <w:rPr>
          <w:szCs w:val="24"/>
        </w:rPr>
        <w:t>r</w:t>
      </w:r>
      <w:r w:rsidRPr="009E3D82">
        <w:rPr>
          <w:spacing w:val="4"/>
          <w:szCs w:val="24"/>
        </w:rPr>
        <w:t xml:space="preserve"> </w:t>
      </w:r>
      <w:r w:rsidRPr="009E3D82">
        <w:rPr>
          <w:szCs w:val="24"/>
        </w:rPr>
        <w:t>res</w:t>
      </w:r>
      <w:r w:rsidRPr="009E3D82">
        <w:rPr>
          <w:spacing w:val="-6"/>
          <w:szCs w:val="24"/>
        </w:rPr>
        <w:t>i</w:t>
      </w:r>
      <w:r w:rsidRPr="009E3D82">
        <w:rPr>
          <w:szCs w:val="24"/>
        </w:rPr>
        <w:t>s</w:t>
      </w:r>
      <w:r w:rsidRPr="009E3D82">
        <w:rPr>
          <w:spacing w:val="3"/>
          <w:szCs w:val="24"/>
        </w:rPr>
        <w:t>t</w:t>
      </w:r>
      <w:r w:rsidRPr="009E3D82">
        <w:rPr>
          <w:szCs w:val="24"/>
        </w:rPr>
        <w:t>a</w:t>
      </w:r>
      <w:r w:rsidRPr="009E3D82">
        <w:rPr>
          <w:spacing w:val="-6"/>
          <w:szCs w:val="24"/>
        </w:rPr>
        <w:t>n</w:t>
      </w:r>
      <w:r w:rsidRPr="009E3D82">
        <w:rPr>
          <w:szCs w:val="24"/>
        </w:rPr>
        <w:t xml:space="preserve">ce </w:t>
      </w:r>
      <w:r w:rsidRPr="009E3D82">
        <w:rPr>
          <w:spacing w:val="6"/>
          <w:szCs w:val="24"/>
        </w:rPr>
        <w:t>t</w:t>
      </w:r>
      <w:r w:rsidRPr="009E3D82">
        <w:rPr>
          <w:szCs w:val="24"/>
        </w:rPr>
        <w:t>o su</w:t>
      </w:r>
      <w:r w:rsidRPr="009E3D82">
        <w:rPr>
          <w:spacing w:val="-5"/>
          <w:szCs w:val="24"/>
        </w:rPr>
        <w:t>b</w:t>
      </w:r>
      <w:r w:rsidRPr="009E3D82">
        <w:rPr>
          <w:szCs w:val="24"/>
        </w:rPr>
        <w:t>s</w:t>
      </w:r>
      <w:r w:rsidRPr="009E3D82">
        <w:rPr>
          <w:spacing w:val="-3"/>
          <w:szCs w:val="24"/>
        </w:rPr>
        <w:t>e</w:t>
      </w:r>
      <w:r w:rsidRPr="009E3D82">
        <w:rPr>
          <w:szCs w:val="24"/>
        </w:rPr>
        <w:t>qu</w:t>
      </w:r>
      <w:r w:rsidRPr="009E3D82">
        <w:rPr>
          <w:spacing w:val="4"/>
          <w:szCs w:val="24"/>
        </w:rPr>
        <w:t>e</w:t>
      </w:r>
      <w:r w:rsidRPr="009E3D82">
        <w:rPr>
          <w:spacing w:val="-5"/>
          <w:szCs w:val="24"/>
        </w:rPr>
        <w:t>n</w:t>
      </w:r>
      <w:r w:rsidRPr="009E3D82">
        <w:rPr>
          <w:szCs w:val="24"/>
        </w:rPr>
        <w:t>t</w:t>
      </w:r>
      <w:r w:rsidRPr="009E3D82">
        <w:rPr>
          <w:spacing w:val="8"/>
          <w:szCs w:val="24"/>
        </w:rPr>
        <w:t xml:space="preserve"> </w:t>
      </w:r>
      <w:r w:rsidRPr="009E3D82">
        <w:rPr>
          <w:szCs w:val="24"/>
        </w:rPr>
        <w:t>T</w:t>
      </w:r>
      <w:r w:rsidRPr="009E3D82">
        <w:rPr>
          <w:spacing w:val="-3"/>
          <w:szCs w:val="24"/>
        </w:rPr>
        <w:t>K</w:t>
      </w:r>
      <w:r w:rsidRPr="009E3D82">
        <w:rPr>
          <w:szCs w:val="24"/>
        </w:rPr>
        <w:t xml:space="preserve">I </w:t>
      </w:r>
      <w:r w:rsidRPr="009E3D82">
        <w:rPr>
          <w:spacing w:val="5"/>
          <w:szCs w:val="24"/>
        </w:rPr>
        <w:t>t</w:t>
      </w:r>
      <w:r w:rsidRPr="009E3D82">
        <w:rPr>
          <w:spacing w:val="-5"/>
          <w:szCs w:val="24"/>
        </w:rPr>
        <w:t>h</w:t>
      </w:r>
      <w:r w:rsidRPr="009E3D82">
        <w:rPr>
          <w:szCs w:val="24"/>
        </w:rPr>
        <w:t>era</w:t>
      </w:r>
      <w:r w:rsidRPr="009E3D82">
        <w:rPr>
          <w:spacing w:val="5"/>
          <w:szCs w:val="24"/>
        </w:rPr>
        <w:t>p</w:t>
      </w:r>
      <w:r w:rsidRPr="009E3D82">
        <w:rPr>
          <w:spacing w:val="-10"/>
          <w:szCs w:val="24"/>
        </w:rPr>
        <w:t>y</w:t>
      </w:r>
      <w:r w:rsidRPr="009E3D82">
        <w:rPr>
          <w:szCs w:val="24"/>
        </w:rPr>
        <w:t xml:space="preserve">. </w:t>
      </w:r>
      <w:r w:rsidRPr="009E3D82">
        <w:t xml:space="preserve">MSAC noted that representatives of the National Health and Medical Research Council, MSAC, PBAC and the Department had met to discuss targeted data collection relating to BRAF mutation testing and BRAF inhibitor treatment as proposed by PBAC in March 2013 and supported by MSAC in April 2013. </w:t>
      </w:r>
    </w:p>
    <w:p w:rsidR="00397C47" w:rsidRPr="009E3D82" w:rsidRDefault="00397C47" w:rsidP="00397C47">
      <w:pPr>
        <w:tabs>
          <w:tab w:val="left" w:pos="720"/>
          <w:tab w:val="left" w:pos="1140"/>
        </w:tabs>
      </w:pPr>
    </w:p>
    <w:p w:rsidR="00AF0F0E" w:rsidRPr="009E3D82" w:rsidRDefault="00C57C45" w:rsidP="00397C47">
      <w:pPr>
        <w:tabs>
          <w:tab w:val="left" w:pos="720"/>
          <w:tab w:val="left" w:pos="1140"/>
        </w:tabs>
      </w:pPr>
      <w:r w:rsidRPr="009E3D82">
        <w:t>MSAC reaffirmed its advice that such data collection be also applied to EGFR mutation testing and EGFR TKI treatment, noting that the proportion of EGFR mutations which had not been included in the evidentiary EGFR TKI trials was likely to be significant (</w:t>
      </w:r>
      <w:proofErr w:type="spellStart"/>
      <w:r w:rsidRPr="009E3D82">
        <w:t>e.g</w:t>
      </w:r>
      <w:proofErr w:type="spellEnd"/>
      <w:r w:rsidRPr="009E3D82">
        <w:t xml:space="preserve"> if benchmarked against BRAF mutations, the proportion predicted is likely to be greater than the proportion of BRAF V600 mutations which had not been included in the BRAF inhibitor trials).</w:t>
      </w:r>
    </w:p>
    <w:p w:rsidR="00397C47" w:rsidRPr="009E3D82" w:rsidRDefault="00397C47" w:rsidP="00397C47">
      <w:pPr>
        <w:tabs>
          <w:tab w:val="left" w:pos="720"/>
          <w:tab w:val="left" w:pos="1140"/>
        </w:tabs>
      </w:pPr>
    </w:p>
    <w:p w:rsidR="00937076" w:rsidRPr="009E3D82" w:rsidRDefault="006A19C5" w:rsidP="00397C47">
      <w:pPr>
        <w:pStyle w:val="Heading1"/>
        <w:spacing w:before="0"/>
        <w:rPr>
          <w:rFonts w:cs="Arial"/>
          <w:szCs w:val="24"/>
        </w:rPr>
      </w:pPr>
      <w:r w:rsidRPr="009E3D82">
        <w:rPr>
          <w:rFonts w:cs="Arial"/>
          <w:szCs w:val="24"/>
        </w:rPr>
        <w:t>16.</w:t>
      </w:r>
      <w:r w:rsidRPr="009E3D82">
        <w:rPr>
          <w:rFonts w:cs="Arial"/>
          <w:szCs w:val="24"/>
        </w:rPr>
        <w:tab/>
      </w:r>
      <w:r w:rsidR="00937076" w:rsidRPr="009E3D82">
        <w:rPr>
          <w:rFonts w:cs="Arial"/>
          <w:szCs w:val="24"/>
        </w:rPr>
        <w:t>MSAC’s advice to the Minister</w:t>
      </w:r>
    </w:p>
    <w:p w:rsidR="00C57C45" w:rsidRPr="009E3D82" w:rsidRDefault="00C57C45" w:rsidP="00397C47">
      <w:pPr>
        <w:tabs>
          <w:tab w:val="left" w:pos="720"/>
        </w:tabs>
      </w:pPr>
      <w:r w:rsidRPr="009E3D82">
        <w:t>After considering the strength of the available evidence in relation to the safety, clinical effectiveness and cost-effectiveness of epidermal growth factor receptor (EGFR) mutation testing to help determine eligibility for proposed PBS-subsidised first-line gefitinib in locally advanced or metastatic non-small cell lung cancer (NSCLC), MSAC again deferred the application for the requested MBS item until such time as PBAC makes a decision regarding the corresponding PBS listing of gefitinib. MSAC reiterated that, i</w:t>
      </w:r>
      <w:r w:rsidRPr="009E3D82">
        <w:rPr>
          <w:szCs w:val="24"/>
        </w:rPr>
        <w:t>f</w:t>
      </w:r>
      <w:r w:rsidRPr="009E3D82">
        <w:rPr>
          <w:spacing w:val="-6"/>
          <w:szCs w:val="24"/>
        </w:rPr>
        <w:t xml:space="preserve"> </w:t>
      </w:r>
      <w:r w:rsidRPr="009E3D82">
        <w:rPr>
          <w:spacing w:val="3"/>
          <w:szCs w:val="24"/>
        </w:rPr>
        <w:t>P</w:t>
      </w:r>
      <w:r w:rsidRPr="009E3D82">
        <w:rPr>
          <w:szCs w:val="24"/>
        </w:rPr>
        <w:t>B</w:t>
      </w:r>
      <w:r w:rsidRPr="009E3D82">
        <w:rPr>
          <w:spacing w:val="-7"/>
          <w:szCs w:val="24"/>
        </w:rPr>
        <w:t>A</w:t>
      </w:r>
      <w:r w:rsidRPr="009E3D82">
        <w:rPr>
          <w:szCs w:val="24"/>
        </w:rPr>
        <w:t>C sub</w:t>
      </w:r>
      <w:r w:rsidRPr="009E3D82">
        <w:rPr>
          <w:spacing w:val="-4"/>
          <w:szCs w:val="24"/>
        </w:rPr>
        <w:t>s</w:t>
      </w:r>
      <w:r w:rsidRPr="009E3D82">
        <w:rPr>
          <w:szCs w:val="24"/>
        </w:rPr>
        <w:t>equ</w:t>
      </w:r>
      <w:r w:rsidRPr="009E3D82">
        <w:rPr>
          <w:spacing w:val="3"/>
          <w:szCs w:val="24"/>
        </w:rPr>
        <w:t>e</w:t>
      </w:r>
      <w:r w:rsidRPr="009E3D82">
        <w:rPr>
          <w:spacing w:val="-5"/>
          <w:szCs w:val="24"/>
        </w:rPr>
        <w:t>n</w:t>
      </w:r>
      <w:r w:rsidRPr="009E3D82">
        <w:rPr>
          <w:spacing w:val="10"/>
          <w:szCs w:val="24"/>
        </w:rPr>
        <w:t>t</w:t>
      </w:r>
      <w:r w:rsidRPr="009E3D82">
        <w:rPr>
          <w:spacing w:val="-4"/>
          <w:szCs w:val="24"/>
        </w:rPr>
        <w:t>l</w:t>
      </w:r>
      <w:r w:rsidRPr="009E3D82">
        <w:rPr>
          <w:szCs w:val="24"/>
        </w:rPr>
        <w:t>y</w:t>
      </w:r>
      <w:r w:rsidRPr="009E3D82">
        <w:rPr>
          <w:spacing w:val="-5"/>
          <w:szCs w:val="24"/>
        </w:rPr>
        <w:t xml:space="preserve"> </w:t>
      </w:r>
      <w:r w:rsidRPr="009E3D82">
        <w:rPr>
          <w:szCs w:val="24"/>
        </w:rPr>
        <w:t>de</w:t>
      </w:r>
      <w:r w:rsidRPr="009E3D82">
        <w:rPr>
          <w:spacing w:val="5"/>
          <w:szCs w:val="24"/>
        </w:rPr>
        <w:t>c</w:t>
      </w:r>
      <w:r w:rsidRPr="009E3D82">
        <w:rPr>
          <w:spacing w:val="-4"/>
          <w:szCs w:val="24"/>
        </w:rPr>
        <w:t>i</w:t>
      </w:r>
      <w:r w:rsidRPr="009E3D82">
        <w:rPr>
          <w:szCs w:val="24"/>
        </w:rPr>
        <w:t>des</w:t>
      </w:r>
      <w:r w:rsidRPr="009E3D82">
        <w:rPr>
          <w:spacing w:val="-3"/>
          <w:szCs w:val="24"/>
        </w:rPr>
        <w:t xml:space="preserve"> </w:t>
      </w:r>
      <w:r w:rsidRPr="009E3D82">
        <w:rPr>
          <w:spacing w:val="8"/>
          <w:szCs w:val="24"/>
        </w:rPr>
        <w:t>t</w:t>
      </w:r>
      <w:r w:rsidRPr="009E3D82">
        <w:rPr>
          <w:szCs w:val="24"/>
        </w:rPr>
        <w:t xml:space="preserve">o </w:t>
      </w:r>
      <w:r w:rsidRPr="009E3D82">
        <w:rPr>
          <w:spacing w:val="4"/>
          <w:szCs w:val="24"/>
        </w:rPr>
        <w:t>r</w:t>
      </w:r>
      <w:r w:rsidRPr="009E3D82">
        <w:rPr>
          <w:szCs w:val="24"/>
        </w:rPr>
        <w:t>e</w:t>
      </w:r>
      <w:r w:rsidRPr="009E3D82">
        <w:rPr>
          <w:spacing w:val="-7"/>
          <w:szCs w:val="24"/>
        </w:rPr>
        <w:t>c</w:t>
      </w:r>
      <w:r w:rsidRPr="009E3D82">
        <w:rPr>
          <w:spacing w:val="5"/>
          <w:szCs w:val="24"/>
        </w:rPr>
        <w:t>o</w:t>
      </w:r>
      <w:r w:rsidRPr="009E3D82">
        <w:rPr>
          <w:spacing w:val="-4"/>
          <w:szCs w:val="24"/>
        </w:rPr>
        <w:t>mm</w:t>
      </w:r>
      <w:r w:rsidRPr="009E3D82">
        <w:rPr>
          <w:spacing w:val="4"/>
          <w:szCs w:val="24"/>
        </w:rPr>
        <w:t>e</w:t>
      </w:r>
      <w:r w:rsidRPr="009E3D82">
        <w:rPr>
          <w:spacing w:val="-5"/>
          <w:szCs w:val="24"/>
        </w:rPr>
        <w:t>n</w:t>
      </w:r>
      <w:r w:rsidRPr="009E3D82">
        <w:rPr>
          <w:szCs w:val="24"/>
        </w:rPr>
        <w:t xml:space="preserve">d </w:t>
      </w:r>
      <w:r w:rsidRPr="009E3D82">
        <w:rPr>
          <w:spacing w:val="8"/>
          <w:szCs w:val="24"/>
        </w:rPr>
        <w:t>t</w:t>
      </w:r>
      <w:r w:rsidRPr="009E3D82">
        <w:rPr>
          <w:szCs w:val="24"/>
        </w:rPr>
        <w:t>o</w:t>
      </w:r>
      <w:r w:rsidRPr="009E3D82">
        <w:rPr>
          <w:spacing w:val="-2"/>
          <w:szCs w:val="24"/>
        </w:rPr>
        <w:t xml:space="preserve"> </w:t>
      </w:r>
      <w:r w:rsidRPr="009E3D82">
        <w:rPr>
          <w:spacing w:val="5"/>
          <w:szCs w:val="24"/>
        </w:rPr>
        <w:t>t</w:t>
      </w:r>
      <w:r w:rsidRPr="009E3D82">
        <w:rPr>
          <w:spacing w:val="-5"/>
          <w:szCs w:val="24"/>
        </w:rPr>
        <w:t>h</w:t>
      </w:r>
      <w:r w:rsidRPr="009E3D82">
        <w:rPr>
          <w:szCs w:val="24"/>
        </w:rPr>
        <w:t xml:space="preserve">e </w:t>
      </w:r>
      <w:r w:rsidRPr="009E3D82">
        <w:rPr>
          <w:spacing w:val="4"/>
          <w:szCs w:val="24"/>
        </w:rPr>
        <w:t>M</w:t>
      </w:r>
      <w:r w:rsidRPr="009E3D82">
        <w:rPr>
          <w:spacing w:val="-4"/>
          <w:szCs w:val="24"/>
        </w:rPr>
        <w:t>i</w:t>
      </w:r>
      <w:r w:rsidRPr="009E3D82">
        <w:rPr>
          <w:szCs w:val="24"/>
        </w:rPr>
        <w:t>n</w:t>
      </w:r>
      <w:r w:rsidRPr="009E3D82">
        <w:rPr>
          <w:spacing w:val="-4"/>
          <w:szCs w:val="24"/>
        </w:rPr>
        <w:t>i</w:t>
      </w:r>
      <w:r w:rsidRPr="009E3D82">
        <w:rPr>
          <w:szCs w:val="24"/>
        </w:rPr>
        <w:t>s</w:t>
      </w:r>
      <w:r w:rsidRPr="009E3D82">
        <w:rPr>
          <w:spacing w:val="3"/>
          <w:szCs w:val="24"/>
        </w:rPr>
        <w:t>t</w:t>
      </w:r>
      <w:r w:rsidRPr="009E3D82">
        <w:rPr>
          <w:spacing w:val="4"/>
          <w:szCs w:val="24"/>
        </w:rPr>
        <w:t>e</w:t>
      </w:r>
      <w:r w:rsidRPr="009E3D82">
        <w:rPr>
          <w:szCs w:val="24"/>
        </w:rPr>
        <w:t xml:space="preserve">r </w:t>
      </w:r>
      <w:r w:rsidRPr="009E3D82">
        <w:rPr>
          <w:spacing w:val="5"/>
          <w:szCs w:val="24"/>
        </w:rPr>
        <w:t>t</w:t>
      </w:r>
      <w:r w:rsidRPr="009E3D82">
        <w:rPr>
          <w:spacing w:val="-5"/>
          <w:szCs w:val="24"/>
        </w:rPr>
        <w:t>h</w:t>
      </w:r>
      <w:r w:rsidRPr="009E3D82">
        <w:rPr>
          <w:szCs w:val="24"/>
        </w:rPr>
        <w:t>at</w:t>
      </w:r>
      <w:r w:rsidRPr="009E3D82">
        <w:rPr>
          <w:spacing w:val="4"/>
          <w:szCs w:val="24"/>
        </w:rPr>
        <w:t xml:space="preserve"> </w:t>
      </w:r>
      <w:r w:rsidRPr="009E3D82">
        <w:rPr>
          <w:szCs w:val="24"/>
        </w:rPr>
        <w:t>gef</w:t>
      </w:r>
      <w:r w:rsidRPr="009E3D82">
        <w:rPr>
          <w:spacing w:val="-11"/>
          <w:szCs w:val="24"/>
        </w:rPr>
        <w:t>i</w:t>
      </w:r>
      <w:r w:rsidRPr="009E3D82">
        <w:rPr>
          <w:spacing w:val="10"/>
          <w:szCs w:val="24"/>
        </w:rPr>
        <w:t>t</w:t>
      </w:r>
      <w:r w:rsidRPr="009E3D82">
        <w:rPr>
          <w:spacing w:val="-4"/>
          <w:szCs w:val="24"/>
        </w:rPr>
        <w:t>i</w:t>
      </w:r>
      <w:r w:rsidRPr="009E3D82">
        <w:rPr>
          <w:szCs w:val="24"/>
        </w:rPr>
        <w:t>n</w:t>
      </w:r>
      <w:r w:rsidRPr="009E3D82">
        <w:rPr>
          <w:spacing w:val="-4"/>
          <w:szCs w:val="24"/>
        </w:rPr>
        <w:t>i</w:t>
      </w:r>
      <w:r w:rsidRPr="009E3D82">
        <w:rPr>
          <w:szCs w:val="24"/>
        </w:rPr>
        <w:t>b</w:t>
      </w:r>
      <w:r w:rsidRPr="009E3D82">
        <w:rPr>
          <w:spacing w:val="2"/>
          <w:szCs w:val="24"/>
        </w:rPr>
        <w:t xml:space="preserve"> </w:t>
      </w:r>
      <w:r w:rsidRPr="009E3D82">
        <w:rPr>
          <w:szCs w:val="24"/>
        </w:rPr>
        <w:t>be</w:t>
      </w:r>
      <w:r w:rsidRPr="009E3D82">
        <w:rPr>
          <w:spacing w:val="6"/>
          <w:szCs w:val="24"/>
        </w:rPr>
        <w:t xml:space="preserve"> </w:t>
      </w:r>
      <w:r w:rsidRPr="009E3D82">
        <w:rPr>
          <w:spacing w:val="-4"/>
          <w:szCs w:val="24"/>
        </w:rPr>
        <w:t>li</w:t>
      </w:r>
      <w:r w:rsidRPr="009E3D82">
        <w:rPr>
          <w:szCs w:val="24"/>
        </w:rPr>
        <w:t>s</w:t>
      </w:r>
      <w:r w:rsidRPr="009E3D82">
        <w:rPr>
          <w:spacing w:val="3"/>
          <w:szCs w:val="24"/>
        </w:rPr>
        <w:t>t</w:t>
      </w:r>
      <w:r w:rsidRPr="009E3D82">
        <w:rPr>
          <w:szCs w:val="24"/>
        </w:rPr>
        <w:t xml:space="preserve">ed </w:t>
      </w:r>
      <w:r w:rsidRPr="009E3D82">
        <w:rPr>
          <w:spacing w:val="6"/>
          <w:szCs w:val="24"/>
        </w:rPr>
        <w:t>o</w:t>
      </w:r>
      <w:r w:rsidRPr="009E3D82">
        <w:rPr>
          <w:szCs w:val="24"/>
        </w:rPr>
        <w:t>n</w:t>
      </w:r>
      <w:r w:rsidRPr="009E3D82">
        <w:rPr>
          <w:spacing w:val="-7"/>
          <w:szCs w:val="24"/>
        </w:rPr>
        <w:t xml:space="preserve"> </w:t>
      </w:r>
      <w:r w:rsidRPr="009E3D82">
        <w:rPr>
          <w:spacing w:val="5"/>
          <w:szCs w:val="24"/>
        </w:rPr>
        <w:t>t</w:t>
      </w:r>
      <w:r w:rsidRPr="009E3D82">
        <w:rPr>
          <w:spacing w:val="-5"/>
          <w:szCs w:val="24"/>
        </w:rPr>
        <w:t>h</w:t>
      </w:r>
      <w:r w:rsidRPr="009E3D82">
        <w:rPr>
          <w:szCs w:val="24"/>
        </w:rPr>
        <w:t>e PBS</w:t>
      </w:r>
      <w:r w:rsidRPr="009E3D82">
        <w:rPr>
          <w:spacing w:val="4"/>
          <w:szCs w:val="24"/>
        </w:rPr>
        <w:t xml:space="preserve"> </w:t>
      </w:r>
      <w:r w:rsidRPr="009E3D82">
        <w:rPr>
          <w:spacing w:val="-8"/>
          <w:szCs w:val="24"/>
        </w:rPr>
        <w:t>f</w:t>
      </w:r>
      <w:r w:rsidRPr="009E3D82">
        <w:rPr>
          <w:spacing w:val="5"/>
          <w:szCs w:val="24"/>
        </w:rPr>
        <w:t>o</w:t>
      </w:r>
      <w:r w:rsidRPr="009E3D82">
        <w:rPr>
          <w:szCs w:val="24"/>
        </w:rPr>
        <w:t xml:space="preserve">r </w:t>
      </w:r>
      <w:r w:rsidRPr="009E3D82">
        <w:rPr>
          <w:spacing w:val="5"/>
          <w:szCs w:val="24"/>
        </w:rPr>
        <w:t>t</w:t>
      </w:r>
      <w:r w:rsidRPr="009E3D82">
        <w:rPr>
          <w:spacing w:val="-5"/>
          <w:szCs w:val="24"/>
        </w:rPr>
        <w:t>h</w:t>
      </w:r>
      <w:r w:rsidRPr="009E3D82">
        <w:rPr>
          <w:szCs w:val="24"/>
        </w:rPr>
        <w:t>e f</w:t>
      </w:r>
      <w:r w:rsidRPr="009E3D82">
        <w:rPr>
          <w:spacing w:val="-7"/>
          <w:szCs w:val="24"/>
        </w:rPr>
        <w:t>i</w:t>
      </w:r>
      <w:r w:rsidRPr="009E3D82">
        <w:rPr>
          <w:spacing w:val="6"/>
          <w:szCs w:val="24"/>
        </w:rPr>
        <w:t>r</w:t>
      </w:r>
      <w:r w:rsidRPr="009E3D82">
        <w:rPr>
          <w:szCs w:val="24"/>
        </w:rPr>
        <w:t>s</w:t>
      </w:r>
      <w:r w:rsidRPr="009E3D82">
        <w:rPr>
          <w:spacing w:val="3"/>
          <w:szCs w:val="24"/>
        </w:rPr>
        <w:t>t</w:t>
      </w:r>
      <w:r w:rsidRPr="009E3D82">
        <w:rPr>
          <w:szCs w:val="24"/>
        </w:rPr>
        <w:t>-</w:t>
      </w:r>
      <w:r w:rsidRPr="009E3D82">
        <w:rPr>
          <w:spacing w:val="-3"/>
          <w:szCs w:val="24"/>
        </w:rPr>
        <w:t>l</w:t>
      </w:r>
      <w:r w:rsidRPr="009E3D82">
        <w:rPr>
          <w:spacing w:val="-4"/>
          <w:szCs w:val="24"/>
        </w:rPr>
        <w:t>i</w:t>
      </w:r>
      <w:r w:rsidRPr="009E3D82">
        <w:rPr>
          <w:szCs w:val="24"/>
        </w:rPr>
        <w:t xml:space="preserve">ne </w:t>
      </w:r>
      <w:r w:rsidRPr="009E3D82">
        <w:rPr>
          <w:spacing w:val="7"/>
          <w:szCs w:val="24"/>
        </w:rPr>
        <w:t>t</w:t>
      </w:r>
      <w:r w:rsidRPr="009E3D82">
        <w:rPr>
          <w:szCs w:val="24"/>
        </w:rPr>
        <w:t>re</w:t>
      </w:r>
      <w:r w:rsidRPr="009E3D82">
        <w:rPr>
          <w:spacing w:val="-5"/>
          <w:szCs w:val="24"/>
        </w:rPr>
        <w:t>a</w:t>
      </w:r>
      <w:r w:rsidRPr="009E3D82">
        <w:rPr>
          <w:spacing w:val="5"/>
          <w:szCs w:val="24"/>
        </w:rPr>
        <w:t>t</w:t>
      </w:r>
      <w:r w:rsidRPr="009E3D82">
        <w:rPr>
          <w:spacing w:val="-4"/>
          <w:szCs w:val="24"/>
        </w:rPr>
        <w:t>m</w:t>
      </w:r>
      <w:r w:rsidRPr="009E3D82">
        <w:rPr>
          <w:spacing w:val="4"/>
          <w:szCs w:val="24"/>
        </w:rPr>
        <w:t>e</w:t>
      </w:r>
      <w:r w:rsidRPr="009E3D82">
        <w:rPr>
          <w:spacing w:val="-5"/>
          <w:szCs w:val="24"/>
        </w:rPr>
        <w:t>n</w:t>
      </w:r>
      <w:r w:rsidRPr="009E3D82">
        <w:rPr>
          <w:szCs w:val="24"/>
        </w:rPr>
        <w:t>t</w:t>
      </w:r>
      <w:r w:rsidRPr="009E3D82">
        <w:rPr>
          <w:spacing w:val="5"/>
          <w:szCs w:val="24"/>
        </w:rPr>
        <w:t xml:space="preserve"> </w:t>
      </w:r>
      <w:r w:rsidRPr="009E3D82">
        <w:rPr>
          <w:spacing w:val="2"/>
          <w:szCs w:val="24"/>
        </w:rPr>
        <w:t>o</w:t>
      </w:r>
      <w:r w:rsidRPr="009E3D82">
        <w:rPr>
          <w:szCs w:val="24"/>
        </w:rPr>
        <w:t>f</w:t>
      </w:r>
      <w:r w:rsidRPr="009E3D82">
        <w:rPr>
          <w:spacing w:val="-8"/>
          <w:szCs w:val="24"/>
        </w:rPr>
        <w:t xml:space="preserve"> </w:t>
      </w:r>
      <w:r w:rsidRPr="009E3D82">
        <w:rPr>
          <w:szCs w:val="24"/>
        </w:rPr>
        <w:t>ad</w:t>
      </w:r>
      <w:r w:rsidRPr="009E3D82">
        <w:rPr>
          <w:spacing w:val="-3"/>
          <w:szCs w:val="24"/>
        </w:rPr>
        <w:t>v</w:t>
      </w:r>
      <w:r w:rsidRPr="009E3D82">
        <w:rPr>
          <w:spacing w:val="4"/>
          <w:szCs w:val="24"/>
        </w:rPr>
        <w:t>a</w:t>
      </w:r>
      <w:r w:rsidRPr="009E3D82">
        <w:rPr>
          <w:szCs w:val="24"/>
        </w:rPr>
        <w:t>nced NSC</w:t>
      </w:r>
      <w:r w:rsidRPr="009E3D82">
        <w:rPr>
          <w:spacing w:val="-3"/>
          <w:szCs w:val="24"/>
        </w:rPr>
        <w:t>L</w:t>
      </w:r>
      <w:r w:rsidRPr="009E3D82">
        <w:rPr>
          <w:szCs w:val="24"/>
        </w:rPr>
        <w:t>C,</w:t>
      </w:r>
      <w:r w:rsidRPr="009E3D82">
        <w:rPr>
          <w:spacing w:val="3"/>
          <w:szCs w:val="24"/>
        </w:rPr>
        <w:t xml:space="preserve"> it would</w:t>
      </w:r>
      <w:r w:rsidRPr="009E3D82">
        <w:rPr>
          <w:spacing w:val="-1"/>
          <w:szCs w:val="24"/>
        </w:rPr>
        <w:t xml:space="preserve"> </w:t>
      </w:r>
      <w:r w:rsidRPr="009E3D82">
        <w:rPr>
          <w:szCs w:val="24"/>
        </w:rPr>
        <w:t>supp</w:t>
      </w:r>
      <w:r w:rsidRPr="009E3D82">
        <w:rPr>
          <w:spacing w:val="3"/>
          <w:szCs w:val="24"/>
        </w:rPr>
        <w:t>o</w:t>
      </w:r>
      <w:r w:rsidRPr="009E3D82">
        <w:rPr>
          <w:spacing w:val="-3"/>
          <w:szCs w:val="24"/>
        </w:rPr>
        <w:t>r</w:t>
      </w:r>
      <w:r w:rsidRPr="009E3D82">
        <w:rPr>
          <w:szCs w:val="24"/>
        </w:rPr>
        <w:t>t</w:t>
      </w:r>
      <w:r w:rsidRPr="009E3D82">
        <w:rPr>
          <w:spacing w:val="8"/>
          <w:szCs w:val="24"/>
        </w:rPr>
        <w:t xml:space="preserve"> </w:t>
      </w:r>
      <w:r w:rsidRPr="009E3D82">
        <w:rPr>
          <w:szCs w:val="24"/>
        </w:rPr>
        <w:t>an</w:t>
      </w:r>
      <w:r w:rsidRPr="009E3D82">
        <w:rPr>
          <w:spacing w:val="-3"/>
          <w:szCs w:val="24"/>
        </w:rPr>
        <w:t xml:space="preserve"> </w:t>
      </w:r>
      <w:r w:rsidRPr="009E3D82">
        <w:rPr>
          <w:szCs w:val="24"/>
        </w:rPr>
        <w:t>e</w:t>
      </w:r>
      <w:r w:rsidRPr="009E3D82">
        <w:rPr>
          <w:spacing w:val="-6"/>
          <w:szCs w:val="24"/>
        </w:rPr>
        <w:t>x</w:t>
      </w:r>
      <w:r w:rsidRPr="009E3D82">
        <w:rPr>
          <w:szCs w:val="24"/>
        </w:rPr>
        <w:t>pe</w:t>
      </w:r>
      <w:r w:rsidRPr="009E3D82">
        <w:rPr>
          <w:spacing w:val="4"/>
          <w:szCs w:val="24"/>
        </w:rPr>
        <w:t>d</w:t>
      </w:r>
      <w:r w:rsidRPr="009E3D82">
        <w:rPr>
          <w:spacing w:val="-9"/>
          <w:szCs w:val="24"/>
        </w:rPr>
        <w:t>i</w:t>
      </w:r>
      <w:r w:rsidRPr="009E3D82">
        <w:rPr>
          <w:spacing w:val="5"/>
          <w:szCs w:val="24"/>
        </w:rPr>
        <w:t>t</w:t>
      </w:r>
      <w:r w:rsidRPr="009E3D82">
        <w:rPr>
          <w:szCs w:val="24"/>
        </w:rPr>
        <w:t>ed p</w:t>
      </w:r>
      <w:r w:rsidRPr="009E3D82">
        <w:rPr>
          <w:spacing w:val="3"/>
          <w:szCs w:val="24"/>
        </w:rPr>
        <w:t>r</w:t>
      </w:r>
      <w:r w:rsidRPr="009E3D82">
        <w:rPr>
          <w:spacing w:val="5"/>
          <w:szCs w:val="24"/>
        </w:rPr>
        <w:t>o</w:t>
      </w:r>
      <w:r w:rsidRPr="009E3D82">
        <w:rPr>
          <w:szCs w:val="24"/>
        </w:rPr>
        <w:t>ce</w:t>
      </w:r>
      <w:r w:rsidRPr="009E3D82">
        <w:rPr>
          <w:spacing w:val="-4"/>
          <w:szCs w:val="24"/>
        </w:rPr>
        <w:t>s</w:t>
      </w:r>
      <w:r w:rsidRPr="009E3D82">
        <w:rPr>
          <w:szCs w:val="24"/>
        </w:rPr>
        <w:t xml:space="preserve">s </w:t>
      </w:r>
      <w:r w:rsidRPr="009E3D82">
        <w:rPr>
          <w:spacing w:val="-8"/>
          <w:szCs w:val="24"/>
        </w:rPr>
        <w:t>f</w:t>
      </w:r>
      <w:r w:rsidRPr="009E3D82">
        <w:rPr>
          <w:spacing w:val="5"/>
          <w:szCs w:val="24"/>
        </w:rPr>
        <w:t>o</w:t>
      </w:r>
      <w:r w:rsidRPr="009E3D82">
        <w:rPr>
          <w:szCs w:val="24"/>
        </w:rPr>
        <w:t>r rec</w:t>
      </w:r>
      <w:r w:rsidRPr="009E3D82">
        <w:rPr>
          <w:spacing w:val="5"/>
          <w:szCs w:val="24"/>
        </w:rPr>
        <w:t>o</w:t>
      </w:r>
      <w:r w:rsidRPr="009E3D82">
        <w:rPr>
          <w:spacing w:val="-5"/>
          <w:szCs w:val="24"/>
        </w:rPr>
        <w:t>n</w:t>
      </w:r>
      <w:r w:rsidRPr="009E3D82">
        <w:rPr>
          <w:spacing w:val="3"/>
          <w:szCs w:val="24"/>
        </w:rPr>
        <w:t>s</w:t>
      </w:r>
      <w:r w:rsidRPr="009E3D82">
        <w:rPr>
          <w:spacing w:val="-9"/>
          <w:szCs w:val="24"/>
        </w:rPr>
        <w:t>i</w:t>
      </w:r>
      <w:r w:rsidRPr="009E3D82">
        <w:rPr>
          <w:spacing w:val="5"/>
          <w:szCs w:val="24"/>
        </w:rPr>
        <w:t>d</w:t>
      </w:r>
      <w:r w:rsidRPr="009E3D82">
        <w:rPr>
          <w:szCs w:val="24"/>
        </w:rPr>
        <w:t>era</w:t>
      </w:r>
      <w:r w:rsidRPr="009E3D82">
        <w:rPr>
          <w:spacing w:val="5"/>
          <w:szCs w:val="24"/>
        </w:rPr>
        <w:t>t</w:t>
      </w:r>
      <w:r w:rsidRPr="009E3D82">
        <w:rPr>
          <w:spacing w:val="-9"/>
          <w:szCs w:val="24"/>
        </w:rPr>
        <w:t>i</w:t>
      </w:r>
      <w:r w:rsidRPr="009E3D82">
        <w:rPr>
          <w:spacing w:val="5"/>
          <w:szCs w:val="24"/>
        </w:rPr>
        <w:t>o</w:t>
      </w:r>
      <w:r w:rsidRPr="009E3D82">
        <w:rPr>
          <w:szCs w:val="24"/>
        </w:rPr>
        <w:t>n</w:t>
      </w:r>
      <w:r w:rsidRPr="009E3D82">
        <w:rPr>
          <w:spacing w:val="-5"/>
          <w:szCs w:val="24"/>
        </w:rPr>
        <w:t xml:space="preserve"> </w:t>
      </w:r>
      <w:r w:rsidRPr="009E3D82">
        <w:rPr>
          <w:spacing w:val="8"/>
          <w:szCs w:val="24"/>
        </w:rPr>
        <w:t>t</w:t>
      </w:r>
      <w:r w:rsidRPr="009E3D82">
        <w:rPr>
          <w:szCs w:val="24"/>
        </w:rPr>
        <w:t>o a</w:t>
      </w:r>
      <w:r w:rsidRPr="009E3D82">
        <w:rPr>
          <w:spacing w:val="-3"/>
          <w:szCs w:val="24"/>
        </w:rPr>
        <w:t>l</w:t>
      </w:r>
      <w:r w:rsidRPr="009E3D82">
        <w:rPr>
          <w:spacing w:val="-4"/>
          <w:szCs w:val="24"/>
        </w:rPr>
        <w:t>i</w:t>
      </w:r>
      <w:r w:rsidRPr="009E3D82">
        <w:rPr>
          <w:spacing w:val="5"/>
          <w:szCs w:val="24"/>
        </w:rPr>
        <w:t>g</w:t>
      </w:r>
      <w:r w:rsidRPr="009E3D82">
        <w:rPr>
          <w:szCs w:val="24"/>
        </w:rPr>
        <w:t>n</w:t>
      </w:r>
      <w:r w:rsidRPr="009E3D82">
        <w:rPr>
          <w:spacing w:val="-5"/>
          <w:szCs w:val="24"/>
        </w:rPr>
        <w:t xml:space="preserve"> </w:t>
      </w:r>
      <w:r w:rsidRPr="009E3D82">
        <w:rPr>
          <w:szCs w:val="24"/>
        </w:rPr>
        <w:t>M</w:t>
      </w:r>
      <w:r w:rsidRPr="009E3D82">
        <w:rPr>
          <w:spacing w:val="6"/>
          <w:szCs w:val="24"/>
        </w:rPr>
        <w:t>S</w:t>
      </w:r>
      <w:r w:rsidRPr="009E3D82">
        <w:rPr>
          <w:spacing w:val="-5"/>
          <w:szCs w:val="24"/>
        </w:rPr>
        <w:t>A</w:t>
      </w:r>
      <w:r w:rsidRPr="009E3D82">
        <w:rPr>
          <w:szCs w:val="24"/>
        </w:rPr>
        <w:t>C supp</w:t>
      </w:r>
      <w:r w:rsidRPr="009E3D82">
        <w:rPr>
          <w:spacing w:val="3"/>
          <w:szCs w:val="24"/>
        </w:rPr>
        <w:t>o</w:t>
      </w:r>
      <w:r w:rsidRPr="009E3D82">
        <w:rPr>
          <w:szCs w:val="24"/>
        </w:rPr>
        <w:t>rt</w:t>
      </w:r>
      <w:r w:rsidRPr="009E3D82">
        <w:rPr>
          <w:spacing w:val="5"/>
          <w:szCs w:val="24"/>
        </w:rPr>
        <w:t xml:space="preserve"> </w:t>
      </w:r>
      <w:r w:rsidRPr="009E3D82">
        <w:rPr>
          <w:spacing w:val="-8"/>
          <w:szCs w:val="24"/>
        </w:rPr>
        <w:t>f</w:t>
      </w:r>
      <w:r w:rsidRPr="009E3D82">
        <w:rPr>
          <w:spacing w:val="5"/>
          <w:szCs w:val="24"/>
        </w:rPr>
        <w:t>o</w:t>
      </w:r>
      <w:r w:rsidRPr="009E3D82">
        <w:rPr>
          <w:szCs w:val="24"/>
        </w:rPr>
        <w:t>r</w:t>
      </w:r>
      <w:r w:rsidRPr="009E3D82">
        <w:rPr>
          <w:spacing w:val="4"/>
          <w:szCs w:val="24"/>
        </w:rPr>
        <w:t xml:space="preserve"> </w:t>
      </w:r>
      <w:r w:rsidRPr="009E3D82">
        <w:rPr>
          <w:szCs w:val="24"/>
        </w:rPr>
        <w:t>pub</w:t>
      </w:r>
      <w:r w:rsidRPr="009E3D82">
        <w:rPr>
          <w:spacing w:val="-4"/>
          <w:szCs w:val="24"/>
        </w:rPr>
        <w:t>li</w:t>
      </w:r>
      <w:r w:rsidRPr="009E3D82">
        <w:rPr>
          <w:szCs w:val="24"/>
        </w:rPr>
        <w:t>c f</w:t>
      </w:r>
      <w:r w:rsidRPr="009E3D82">
        <w:rPr>
          <w:spacing w:val="3"/>
          <w:szCs w:val="24"/>
        </w:rPr>
        <w:t>u</w:t>
      </w:r>
      <w:r w:rsidRPr="009E3D82">
        <w:rPr>
          <w:spacing w:val="-5"/>
          <w:szCs w:val="24"/>
        </w:rPr>
        <w:t>n</w:t>
      </w:r>
      <w:r w:rsidRPr="009E3D82">
        <w:rPr>
          <w:spacing w:val="5"/>
          <w:szCs w:val="24"/>
        </w:rPr>
        <w:t>d</w:t>
      </w:r>
      <w:r w:rsidRPr="009E3D82">
        <w:rPr>
          <w:spacing w:val="-4"/>
          <w:szCs w:val="24"/>
        </w:rPr>
        <w:t>i</w:t>
      </w:r>
      <w:r w:rsidRPr="009E3D82">
        <w:rPr>
          <w:szCs w:val="24"/>
        </w:rPr>
        <w:t xml:space="preserve">ng </w:t>
      </w:r>
      <w:r w:rsidRPr="009E3D82">
        <w:rPr>
          <w:spacing w:val="7"/>
          <w:szCs w:val="24"/>
        </w:rPr>
        <w:t>o</w:t>
      </w:r>
      <w:r w:rsidRPr="009E3D82">
        <w:rPr>
          <w:szCs w:val="24"/>
        </w:rPr>
        <w:t>f</w:t>
      </w:r>
      <w:r w:rsidRPr="009E3D82">
        <w:rPr>
          <w:spacing w:val="-8"/>
          <w:szCs w:val="24"/>
        </w:rPr>
        <w:t xml:space="preserve"> </w:t>
      </w:r>
      <w:r w:rsidRPr="009E3D82">
        <w:rPr>
          <w:spacing w:val="5"/>
          <w:szCs w:val="24"/>
        </w:rPr>
        <w:t>E</w:t>
      </w:r>
      <w:r w:rsidRPr="009E3D82">
        <w:rPr>
          <w:szCs w:val="24"/>
        </w:rPr>
        <w:t>G</w:t>
      </w:r>
      <w:r w:rsidRPr="009E3D82">
        <w:rPr>
          <w:spacing w:val="-4"/>
          <w:szCs w:val="24"/>
        </w:rPr>
        <w:t>F</w:t>
      </w:r>
      <w:r w:rsidRPr="009E3D82">
        <w:rPr>
          <w:szCs w:val="24"/>
        </w:rPr>
        <w:t xml:space="preserve">R </w:t>
      </w:r>
      <w:r w:rsidRPr="009E3D82">
        <w:rPr>
          <w:spacing w:val="6"/>
          <w:szCs w:val="24"/>
        </w:rPr>
        <w:t>t</w:t>
      </w:r>
      <w:r w:rsidRPr="009E3D82">
        <w:rPr>
          <w:szCs w:val="24"/>
        </w:rPr>
        <w:t>e</w:t>
      </w:r>
      <w:r w:rsidRPr="009E3D82">
        <w:rPr>
          <w:spacing w:val="-3"/>
          <w:szCs w:val="24"/>
        </w:rPr>
        <w:t>s</w:t>
      </w:r>
      <w:r w:rsidRPr="009E3D82">
        <w:rPr>
          <w:spacing w:val="5"/>
          <w:szCs w:val="24"/>
        </w:rPr>
        <w:t>t</w:t>
      </w:r>
      <w:r w:rsidRPr="009E3D82">
        <w:rPr>
          <w:spacing w:val="-4"/>
          <w:szCs w:val="24"/>
        </w:rPr>
        <w:t>i</w:t>
      </w:r>
      <w:r w:rsidRPr="009E3D82">
        <w:rPr>
          <w:spacing w:val="-5"/>
          <w:szCs w:val="24"/>
        </w:rPr>
        <w:t>n</w:t>
      </w:r>
      <w:r w:rsidRPr="009E3D82">
        <w:rPr>
          <w:szCs w:val="24"/>
        </w:rPr>
        <w:t>g</w:t>
      </w:r>
      <w:r w:rsidRPr="009E3D82">
        <w:rPr>
          <w:spacing w:val="2"/>
          <w:szCs w:val="24"/>
        </w:rPr>
        <w:t xml:space="preserve"> </w:t>
      </w:r>
      <w:r w:rsidRPr="009E3D82">
        <w:rPr>
          <w:szCs w:val="24"/>
        </w:rPr>
        <w:t>ac</w:t>
      </w:r>
      <w:r w:rsidRPr="009E3D82">
        <w:rPr>
          <w:spacing w:val="-3"/>
          <w:szCs w:val="24"/>
        </w:rPr>
        <w:t>c</w:t>
      </w:r>
      <w:r w:rsidRPr="009E3D82">
        <w:rPr>
          <w:spacing w:val="5"/>
          <w:szCs w:val="24"/>
        </w:rPr>
        <w:t>o</w:t>
      </w:r>
      <w:r w:rsidRPr="009E3D82">
        <w:rPr>
          <w:szCs w:val="24"/>
        </w:rPr>
        <w:t>rd</w:t>
      </w:r>
      <w:r w:rsidRPr="009E3D82">
        <w:rPr>
          <w:spacing w:val="-3"/>
          <w:szCs w:val="24"/>
        </w:rPr>
        <w:t>i</w:t>
      </w:r>
      <w:r w:rsidRPr="009E3D82">
        <w:rPr>
          <w:spacing w:val="-5"/>
          <w:szCs w:val="24"/>
        </w:rPr>
        <w:t>n</w:t>
      </w:r>
      <w:r w:rsidRPr="009E3D82">
        <w:rPr>
          <w:szCs w:val="24"/>
        </w:rPr>
        <w:t xml:space="preserve">g </w:t>
      </w:r>
      <w:r w:rsidRPr="009E3D82">
        <w:rPr>
          <w:spacing w:val="8"/>
          <w:szCs w:val="24"/>
        </w:rPr>
        <w:t>t</w:t>
      </w:r>
      <w:r w:rsidRPr="009E3D82">
        <w:rPr>
          <w:szCs w:val="24"/>
        </w:rPr>
        <w:t>o</w:t>
      </w:r>
      <w:r w:rsidRPr="009E3D82">
        <w:rPr>
          <w:spacing w:val="-2"/>
          <w:szCs w:val="24"/>
        </w:rPr>
        <w:t xml:space="preserve"> </w:t>
      </w:r>
      <w:r w:rsidRPr="009E3D82">
        <w:rPr>
          <w:spacing w:val="5"/>
          <w:szCs w:val="24"/>
        </w:rPr>
        <w:t>t</w:t>
      </w:r>
      <w:r w:rsidRPr="009E3D82">
        <w:rPr>
          <w:spacing w:val="-5"/>
          <w:szCs w:val="24"/>
        </w:rPr>
        <w:t>h</w:t>
      </w:r>
      <w:r w:rsidRPr="009E3D82">
        <w:rPr>
          <w:szCs w:val="24"/>
        </w:rPr>
        <w:t xml:space="preserve">e </w:t>
      </w:r>
      <w:r w:rsidRPr="009E3D82">
        <w:rPr>
          <w:spacing w:val="4"/>
          <w:szCs w:val="24"/>
        </w:rPr>
        <w:t>c</w:t>
      </w:r>
      <w:r w:rsidRPr="009E3D82">
        <w:rPr>
          <w:spacing w:val="-9"/>
          <w:szCs w:val="24"/>
        </w:rPr>
        <w:t>i</w:t>
      </w:r>
      <w:r w:rsidRPr="009E3D82">
        <w:rPr>
          <w:szCs w:val="24"/>
        </w:rPr>
        <w:t>rc</w:t>
      </w:r>
      <w:r w:rsidRPr="009E3D82">
        <w:rPr>
          <w:spacing w:val="6"/>
          <w:szCs w:val="24"/>
        </w:rPr>
        <w:t>u</w:t>
      </w:r>
      <w:r w:rsidRPr="009E3D82">
        <w:rPr>
          <w:spacing w:val="-4"/>
          <w:szCs w:val="24"/>
        </w:rPr>
        <w:t>m</w:t>
      </w:r>
      <w:r w:rsidRPr="009E3D82">
        <w:rPr>
          <w:szCs w:val="24"/>
        </w:rPr>
        <w:t>s</w:t>
      </w:r>
      <w:r w:rsidRPr="009E3D82">
        <w:rPr>
          <w:spacing w:val="3"/>
          <w:szCs w:val="24"/>
        </w:rPr>
        <w:t>t</w:t>
      </w:r>
      <w:r w:rsidRPr="009E3D82">
        <w:rPr>
          <w:szCs w:val="24"/>
        </w:rPr>
        <w:t>anc</w:t>
      </w:r>
      <w:r w:rsidRPr="009E3D82">
        <w:rPr>
          <w:spacing w:val="-3"/>
          <w:szCs w:val="24"/>
        </w:rPr>
        <w:t>e</w:t>
      </w:r>
      <w:r w:rsidRPr="009E3D82">
        <w:rPr>
          <w:szCs w:val="24"/>
        </w:rPr>
        <w:t>s rec</w:t>
      </w:r>
      <w:r w:rsidRPr="009E3D82">
        <w:rPr>
          <w:spacing w:val="10"/>
          <w:szCs w:val="24"/>
        </w:rPr>
        <w:t>o</w:t>
      </w:r>
      <w:r w:rsidRPr="009E3D82">
        <w:rPr>
          <w:spacing w:val="-4"/>
          <w:szCs w:val="24"/>
        </w:rPr>
        <w:t>mm</w:t>
      </w:r>
      <w:r w:rsidRPr="009E3D82">
        <w:rPr>
          <w:spacing w:val="4"/>
          <w:szCs w:val="24"/>
        </w:rPr>
        <w:t>e</w:t>
      </w:r>
      <w:r w:rsidRPr="009E3D82">
        <w:rPr>
          <w:spacing w:val="-5"/>
          <w:szCs w:val="24"/>
        </w:rPr>
        <w:t>n</w:t>
      </w:r>
      <w:r w:rsidRPr="009E3D82">
        <w:rPr>
          <w:szCs w:val="24"/>
        </w:rPr>
        <w:t>ded by</w:t>
      </w:r>
      <w:r w:rsidRPr="009E3D82">
        <w:rPr>
          <w:spacing w:val="-1"/>
          <w:szCs w:val="24"/>
        </w:rPr>
        <w:t xml:space="preserve"> </w:t>
      </w:r>
      <w:r w:rsidRPr="009E3D82">
        <w:rPr>
          <w:szCs w:val="24"/>
        </w:rPr>
        <w:t>P</w:t>
      </w:r>
      <w:r w:rsidRPr="009E3D82">
        <w:rPr>
          <w:spacing w:val="4"/>
          <w:szCs w:val="24"/>
        </w:rPr>
        <w:t>B</w:t>
      </w:r>
      <w:r w:rsidRPr="009E3D82">
        <w:rPr>
          <w:spacing w:val="-5"/>
          <w:szCs w:val="24"/>
        </w:rPr>
        <w:t>A</w:t>
      </w:r>
      <w:r w:rsidRPr="009E3D82">
        <w:rPr>
          <w:szCs w:val="24"/>
        </w:rPr>
        <w:t xml:space="preserve">C. </w:t>
      </w:r>
      <w:r w:rsidRPr="009E3D82">
        <w:t>MSAC foreshadowed its support for public funding to be achieved by modifying MBS item 73328. The MBS fee of $397.35 would be retained, but the item descriptor would be amended to:</w:t>
      </w:r>
    </w:p>
    <w:p w:rsidR="00C57C45" w:rsidRPr="009E3D82" w:rsidRDefault="00C57C45" w:rsidP="00397C47">
      <w:pPr>
        <w:tabs>
          <w:tab w:val="left" w:pos="720"/>
        </w:tabs>
      </w:pPr>
    </w:p>
    <w:p w:rsidR="00C57C45" w:rsidRPr="009E3D82" w:rsidRDefault="00C57C45" w:rsidP="00397C47">
      <w:pPr>
        <w:tabs>
          <w:tab w:val="left" w:pos="720"/>
        </w:tabs>
        <w:rPr>
          <w:i/>
        </w:rPr>
      </w:pPr>
      <w:r w:rsidRPr="009E3D82">
        <w:rPr>
          <w:i/>
        </w:rPr>
        <w:t>A test of tumour tissue from a patient diagnosed with non-small cell lung cancer, shown to have non-squamous histology or histology not otherwise specified, requested by, or on behalf of, a specialist or consultant physician to determine if the requirements relating to epidermal growth factor receptor (EGFR) gene status for access to gefitinib under the Pharmaceutical Benefits Scheme (PBS) are fulfilled.</w:t>
      </w:r>
    </w:p>
    <w:p w:rsidR="00C57C45" w:rsidRPr="009E3D82" w:rsidRDefault="00C57C45" w:rsidP="00397C47">
      <w:pPr>
        <w:tabs>
          <w:tab w:val="left" w:pos="720"/>
        </w:tabs>
      </w:pPr>
    </w:p>
    <w:p w:rsidR="00C57C45" w:rsidRPr="009E3D82" w:rsidRDefault="00C57C45" w:rsidP="00397C47">
      <w:pPr>
        <w:tabs>
          <w:tab w:val="left" w:pos="720"/>
        </w:tabs>
      </w:pPr>
      <w:r w:rsidRPr="009E3D82">
        <w:t>MSAC reiterated that it would support an expedited MSAC process of re-consideration if PBAC subsequently recommends PBS listing. MSAC also reaffirmed its November 2012 advice that, as part of implementing coordinated MBS and PBS listing of these co-dependent health technologies, appropriate data be collected prospectively to be reviewed two years after listing.</w:t>
      </w:r>
    </w:p>
    <w:p w:rsidR="00AF0F0E" w:rsidRPr="009E3D82" w:rsidRDefault="00AF0F0E" w:rsidP="00397C47">
      <w:pPr>
        <w:tabs>
          <w:tab w:val="left" w:pos="720"/>
        </w:tabs>
        <w:rPr>
          <w:szCs w:val="24"/>
        </w:rPr>
      </w:pPr>
    </w:p>
    <w:p w:rsidR="00A9189B" w:rsidRPr="00BD63FA" w:rsidRDefault="00A9189B" w:rsidP="00A9189B">
      <w:pPr>
        <w:rPr>
          <w:rFonts w:ascii="Arial" w:hAnsi="Arial" w:cs="Arial"/>
          <w:b/>
          <w:sz w:val="28"/>
          <w:szCs w:val="28"/>
        </w:rPr>
      </w:pPr>
      <w:bookmarkStart w:id="3" w:name="_GoBack"/>
      <w:bookmarkEnd w:id="3"/>
      <w:r w:rsidRPr="009E3D82">
        <w:rPr>
          <w:rFonts w:ascii="Arial" w:hAnsi="Arial" w:cs="Arial"/>
          <w:b/>
          <w:sz w:val="28"/>
          <w:szCs w:val="28"/>
        </w:rPr>
        <w:t>Out-of-Session MSAC Consideration – October 2013</w:t>
      </w:r>
    </w:p>
    <w:p w:rsidR="00A9189B" w:rsidRPr="009E3D82" w:rsidRDefault="00A9189B" w:rsidP="00A9189B"/>
    <w:p w:rsidR="00C627C1" w:rsidRPr="009E3D82" w:rsidRDefault="00C627C1" w:rsidP="00C627C1">
      <w:pPr>
        <w:rPr>
          <w:rFonts w:ascii="Arial" w:hAnsi="Arial" w:cs="Arial"/>
          <w:b/>
          <w:i/>
          <w:color w:val="000000"/>
          <w:szCs w:val="24"/>
        </w:rPr>
      </w:pPr>
      <w:r w:rsidRPr="009E3D82">
        <w:rPr>
          <w:rStyle w:val="Strong"/>
          <w:rFonts w:ascii="Arial" w:hAnsi="Arial" w:cs="Arial"/>
          <w:i/>
          <w:szCs w:val="24"/>
        </w:rPr>
        <w:t xml:space="preserve">Application 1161 - </w:t>
      </w:r>
      <w:r w:rsidR="00966C8B" w:rsidRPr="009E3D82">
        <w:rPr>
          <w:rStyle w:val="Strong"/>
          <w:rFonts w:ascii="Arial" w:hAnsi="Arial" w:cs="Arial"/>
          <w:i/>
          <w:szCs w:val="24"/>
        </w:rPr>
        <w:t>Gefitinib first line testing for mutations of epidermal growth factor receptor (EGFR) in patients with metastatic non-small cell lung cancer (NSCLC)</w:t>
      </w:r>
    </w:p>
    <w:p w:rsidR="00966C8B" w:rsidRPr="009E3D82" w:rsidRDefault="00966C8B" w:rsidP="00EA6E5B">
      <w:pPr>
        <w:rPr>
          <w:rFonts w:ascii="Arial" w:hAnsi="Arial" w:cs="Arial"/>
          <w:b/>
        </w:rPr>
      </w:pPr>
    </w:p>
    <w:p w:rsidR="00A9189B" w:rsidRPr="009E3D82" w:rsidRDefault="00A9189B" w:rsidP="00EA6E5B">
      <w:pPr>
        <w:rPr>
          <w:rFonts w:ascii="Arial" w:hAnsi="Arial" w:cs="Arial"/>
          <w:b/>
        </w:rPr>
      </w:pPr>
      <w:r w:rsidRPr="009E3D82">
        <w:rPr>
          <w:rFonts w:ascii="Arial" w:hAnsi="Arial" w:cs="Arial"/>
          <w:b/>
        </w:rPr>
        <w:t>Summary of consideration and rationale for MSAC’s advice</w:t>
      </w:r>
    </w:p>
    <w:p w:rsidR="004F5CA8" w:rsidRPr="009E3D82" w:rsidRDefault="00A9189B" w:rsidP="00EA6E5B">
      <w:pPr>
        <w:tabs>
          <w:tab w:val="left" w:pos="720"/>
          <w:tab w:val="left" w:pos="1140"/>
        </w:tabs>
        <w:rPr>
          <w:szCs w:val="24"/>
        </w:rPr>
      </w:pPr>
      <w:r w:rsidRPr="009E3D82">
        <w:rPr>
          <w:szCs w:val="24"/>
        </w:rPr>
        <w:t>MSAC deferred this application at its meetings on 29-30 November 2012 and 1 August 2013. MSAC’s considerations were coordinated with PBAC c</w:t>
      </w:r>
      <w:r w:rsidR="004F5CA8" w:rsidRPr="009E3D82">
        <w:rPr>
          <w:szCs w:val="24"/>
        </w:rPr>
        <w:t xml:space="preserve">onsiderations of gefitinib on </w:t>
      </w:r>
    </w:p>
    <w:p w:rsidR="00A9189B" w:rsidRPr="009E3D82" w:rsidRDefault="004F5CA8" w:rsidP="00EA6E5B">
      <w:pPr>
        <w:tabs>
          <w:tab w:val="left" w:pos="720"/>
          <w:tab w:val="left" w:pos="1140"/>
        </w:tabs>
        <w:rPr>
          <w:szCs w:val="24"/>
        </w:rPr>
      </w:pPr>
      <w:r w:rsidRPr="009E3D82">
        <w:rPr>
          <w:szCs w:val="24"/>
        </w:rPr>
        <w:t>7-</w:t>
      </w:r>
      <w:r w:rsidR="00A9189B" w:rsidRPr="009E3D82">
        <w:rPr>
          <w:szCs w:val="24"/>
        </w:rPr>
        <w:t>9 November 2012 and 9-12 July 2013</w:t>
      </w:r>
      <w:r w:rsidRPr="009E3D82">
        <w:rPr>
          <w:szCs w:val="24"/>
        </w:rPr>
        <w:t xml:space="preserve">. </w:t>
      </w:r>
      <w:r w:rsidR="00A9189B" w:rsidRPr="009E3D82">
        <w:rPr>
          <w:szCs w:val="24"/>
        </w:rPr>
        <w:t>On both occasions, MSAC indicated support for the proposal to modify the existing MBS item for EGFR mutation testing, but deferred provision of formal advice to the Minister until such time as MSAC advice could be coordinated with a PBAC recommendation to modify the existing PBS items for gefitinib.</w:t>
      </w:r>
    </w:p>
    <w:p w:rsidR="00A9189B" w:rsidRPr="009E3D82" w:rsidRDefault="00A9189B" w:rsidP="00EA6E5B">
      <w:pPr>
        <w:tabs>
          <w:tab w:val="left" w:pos="720"/>
          <w:tab w:val="left" w:pos="1140"/>
        </w:tabs>
        <w:rPr>
          <w:szCs w:val="24"/>
        </w:rPr>
      </w:pPr>
    </w:p>
    <w:p w:rsidR="00A9189B" w:rsidRPr="009E3D82" w:rsidRDefault="00A9189B" w:rsidP="00EA6E5B">
      <w:pPr>
        <w:tabs>
          <w:tab w:val="left" w:pos="720"/>
          <w:tab w:val="left" w:pos="1140"/>
        </w:tabs>
      </w:pPr>
      <w:r w:rsidRPr="009E3D82">
        <w:t>The MSAC Chair and Secretariat were advised that, on 1 October 2013, PBAC recommended that the PBS listing for gefitinib be modified to include subsidy for its use for EGFR mut</w:t>
      </w:r>
      <w:r w:rsidR="004F5CA8" w:rsidRPr="009E3D82">
        <w:t>ation positive advanced NSCLC.</w:t>
      </w:r>
    </w:p>
    <w:p w:rsidR="00A9189B" w:rsidRPr="009E3D82" w:rsidRDefault="00A9189B" w:rsidP="00A9189B"/>
    <w:p w:rsidR="00A9189B" w:rsidRPr="009E3D82" w:rsidRDefault="00A9189B" w:rsidP="00A9189B">
      <w:pPr>
        <w:rPr>
          <w:rFonts w:ascii="Arial" w:hAnsi="Arial" w:cs="Arial"/>
          <w:b/>
        </w:rPr>
      </w:pPr>
      <w:r w:rsidRPr="009E3D82">
        <w:rPr>
          <w:rFonts w:ascii="Arial" w:hAnsi="Arial" w:cs="Arial"/>
          <w:b/>
        </w:rPr>
        <w:t>MSAC’s advice to the Minister</w:t>
      </w:r>
    </w:p>
    <w:p w:rsidR="00A9189B" w:rsidRPr="009E3D82" w:rsidRDefault="00A9189B" w:rsidP="00A9189B">
      <w:pPr>
        <w:tabs>
          <w:tab w:val="left" w:pos="720"/>
        </w:tabs>
      </w:pPr>
      <w:r w:rsidRPr="009E3D82">
        <w:t>After considering the strength of the available evidence in relation to the safety, clinical effectiveness and cost-effectiveness of epidermal growth factor receptor (EGFR) mutation testing to help determine eligibility for proposed PBS-subsidised first-line gefitinib in locally advanced or metastatic non-small cell lung cancer (NSCLC), MSAC advised that the item descriptor for MBS item 73328 be amended to read as below:</w:t>
      </w:r>
    </w:p>
    <w:p w:rsidR="00A9189B" w:rsidRPr="009E3D82" w:rsidRDefault="00A9189B" w:rsidP="00A9189B">
      <w:pPr>
        <w:tabs>
          <w:tab w:val="left" w:pos="720"/>
        </w:tabs>
      </w:pPr>
    </w:p>
    <w:p w:rsidR="00A9189B" w:rsidRPr="009E3D82" w:rsidRDefault="00A9189B" w:rsidP="00A9189B">
      <w:pPr>
        <w:tabs>
          <w:tab w:val="left" w:pos="720"/>
        </w:tabs>
        <w:rPr>
          <w:i/>
          <w:iCs/>
          <w:color w:val="000000"/>
          <w:szCs w:val="24"/>
        </w:rPr>
      </w:pPr>
      <w:r w:rsidRPr="009E3D82">
        <w:rPr>
          <w:i/>
          <w:iCs/>
          <w:color w:val="000000"/>
          <w:szCs w:val="24"/>
        </w:rPr>
        <w:t xml:space="preserve">A test of tumour tissue from a patient diagnosed with non-small cell lung cancer, shown to have non-squamous histology or histology not otherwise specified, requested by, or on behalf of, a specialist or consultant physician to determine if the requirements relating to epidermal growth factor receptor (EGFR) gene status for access to erlotinib </w:t>
      </w:r>
      <w:r w:rsidRPr="009E3D82">
        <w:rPr>
          <w:b/>
          <w:bCs/>
          <w:i/>
          <w:iCs/>
          <w:color w:val="000000"/>
          <w:szCs w:val="24"/>
        </w:rPr>
        <w:t>or gefitinib</w:t>
      </w:r>
      <w:r w:rsidRPr="009E3D82">
        <w:rPr>
          <w:i/>
          <w:iCs/>
          <w:color w:val="000000"/>
          <w:szCs w:val="24"/>
        </w:rPr>
        <w:t xml:space="preserve"> under the Pharmaceutical Benefits Scheme (PBS) are fulfilled.</w:t>
      </w:r>
    </w:p>
    <w:p w:rsidR="00A9189B" w:rsidRPr="009E3D82" w:rsidRDefault="00A9189B" w:rsidP="00A9189B">
      <w:pPr>
        <w:tabs>
          <w:tab w:val="left" w:pos="720"/>
        </w:tabs>
      </w:pPr>
    </w:p>
    <w:p w:rsidR="00A9189B" w:rsidRPr="009E3D82" w:rsidRDefault="00A9189B" w:rsidP="00A9189B">
      <w:pPr>
        <w:tabs>
          <w:tab w:val="left" w:pos="720"/>
        </w:tabs>
      </w:pPr>
      <w:r w:rsidRPr="009E3D82">
        <w:t>MSAC reaffirmed its November 2012 and August 2013 advice that the proposed MBS item should be made a pa</w:t>
      </w:r>
      <w:r w:rsidR="004F5CA8" w:rsidRPr="009E3D82">
        <w:t>thologist determinable service.</w:t>
      </w:r>
    </w:p>
    <w:p w:rsidR="00A9189B" w:rsidRPr="009E3D82" w:rsidRDefault="00A9189B" w:rsidP="00A9189B">
      <w:pPr>
        <w:tabs>
          <w:tab w:val="left" w:pos="720"/>
        </w:tabs>
      </w:pPr>
    </w:p>
    <w:p w:rsidR="00A9189B" w:rsidRPr="009E3D82" w:rsidRDefault="00A9189B" w:rsidP="00A9189B">
      <w:pPr>
        <w:tabs>
          <w:tab w:val="left" w:pos="720"/>
        </w:tabs>
      </w:pPr>
      <w:r w:rsidRPr="009E3D82">
        <w:t>MSAC advised that the MBS fee of $397.35 should be retained.</w:t>
      </w:r>
    </w:p>
    <w:p w:rsidR="00A9189B" w:rsidRPr="009E3D82" w:rsidRDefault="00A9189B" w:rsidP="00A9189B">
      <w:pPr>
        <w:tabs>
          <w:tab w:val="left" w:pos="720"/>
        </w:tabs>
      </w:pPr>
    </w:p>
    <w:p w:rsidR="00A9189B" w:rsidRPr="00A9189B" w:rsidRDefault="00A9189B" w:rsidP="00397C47">
      <w:pPr>
        <w:tabs>
          <w:tab w:val="left" w:pos="720"/>
        </w:tabs>
      </w:pPr>
      <w:r w:rsidRPr="009E3D82">
        <w:t>MSAC reaffirmed its November 2012 and August 2013 advice that, as part of implementing coordinated MBS and PBS listing of these co-dependent health technologies, appropriate data be collected prospectively.</w:t>
      </w:r>
    </w:p>
    <w:p w:rsidR="00A9189B" w:rsidRPr="00BB418D" w:rsidRDefault="00A9189B" w:rsidP="00397C47">
      <w:pPr>
        <w:tabs>
          <w:tab w:val="left" w:pos="720"/>
        </w:tabs>
        <w:rPr>
          <w:szCs w:val="24"/>
        </w:rPr>
      </w:pPr>
    </w:p>
    <w:p w:rsidR="00BB418D" w:rsidRPr="006A1D88" w:rsidRDefault="006A19C5" w:rsidP="00397C47">
      <w:pPr>
        <w:pStyle w:val="Heading1"/>
        <w:spacing w:before="0"/>
        <w:rPr>
          <w:rFonts w:cs="Arial"/>
          <w:szCs w:val="24"/>
        </w:rPr>
      </w:pPr>
      <w:r w:rsidRPr="006A1D88">
        <w:rPr>
          <w:rFonts w:cs="Arial"/>
          <w:szCs w:val="24"/>
        </w:rPr>
        <w:t>17.</w:t>
      </w:r>
      <w:r w:rsidRPr="006A1D88">
        <w:rPr>
          <w:rFonts w:cs="Arial"/>
          <w:szCs w:val="24"/>
        </w:rPr>
        <w:tab/>
      </w:r>
      <w:r w:rsidR="00BB418D" w:rsidRPr="006A1D88">
        <w:rPr>
          <w:rFonts w:cs="Arial"/>
          <w:szCs w:val="24"/>
        </w:rPr>
        <w:t>Applicant’s comments on MSAC’s Public Summary Document</w:t>
      </w:r>
    </w:p>
    <w:p w:rsidR="00A8632A" w:rsidRPr="00C00CA4" w:rsidRDefault="00C00CA4" w:rsidP="00C00CA4">
      <w:pPr>
        <w:tabs>
          <w:tab w:val="left" w:pos="720"/>
        </w:tabs>
        <w:rPr>
          <w:szCs w:val="24"/>
        </w:rPr>
      </w:pPr>
      <w:r w:rsidRPr="00C00CA4">
        <w:rPr>
          <w:szCs w:val="24"/>
        </w:rPr>
        <w:t>No comment</w:t>
      </w:r>
      <w:r>
        <w:rPr>
          <w:szCs w:val="24"/>
        </w:rPr>
        <w:t>.</w:t>
      </w:r>
    </w:p>
    <w:p w:rsidR="007363C5" w:rsidRPr="006A19C5" w:rsidRDefault="007363C5" w:rsidP="00465E88">
      <w:pPr>
        <w:tabs>
          <w:tab w:val="left" w:pos="720"/>
        </w:tabs>
        <w:rPr>
          <w:rFonts w:ascii="Arial Narrow" w:hAnsi="Arial Narrow"/>
          <w:sz w:val="21"/>
          <w:szCs w:val="21"/>
          <w:highlight w:val="yellow"/>
        </w:rPr>
      </w:pPr>
    </w:p>
    <w:p w:rsidR="004C0814" w:rsidRPr="006A19C5" w:rsidRDefault="006A19C5" w:rsidP="00397C47">
      <w:pPr>
        <w:pStyle w:val="Heading1"/>
        <w:spacing w:before="0"/>
      </w:pPr>
      <w:r>
        <w:t>18.</w:t>
      </w:r>
      <w:r>
        <w:tab/>
      </w:r>
      <w:r w:rsidR="004C0814" w:rsidRPr="006A19C5">
        <w:t xml:space="preserve">Context for </w:t>
      </w:r>
      <w:r w:rsidR="00B40A4B" w:rsidRPr="006A19C5">
        <w:t>d</w:t>
      </w:r>
      <w:r w:rsidR="004C0814" w:rsidRPr="006A19C5">
        <w:t>ecision</w:t>
      </w:r>
    </w:p>
    <w:p w:rsidR="00FA3CC0" w:rsidRPr="00BB418D" w:rsidRDefault="00FA3CC0" w:rsidP="00397C47">
      <w:pPr>
        <w:tabs>
          <w:tab w:val="left" w:pos="720"/>
        </w:tabs>
        <w:rPr>
          <w:szCs w:val="24"/>
        </w:rPr>
      </w:pPr>
      <w:r w:rsidRPr="00BB418D">
        <w:rPr>
          <w:szCs w:val="24"/>
        </w:rPr>
        <w:t>This advice was made under the MSAC Terms of Reference.</w:t>
      </w:r>
    </w:p>
    <w:p w:rsidR="00397C47" w:rsidRDefault="00397C47" w:rsidP="00397C47">
      <w:pPr>
        <w:rPr>
          <w:szCs w:val="24"/>
          <w:lang w:val="en-US" w:eastAsia="en-US"/>
        </w:rPr>
      </w:pPr>
    </w:p>
    <w:p w:rsidR="00FA3CC0" w:rsidRPr="00BB418D" w:rsidRDefault="00FA3CC0" w:rsidP="00397C47">
      <w:pPr>
        <w:rPr>
          <w:szCs w:val="24"/>
          <w:lang w:val="en-US" w:eastAsia="en-US"/>
        </w:rPr>
      </w:pPr>
      <w:r w:rsidRPr="00BB418D">
        <w:rPr>
          <w:szCs w:val="24"/>
          <w:lang w:val="en-US" w:eastAsia="en-US"/>
        </w:rPr>
        <w:t xml:space="preserve">MSAC is to: </w:t>
      </w:r>
    </w:p>
    <w:p w:rsidR="00397C47" w:rsidRDefault="00397C47" w:rsidP="00397C47">
      <w:pPr>
        <w:rPr>
          <w:szCs w:val="24"/>
          <w:lang w:val="en-US" w:eastAsia="en-US"/>
        </w:rPr>
      </w:pPr>
    </w:p>
    <w:p w:rsidR="00FA3CC0" w:rsidRPr="00BB418D" w:rsidRDefault="00FA3CC0" w:rsidP="00397C47">
      <w:pPr>
        <w:rPr>
          <w:szCs w:val="24"/>
          <w:lang w:val="en-US" w:eastAsia="en-US"/>
        </w:rPr>
      </w:pPr>
      <w:r w:rsidRPr="00BB418D">
        <w:rPr>
          <w:szCs w:val="24"/>
          <w:lang w:val="en-US" w:eastAsia="en-US"/>
        </w:rPr>
        <w:t>Advise the Minister for Health and Ageing on medical services that involve new or emerging technologies and procedures</w:t>
      </w:r>
      <w:r w:rsidR="00A10960" w:rsidRPr="00BB418D">
        <w:rPr>
          <w:szCs w:val="24"/>
        </w:rPr>
        <w:t xml:space="preserve"> and, where relevant, amendment to existing MBS items</w:t>
      </w:r>
      <w:r w:rsidR="00DE3663">
        <w:rPr>
          <w:szCs w:val="24"/>
          <w:lang w:val="en-US" w:eastAsia="en-US"/>
        </w:rPr>
        <w:t>, in relation to:</w:t>
      </w:r>
    </w:p>
    <w:p w:rsidR="00FA3CC0" w:rsidRPr="00BB418D" w:rsidRDefault="00FA3CC0" w:rsidP="00397C47">
      <w:pPr>
        <w:numPr>
          <w:ilvl w:val="0"/>
          <w:numId w:val="5"/>
        </w:numPr>
        <w:tabs>
          <w:tab w:val="clear" w:pos="1080"/>
          <w:tab w:val="num" w:pos="360"/>
          <w:tab w:val="left" w:pos="810"/>
          <w:tab w:val="left" w:pos="1170"/>
        </w:tabs>
        <w:ind w:left="360"/>
        <w:rPr>
          <w:szCs w:val="24"/>
          <w:lang w:val="en-US" w:eastAsia="en-US"/>
        </w:rPr>
      </w:pPr>
      <w:r w:rsidRPr="00BB418D">
        <w:rPr>
          <w:szCs w:val="24"/>
          <w:lang w:val="en-US" w:eastAsia="en-US"/>
        </w:rPr>
        <w:lastRenderedPageBreak/>
        <w:t>the strength of evidence in relation to the comparative safety, effectiveness, cost-effectiveness and tot</w:t>
      </w:r>
      <w:r w:rsidR="00DE3663">
        <w:rPr>
          <w:szCs w:val="24"/>
          <w:lang w:val="en-US" w:eastAsia="en-US"/>
        </w:rPr>
        <w:t>al cost of the medical service;</w:t>
      </w:r>
    </w:p>
    <w:p w:rsidR="00FA3CC0" w:rsidRPr="00BB418D" w:rsidRDefault="00FA3CC0" w:rsidP="00397C47">
      <w:pPr>
        <w:numPr>
          <w:ilvl w:val="0"/>
          <w:numId w:val="5"/>
        </w:numPr>
        <w:tabs>
          <w:tab w:val="clear" w:pos="1080"/>
          <w:tab w:val="num" w:pos="360"/>
          <w:tab w:val="left" w:pos="810"/>
          <w:tab w:val="left" w:pos="1170"/>
        </w:tabs>
        <w:ind w:left="360"/>
        <w:rPr>
          <w:szCs w:val="24"/>
          <w:lang w:val="en-US" w:eastAsia="en-US"/>
        </w:rPr>
      </w:pPr>
      <w:r w:rsidRPr="00BB418D">
        <w:rPr>
          <w:szCs w:val="24"/>
          <w:lang w:val="en-US" w:eastAsia="en-US"/>
        </w:rPr>
        <w:t>whether public funding should be supported for the medical service and, if so, the circumstances under which publ</w:t>
      </w:r>
      <w:r w:rsidR="00DE3663">
        <w:rPr>
          <w:szCs w:val="24"/>
          <w:lang w:val="en-US" w:eastAsia="en-US"/>
        </w:rPr>
        <w:t>ic funding should be supported;</w:t>
      </w:r>
    </w:p>
    <w:p w:rsidR="00FA3CC0" w:rsidRPr="00BB418D" w:rsidRDefault="00FA3CC0" w:rsidP="00397C47">
      <w:pPr>
        <w:numPr>
          <w:ilvl w:val="0"/>
          <w:numId w:val="5"/>
        </w:numPr>
        <w:tabs>
          <w:tab w:val="clear" w:pos="1080"/>
          <w:tab w:val="num" w:pos="360"/>
          <w:tab w:val="left" w:pos="810"/>
          <w:tab w:val="left" w:pos="1170"/>
        </w:tabs>
        <w:ind w:left="360"/>
        <w:rPr>
          <w:szCs w:val="24"/>
          <w:lang w:val="en-US" w:eastAsia="en-US"/>
        </w:rPr>
      </w:pPr>
      <w:r w:rsidRPr="00BB418D">
        <w:rPr>
          <w:szCs w:val="24"/>
          <w:lang w:val="en-US" w:eastAsia="en-US"/>
        </w:rPr>
        <w:t>the proposed Medicare Benefits Schedule (MBS) item descriptor and fee for the service where fundin</w:t>
      </w:r>
      <w:r w:rsidR="00DE3663">
        <w:rPr>
          <w:szCs w:val="24"/>
          <w:lang w:val="en-US" w:eastAsia="en-US"/>
        </w:rPr>
        <w:t>g through the MBS is supported;</w:t>
      </w:r>
    </w:p>
    <w:p w:rsidR="00FA3CC0" w:rsidRPr="00BB418D" w:rsidRDefault="00FA3CC0" w:rsidP="00397C47">
      <w:pPr>
        <w:numPr>
          <w:ilvl w:val="0"/>
          <w:numId w:val="5"/>
        </w:numPr>
        <w:tabs>
          <w:tab w:val="clear" w:pos="1080"/>
          <w:tab w:val="num" w:pos="360"/>
          <w:tab w:val="left" w:pos="810"/>
          <w:tab w:val="left" w:pos="1170"/>
        </w:tabs>
        <w:ind w:left="360"/>
        <w:rPr>
          <w:szCs w:val="24"/>
          <w:lang w:val="en-US" w:eastAsia="en-US"/>
        </w:rPr>
      </w:pPr>
      <w:r w:rsidRPr="00BB418D">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w:t>
      </w:r>
      <w:r w:rsidR="00B40A4B" w:rsidRPr="00BB418D">
        <w:rPr>
          <w:szCs w:val="24"/>
          <w:lang w:val="en-US" w:eastAsia="en-US"/>
        </w:rPr>
        <w:t>riod;</w:t>
      </w:r>
    </w:p>
    <w:p w:rsidR="00FA3CC0" w:rsidRPr="00BB418D" w:rsidRDefault="00FA3CC0" w:rsidP="00397C47">
      <w:pPr>
        <w:numPr>
          <w:ilvl w:val="0"/>
          <w:numId w:val="5"/>
        </w:numPr>
        <w:tabs>
          <w:tab w:val="clear" w:pos="1080"/>
          <w:tab w:val="num" w:pos="360"/>
          <w:tab w:val="left" w:pos="810"/>
          <w:tab w:val="left" w:pos="1170"/>
        </w:tabs>
        <w:ind w:left="360"/>
        <w:rPr>
          <w:szCs w:val="24"/>
          <w:lang w:val="en-US" w:eastAsia="en-US"/>
        </w:rPr>
      </w:pPr>
      <w:proofErr w:type="gramStart"/>
      <w:r w:rsidRPr="00BB418D">
        <w:rPr>
          <w:szCs w:val="24"/>
          <w:lang w:val="en-US" w:eastAsia="en-US"/>
        </w:rPr>
        <w:t>other</w:t>
      </w:r>
      <w:proofErr w:type="gramEnd"/>
      <w:r w:rsidRPr="00BB418D">
        <w:rPr>
          <w:szCs w:val="24"/>
          <w:lang w:val="en-US" w:eastAsia="en-US"/>
        </w:rPr>
        <w:t xml:space="preserve"> matters related to the public funding of health services referred by the Minister.</w:t>
      </w:r>
    </w:p>
    <w:p w:rsidR="00397C47" w:rsidRDefault="00397C47" w:rsidP="00397C47">
      <w:pPr>
        <w:rPr>
          <w:szCs w:val="24"/>
          <w:lang w:val="en-US" w:eastAsia="en-US"/>
        </w:rPr>
      </w:pPr>
    </w:p>
    <w:p w:rsidR="00FA3CC0" w:rsidRPr="00BB418D" w:rsidRDefault="00FA3CC0" w:rsidP="00397C47">
      <w:pPr>
        <w:rPr>
          <w:szCs w:val="24"/>
          <w:lang w:val="en-US" w:eastAsia="en-US"/>
        </w:rPr>
      </w:pPr>
      <w:proofErr w:type="gramStart"/>
      <w:r w:rsidRPr="00BB418D">
        <w:rPr>
          <w:szCs w:val="24"/>
          <w:lang w:val="en-US" w:eastAsia="en-US"/>
        </w:rPr>
        <w:t>Advise</w:t>
      </w:r>
      <w:proofErr w:type="gramEnd"/>
      <w:r w:rsidRPr="00BB418D">
        <w:rPr>
          <w:szCs w:val="24"/>
          <w:lang w:val="en-US" w:eastAsia="en-US"/>
        </w:rPr>
        <w:t xml:space="preserve"> the Australian He</w:t>
      </w:r>
      <w:r w:rsidR="005134DF" w:rsidRPr="00BB418D">
        <w:rPr>
          <w:szCs w:val="24"/>
          <w:lang w:val="en-US" w:eastAsia="en-US"/>
        </w:rPr>
        <w:t>alth Minister</w:t>
      </w:r>
      <w:r w:rsidRPr="00BB418D">
        <w:rPr>
          <w:szCs w:val="24"/>
          <w:lang w:val="en-US" w:eastAsia="en-US"/>
        </w:rPr>
        <w:t>s</w:t>
      </w:r>
      <w:r w:rsidR="005134DF" w:rsidRPr="00BB418D">
        <w:rPr>
          <w:szCs w:val="24"/>
          <w:lang w:val="en-US" w:eastAsia="en-US"/>
        </w:rPr>
        <w:t>’</w:t>
      </w:r>
      <w:r w:rsidRPr="00BB418D">
        <w:rPr>
          <w:szCs w:val="24"/>
          <w:lang w:val="en-US" w:eastAsia="en-US"/>
        </w:rPr>
        <w:t xml:space="preserve"> Advisory Council (AHMAC) on health technology assessments referred under AHMAC arrangements. </w:t>
      </w:r>
    </w:p>
    <w:p w:rsidR="00397C47" w:rsidRDefault="00397C47" w:rsidP="00397C47">
      <w:pPr>
        <w:rPr>
          <w:szCs w:val="24"/>
          <w:lang w:val="en-US" w:eastAsia="en-US"/>
        </w:rPr>
      </w:pPr>
    </w:p>
    <w:p w:rsidR="00397C47" w:rsidRDefault="00FA3CC0" w:rsidP="00397C47">
      <w:pPr>
        <w:rPr>
          <w:szCs w:val="24"/>
          <w:lang w:val="en-US" w:eastAsia="en-US"/>
        </w:rPr>
      </w:pPr>
      <w:r w:rsidRPr="00BB418D">
        <w:rPr>
          <w:szCs w:val="24"/>
          <w:lang w:val="en-US" w:eastAsia="en-US"/>
        </w:rPr>
        <w:t xml:space="preserve">MSAC may also establish sub-committees to assist MSAC to effectively undertake its role. </w:t>
      </w:r>
    </w:p>
    <w:p w:rsidR="00FA3CC0" w:rsidRDefault="00FA3CC0" w:rsidP="00397C47">
      <w:pPr>
        <w:rPr>
          <w:szCs w:val="24"/>
          <w:lang w:val="en-US" w:eastAsia="en-US"/>
        </w:rPr>
      </w:pPr>
      <w:r w:rsidRPr="00BB418D">
        <w:rPr>
          <w:szCs w:val="24"/>
          <w:lang w:val="en-US" w:eastAsia="en-US"/>
        </w:rPr>
        <w:t xml:space="preserve">MSAC may delegate some of its functions to </w:t>
      </w:r>
      <w:r w:rsidR="003944CD" w:rsidRPr="00BB418D">
        <w:rPr>
          <w:szCs w:val="24"/>
          <w:lang w:val="en-US" w:eastAsia="en-US"/>
        </w:rPr>
        <w:t>its Executive</w:t>
      </w:r>
      <w:r w:rsidRPr="00BB418D">
        <w:rPr>
          <w:szCs w:val="24"/>
          <w:lang w:val="en-US" w:eastAsia="en-US"/>
        </w:rPr>
        <w:t xml:space="preserve"> sub-committee.</w:t>
      </w:r>
    </w:p>
    <w:p w:rsidR="00465E88" w:rsidRPr="00BB418D" w:rsidRDefault="00465E88" w:rsidP="00397C47">
      <w:pPr>
        <w:rPr>
          <w:szCs w:val="24"/>
          <w:lang w:val="en-US" w:eastAsia="en-US"/>
        </w:rPr>
      </w:pPr>
    </w:p>
    <w:p w:rsidR="00AF0F0E" w:rsidRPr="006A19C5" w:rsidRDefault="006A19C5" w:rsidP="00397C47">
      <w:pPr>
        <w:pStyle w:val="Heading1"/>
        <w:spacing w:before="0"/>
      </w:pPr>
      <w:r>
        <w:t>19.</w:t>
      </w:r>
      <w:r>
        <w:tab/>
      </w:r>
      <w:r w:rsidR="004C0814" w:rsidRPr="006A19C5">
        <w:t xml:space="preserve">Linkages to </w:t>
      </w:r>
      <w:r w:rsidR="00B40A4B" w:rsidRPr="006A19C5">
        <w:t>o</w:t>
      </w:r>
      <w:r w:rsidR="004C0814" w:rsidRPr="006A19C5">
        <w:t xml:space="preserve">ther </w:t>
      </w:r>
      <w:r w:rsidR="00B40A4B" w:rsidRPr="006A19C5">
        <w:t>d</w:t>
      </w:r>
      <w:r w:rsidR="004C0814" w:rsidRPr="006A19C5">
        <w:t>ocuments</w:t>
      </w:r>
    </w:p>
    <w:p w:rsidR="006F0F76" w:rsidRPr="00BB418D" w:rsidRDefault="004C0814" w:rsidP="00397C47">
      <w:pPr>
        <w:tabs>
          <w:tab w:val="left" w:pos="720"/>
        </w:tabs>
        <w:ind w:left="706" w:hanging="706"/>
        <w:rPr>
          <w:szCs w:val="24"/>
        </w:rPr>
      </w:pPr>
      <w:r w:rsidRPr="00BB418D">
        <w:rPr>
          <w:szCs w:val="24"/>
        </w:rPr>
        <w:t xml:space="preserve">MSAC’s processes are detailed on the MSAC Website at: </w:t>
      </w:r>
      <w:hyperlink r:id="rId11" w:tooltip="Medical services advisory committee website" w:history="1">
        <w:r w:rsidRPr="00BB418D">
          <w:rPr>
            <w:rStyle w:val="Hyperlink"/>
            <w:szCs w:val="24"/>
          </w:rPr>
          <w:t>www.msac.gov.au</w:t>
        </w:r>
      </w:hyperlink>
      <w:r w:rsidRPr="00BB418D">
        <w:rPr>
          <w:szCs w:val="24"/>
        </w:rPr>
        <w:t>.</w:t>
      </w:r>
    </w:p>
    <w:sectPr w:rsidR="006F0F76" w:rsidRPr="00BB418D" w:rsidSect="00A20A17">
      <w:footerReference w:type="even" r:id="rId12"/>
      <w:footerReference w:type="default" r:id="rId13"/>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43D" w:rsidRDefault="007B443D">
      <w:r>
        <w:separator/>
      </w:r>
    </w:p>
  </w:endnote>
  <w:endnote w:type="continuationSeparator" w:id="0">
    <w:p w:rsidR="007B443D" w:rsidRDefault="007B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F6" w:rsidRDefault="00205A85" w:rsidP="003A5CBC">
    <w:pPr>
      <w:pStyle w:val="Footer"/>
      <w:framePr w:wrap="around" w:vAnchor="text" w:hAnchor="margin" w:xAlign="right" w:y="1"/>
      <w:rPr>
        <w:rStyle w:val="PageNumber"/>
      </w:rPr>
    </w:pPr>
    <w:r>
      <w:rPr>
        <w:rStyle w:val="PageNumber"/>
      </w:rPr>
      <w:fldChar w:fldCharType="begin"/>
    </w:r>
    <w:r w:rsidR="000740F6">
      <w:rPr>
        <w:rStyle w:val="PageNumber"/>
      </w:rPr>
      <w:instrText xml:space="preserve">PAGE  </w:instrText>
    </w:r>
    <w:r>
      <w:rPr>
        <w:rStyle w:val="PageNumber"/>
      </w:rPr>
      <w:fldChar w:fldCharType="end"/>
    </w:r>
  </w:p>
  <w:p w:rsidR="000740F6" w:rsidRDefault="000740F6"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033092"/>
      <w:docPartObj>
        <w:docPartGallery w:val="Page Numbers (Bottom of Page)"/>
        <w:docPartUnique/>
      </w:docPartObj>
    </w:sdtPr>
    <w:sdtEndPr>
      <w:rPr>
        <w:noProof/>
      </w:rPr>
    </w:sdtEndPr>
    <w:sdtContent>
      <w:p w:rsidR="000740F6" w:rsidRDefault="00B21B54">
        <w:pPr>
          <w:pStyle w:val="Footer"/>
          <w:jc w:val="right"/>
        </w:pPr>
        <w:r>
          <w:fldChar w:fldCharType="begin"/>
        </w:r>
        <w:r>
          <w:instrText xml:space="preserve"> PAGE   \* MERGEFORMAT </w:instrText>
        </w:r>
        <w:r>
          <w:fldChar w:fldCharType="separate"/>
        </w:r>
        <w:r w:rsidR="00BD63FA">
          <w:rPr>
            <w:noProof/>
          </w:rPr>
          <w:t>14</w:t>
        </w:r>
        <w:r>
          <w:rPr>
            <w:noProof/>
          </w:rPr>
          <w:fldChar w:fldCharType="end"/>
        </w:r>
      </w:p>
    </w:sdtContent>
  </w:sdt>
  <w:p w:rsidR="000740F6" w:rsidRPr="00712AB3" w:rsidRDefault="000740F6" w:rsidP="00AE503E">
    <w:pPr>
      <w:pStyle w:val="Footer"/>
      <w:tabs>
        <w:tab w:val="clear" w:pos="8306"/>
        <w:tab w:val="right" w:pos="9000"/>
      </w:tabs>
      <w:ind w:right="566"/>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43D" w:rsidRDefault="007B443D">
      <w:r>
        <w:separator/>
      </w:r>
    </w:p>
  </w:footnote>
  <w:footnote w:type="continuationSeparator" w:id="0">
    <w:p w:rsidR="007B443D" w:rsidRDefault="007B4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48A"/>
    <w:multiLevelType w:val="hybridMultilevel"/>
    <w:tmpl w:val="BD1ECE2C"/>
    <w:lvl w:ilvl="0" w:tplc="2AD456BC">
      <w:start w:val="1"/>
      <w:numFmt w:val="decimal"/>
      <w:lvlText w:val="%1."/>
      <w:lvlJc w:val="left"/>
      <w:pPr>
        <w:tabs>
          <w:tab w:val="num" w:pos="720"/>
        </w:tabs>
        <w:ind w:left="720" w:hanging="360"/>
      </w:pPr>
      <w:rPr>
        <w:rFonts w:hint="default"/>
        <w:color w:val="auto"/>
        <w:sz w:val="22"/>
        <w:szCs w:val="22"/>
      </w:rPr>
    </w:lvl>
    <w:lvl w:ilvl="1" w:tplc="DBFA83DC">
      <w:start w:val="1"/>
      <w:numFmt w:val="bullet"/>
      <w:lvlText w:val=""/>
      <w:lvlJc w:val="left"/>
      <w:pPr>
        <w:ind w:left="1440" w:hanging="360"/>
      </w:pPr>
      <w:rPr>
        <w:rFonts w:ascii="Symbol" w:hAnsi="Symbol" w:hint="default"/>
        <w:color w:val="auto"/>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5E14DE"/>
    <w:multiLevelType w:val="hybridMultilevel"/>
    <w:tmpl w:val="5D146604"/>
    <w:lvl w:ilvl="0" w:tplc="0C090001">
      <w:start w:val="1"/>
      <w:numFmt w:val="bullet"/>
      <w:lvlText w:val=""/>
      <w:lvlJc w:val="left"/>
      <w:pPr>
        <w:ind w:left="720" w:hanging="360"/>
      </w:pPr>
      <w:rPr>
        <w:rFonts w:ascii="Symbol" w:hAnsi="Symbol" w:hint="default"/>
      </w:rPr>
    </w:lvl>
    <w:lvl w:ilvl="1" w:tplc="DBFA83DC">
      <w:start w:val="1"/>
      <w:numFmt w:val="bullet"/>
      <w:lvlText w:val=""/>
      <w:lvlJc w:val="left"/>
      <w:pPr>
        <w:ind w:left="1440" w:hanging="360"/>
      </w:pPr>
      <w:rPr>
        <w:rFonts w:ascii="Symbol" w:hAnsi="Symbol" w:hint="default"/>
        <w:color w:val="auto"/>
        <w:sz w:val="22"/>
        <w:szCs w:val="22"/>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315331"/>
    <w:multiLevelType w:val="hybridMultilevel"/>
    <w:tmpl w:val="B192A15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AEC40446">
      <w:start w:val="1"/>
      <w:numFmt w:val="decimal"/>
      <w:lvlText w:val="%5)"/>
      <w:lvlJc w:val="left"/>
      <w:pPr>
        <w:ind w:left="3600" w:hanging="360"/>
      </w:pPr>
      <w:rPr>
        <w:rFont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2C2701"/>
    <w:multiLevelType w:val="hybridMultilevel"/>
    <w:tmpl w:val="F056A0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63787F"/>
    <w:multiLevelType w:val="hybridMultilevel"/>
    <w:tmpl w:val="BB066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C6354B"/>
    <w:multiLevelType w:val="hybridMultilevel"/>
    <w:tmpl w:val="90F44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405188"/>
    <w:multiLevelType w:val="hybridMultilevel"/>
    <w:tmpl w:val="121E8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szCs w:val="22"/>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DBFA83DC">
      <w:start w:val="1"/>
      <w:numFmt w:val="bullet"/>
      <w:lvlText w:val=""/>
      <w:lvlJc w:val="left"/>
      <w:pPr>
        <w:tabs>
          <w:tab w:val="num" w:pos="360"/>
        </w:tabs>
        <w:ind w:left="360" w:hanging="360"/>
      </w:pPr>
      <w:rPr>
        <w:rFonts w:ascii="Symbol" w:hAnsi="Symbol" w:hint="default"/>
        <w:color w:val="auto"/>
        <w:sz w:val="22"/>
        <w:szCs w:val="22"/>
      </w:rPr>
    </w:lvl>
    <w:lvl w:ilvl="3" w:tplc="DBFA83DC">
      <w:start w:val="1"/>
      <w:numFmt w:val="bullet"/>
      <w:lvlText w:val=""/>
      <w:lvlJc w:val="left"/>
      <w:pPr>
        <w:tabs>
          <w:tab w:val="num" w:pos="360"/>
        </w:tabs>
        <w:ind w:left="360" w:hanging="360"/>
      </w:pPr>
      <w:rPr>
        <w:rFonts w:ascii="Symbol" w:hAnsi="Symbol" w:hint="default"/>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0A85B3D"/>
    <w:multiLevelType w:val="hybridMultilevel"/>
    <w:tmpl w:val="01881750"/>
    <w:lvl w:ilvl="0" w:tplc="2AD456BC">
      <w:start w:val="1"/>
      <w:numFmt w:val="decimal"/>
      <w:lvlText w:val="%1."/>
      <w:lvlJc w:val="left"/>
      <w:pPr>
        <w:tabs>
          <w:tab w:val="num" w:pos="720"/>
        </w:tabs>
        <w:ind w:left="720" w:hanging="360"/>
      </w:pPr>
      <w:rPr>
        <w:rFonts w:hint="default"/>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8071BF1"/>
    <w:multiLevelType w:val="hybridMultilevel"/>
    <w:tmpl w:val="5F0EF5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73219FB"/>
    <w:multiLevelType w:val="hybridMultilevel"/>
    <w:tmpl w:val="98C4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91D2B4E"/>
    <w:multiLevelType w:val="hybridMultilevel"/>
    <w:tmpl w:val="AD20561A"/>
    <w:lvl w:ilvl="0" w:tplc="0C090001">
      <w:start w:val="1"/>
      <w:numFmt w:val="bullet"/>
      <w:lvlText w:val=""/>
      <w:lvlJc w:val="left"/>
      <w:pPr>
        <w:ind w:left="720" w:hanging="360"/>
      </w:pPr>
      <w:rPr>
        <w:rFonts w:ascii="Symbol" w:hAnsi="Symbol" w:hint="default"/>
      </w:rPr>
    </w:lvl>
    <w:lvl w:ilvl="1" w:tplc="6368231C">
      <w:start w:val="1"/>
      <w:numFmt w:val="lowerRoman"/>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AEC40446">
      <w:start w:val="1"/>
      <w:numFmt w:val="decimal"/>
      <w:lvlText w:val="%5)"/>
      <w:lvlJc w:val="left"/>
      <w:pPr>
        <w:ind w:left="3600" w:hanging="360"/>
      </w:pPr>
      <w:rPr>
        <w:rFont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12"/>
  </w:num>
  <w:num w:numId="5">
    <w:abstractNumId w:val="16"/>
  </w:num>
  <w:num w:numId="6">
    <w:abstractNumId w:val="9"/>
  </w:num>
  <w:num w:numId="7">
    <w:abstractNumId w:val="10"/>
  </w:num>
  <w:num w:numId="8">
    <w:abstractNumId w:val="15"/>
  </w:num>
  <w:num w:numId="9">
    <w:abstractNumId w:val="5"/>
  </w:num>
  <w:num w:numId="10">
    <w:abstractNumId w:val="18"/>
  </w:num>
  <w:num w:numId="11">
    <w:abstractNumId w:val="1"/>
  </w:num>
  <w:num w:numId="12">
    <w:abstractNumId w:val="14"/>
  </w:num>
  <w:num w:numId="13">
    <w:abstractNumId w:val="13"/>
  </w:num>
  <w:num w:numId="14">
    <w:abstractNumId w:val="0"/>
  </w:num>
  <w:num w:numId="15">
    <w:abstractNumId w:val="8"/>
  </w:num>
  <w:num w:numId="16">
    <w:abstractNumId w:val="2"/>
  </w:num>
  <w:num w:numId="17">
    <w:abstractNumId w:val="3"/>
  </w:num>
  <w:num w:numId="18">
    <w:abstractNumId w:val="17"/>
  </w:num>
  <w:num w:numId="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C90"/>
    <w:rsid w:val="0000291D"/>
    <w:rsid w:val="000061E8"/>
    <w:rsid w:val="0000778E"/>
    <w:rsid w:val="00007A49"/>
    <w:rsid w:val="00017F63"/>
    <w:rsid w:val="000261E5"/>
    <w:rsid w:val="00027086"/>
    <w:rsid w:val="00034C3A"/>
    <w:rsid w:val="00035317"/>
    <w:rsid w:val="00043F4A"/>
    <w:rsid w:val="00052A77"/>
    <w:rsid w:val="0006068A"/>
    <w:rsid w:val="00060966"/>
    <w:rsid w:val="0006325C"/>
    <w:rsid w:val="000669EA"/>
    <w:rsid w:val="000740F6"/>
    <w:rsid w:val="00084B0A"/>
    <w:rsid w:val="00094129"/>
    <w:rsid w:val="0009458B"/>
    <w:rsid w:val="0009546B"/>
    <w:rsid w:val="000B0748"/>
    <w:rsid w:val="000B24EA"/>
    <w:rsid w:val="000C7402"/>
    <w:rsid w:val="000D0603"/>
    <w:rsid w:val="000D3DCB"/>
    <w:rsid w:val="000E6C30"/>
    <w:rsid w:val="000F2579"/>
    <w:rsid w:val="000F6455"/>
    <w:rsid w:val="00103212"/>
    <w:rsid w:val="00105349"/>
    <w:rsid w:val="001055A9"/>
    <w:rsid w:val="0011558F"/>
    <w:rsid w:val="001206C8"/>
    <w:rsid w:val="001213EF"/>
    <w:rsid w:val="0012732A"/>
    <w:rsid w:val="00133D8B"/>
    <w:rsid w:val="00133E99"/>
    <w:rsid w:val="00137A82"/>
    <w:rsid w:val="001403EB"/>
    <w:rsid w:val="00143F8F"/>
    <w:rsid w:val="0015006C"/>
    <w:rsid w:val="001609DA"/>
    <w:rsid w:val="001616F0"/>
    <w:rsid w:val="0016184B"/>
    <w:rsid w:val="001630F5"/>
    <w:rsid w:val="0016524E"/>
    <w:rsid w:val="001654ED"/>
    <w:rsid w:val="0017654F"/>
    <w:rsid w:val="00177E25"/>
    <w:rsid w:val="00181612"/>
    <w:rsid w:val="00182D88"/>
    <w:rsid w:val="0018639D"/>
    <w:rsid w:val="0018656C"/>
    <w:rsid w:val="00190459"/>
    <w:rsid w:val="001918E6"/>
    <w:rsid w:val="001925B2"/>
    <w:rsid w:val="001A4732"/>
    <w:rsid w:val="001A7DC7"/>
    <w:rsid w:val="001B0E51"/>
    <w:rsid w:val="001B4017"/>
    <w:rsid w:val="001C2532"/>
    <w:rsid w:val="001C5E73"/>
    <w:rsid w:val="001E2C40"/>
    <w:rsid w:val="001E67A4"/>
    <w:rsid w:val="001F6220"/>
    <w:rsid w:val="00201963"/>
    <w:rsid w:val="0020527E"/>
    <w:rsid w:val="00205A85"/>
    <w:rsid w:val="00211BF0"/>
    <w:rsid w:val="00212FB3"/>
    <w:rsid w:val="00213C76"/>
    <w:rsid w:val="00215DE0"/>
    <w:rsid w:val="00220070"/>
    <w:rsid w:val="002215F4"/>
    <w:rsid w:val="002216CC"/>
    <w:rsid w:val="002303BF"/>
    <w:rsid w:val="002318CC"/>
    <w:rsid w:val="00246D64"/>
    <w:rsid w:val="00260379"/>
    <w:rsid w:val="00266C75"/>
    <w:rsid w:val="00270369"/>
    <w:rsid w:val="00273D4E"/>
    <w:rsid w:val="00282BE5"/>
    <w:rsid w:val="002832E3"/>
    <w:rsid w:val="00285AE8"/>
    <w:rsid w:val="0028729B"/>
    <w:rsid w:val="002876B8"/>
    <w:rsid w:val="002879D6"/>
    <w:rsid w:val="002B09F4"/>
    <w:rsid w:val="002B4CE2"/>
    <w:rsid w:val="002C329C"/>
    <w:rsid w:val="002C4953"/>
    <w:rsid w:val="002C5AC5"/>
    <w:rsid w:val="002D5FD2"/>
    <w:rsid w:val="002F0124"/>
    <w:rsid w:val="002F289C"/>
    <w:rsid w:val="002F3450"/>
    <w:rsid w:val="002F485C"/>
    <w:rsid w:val="0030582B"/>
    <w:rsid w:val="003062CB"/>
    <w:rsid w:val="00317D0E"/>
    <w:rsid w:val="00317E70"/>
    <w:rsid w:val="0032021B"/>
    <w:rsid w:val="00321B82"/>
    <w:rsid w:val="00322DDB"/>
    <w:rsid w:val="00323C78"/>
    <w:rsid w:val="00325FB2"/>
    <w:rsid w:val="0033148F"/>
    <w:rsid w:val="0033175F"/>
    <w:rsid w:val="0033624E"/>
    <w:rsid w:val="003427A8"/>
    <w:rsid w:val="003475F6"/>
    <w:rsid w:val="003568CA"/>
    <w:rsid w:val="00357DA4"/>
    <w:rsid w:val="00360424"/>
    <w:rsid w:val="00361D4E"/>
    <w:rsid w:val="00375668"/>
    <w:rsid w:val="00375E26"/>
    <w:rsid w:val="00376138"/>
    <w:rsid w:val="003814A2"/>
    <w:rsid w:val="0039128A"/>
    <w:rsid w:val="003914CB"/>
    <w:rsid w:val="00391C38"/>
    <w:rsid w:val="00392AD4"/>
    <w:rsid w:val="003944CD"/>
    <w:rsid w:val="00396FC8"/>
    <w:rsid w:val="00397C47"/>
    <w:rsid w:val="003A4C08"/>
    <w:rsid w:val="003A5CBC"/>
    <w:rsid w:val="003A6C3A"/>
    <w:rsid w:val="003A6F1E"/>
    <w:rsid w:val="003B1F82"/>
    <w:rsid w:val="003B208B"/>
    <w:rsid w:val="003B4B04"/>
    <w:rsid w:val="003B4FF5"/>
    <w:rsid w:val="003C2BE1"/>
    <w:rsid w:val="003C3A6F"/>
    <w:rsid w:val="003C4EEC"/>
    <w:rsid w:val="003D0F7D"/>
    <w:rsid w:val="003D2D5B"/>
    <w:rsid w:val="003E2B1F"/>
    <w:rsid w:val="003E74BC"/>
    <w:rsid w:val="00402A9A"/>
    <w:rsid w:val="00405950"/>
    <w:rsid w:val="00413CB6"/>
    <w:rsid w:val="00422B7E"/>
    <w:rsid w:val="00424A62"/>
    <w:rsid w:val="00426F5C"/>
    <w:rsid w:val="004278DE"/>
    <w:rsid w:val="00430E83"/>
    <w:rsid w:val="00440357"/>
    <w:rsid w:val="00440B40"/>
    <w:rsid w:val="004410E3"/>
    <w:rsid w:val="004418EA"/>
    <w:rsid w:val="0044768C"/>
    <w:rsid w:val="00452A25"/>
    <w:rsid w:val="00455070"/>
    <w:rsid w:val="004625C3"/>
    <w:rsid w:val="00463420"/>
    <w:rsid w:val="00465E88"/>
    <w:rsid w:val="00476451"/>
    <w:rsid w:val="00485642"/>
    <w:rsid w:val="004A094A"/>
    <w:rsid w:val="004A1221"/>
    <w:rsid w:val="004A158D"/>
    <w:rsid w:val="004A2806"/>
    <w:rsid w:val="004A3FE1"/>
    <w:rsid w:val="004A772F"/>
    <w:rsid w:val="004B4C24"/>
    <w:rsid w:val="004B7FC2"/>
    <w:rsid w:val="004C0814"/>
    <w:rsid w:val="004C0DCE"/>
    <w:rsid w:val="004C4926"/>
    <w:rsid w:val="004C6285"/>
    <w:rsid w:val="004C7DCC"/>
    <w:rsid w:val="004E2CF8"/>
    <w:rsid w:val="004E31A3"/>
    <w:rsid w:val="004E6F63"/>
    <w:rsid w:val="004F2208"/>
    <w:rsid w:val="004F286E"/>
    <w:rsid w:val="004F526E"/>
    <w:rsid w:val="004F5CA8"/>
    <w:rsid w:val="00502428"/>
    <w:rsid w:val="00504C9D"/>
    <w:rsid w:val="00504FB9"/>
    <w:rsid w:val="0050769D"/>
    <w:rsid w:val="0051150B"/>
    <w:rsid w:val="00512794"/>
    <w:rsid w:val="005134DF"/>
    <w:rsid w:val="00513B60"/>
    <w:rsid w:val="00524632"/>
    <w:rsid w:val="0052477F"/>
    <w:rsid w:val="005254CF"/>
    <w:rsid w:val="00527479"/>
    <w:rsid w:val="00527862"/>
    <w:rsid w:val="0052790F"/>
    <w:rsid w:val="00530EFC"/>
    <w:rsid w:val="00536E93"/>
    <w:rsid w:val="00540975"/>
    <w:rsid w:val="00542887"/>
    <w:rsid w:val="005440ED"/>
    <w:rsid w:val="0055118D"/>
    <w:rsid w:val="005547F9"/>
    <w:rsid w:val="00556B74"/>
    <w:rsid w:val="00565BFB"/>
    <w:rsid w:val="00580346"/>
    <w:rsid w:val="00582E87"/>
    <w:rsid w:val="005865A8"/>
    <w:rsid w:val="0058665D"/>
    <w:rsid w:val="00597298"/>
    <w:rsid w:val="005A1883"/>
    <w:rsid w:val="005B5762"/>
    <w:rsid w:val="005C5513"/>
    <w:rsid w:val="005D52A1"/>
    <w:rsid w:val="005D5564"/>
    <w:rsid w:val="005E1853"/>
    <w:rsid w:val="005F1591"/>
    <w:rsid w:val="005F3F55"/>
    <w:rsid w:val="005F4A60"/>
    <w:rsid w:val="00601648"/>
    <w:rsid w:val="00602287"/>
    <w:rsid w:val="00610609"/>
    <w:rsid w:val="006109A5"/>
    <w:rsid w:val="006132E9"/>
    <w:rsid w:val="00614A1C"/>
    <w:rsid w:val="006156C1"/>
    <w:rsid w:val="0062054F"/>
    <w:rsid w:val="0062170D"/>
    <w:rsid w:val="006261EB"/>
    <w:rsid w:val="006309BE"/>
    <w:rsid w:val="00632482"/>
    <w:rsid w:val="00636C21"/>
    <w:rsid w:val="00643575"/>
    <w:rsid w:val="00647464"/>
    <w:rsid w:val="00651B20"/>
    <w:rsid w:val="0065444D"/>
    <w:rsid w:val="00655867"/>
    <w:rsid w:val="006601D4"/>
    <w:rsid w:val="00674590"/>
    <w:rsid w:val="00685063"/>
    <w:rsid w:val="00692619"/>
    <w:rsid w:val="006956E3"/>
    <w:rsid w:val="006966E6"/>
    <w:rsid w:val="00696C68"/>
    <w:rsid w:val="006A19C5"/>
    <w:rsid w:val="006A1D88"/>
    <w:rsid w:val="006A6F67"/>
    <w:rsid w:val="006A751A"/>
    <w:rsid w:val="006B62D1"/>
    <w:rsid w:val="006C0612"/>
    <w:rsid w:val="006C4314"/>
    <w:rsid w:val="006C7D02"/>
    <w:rsid w:val="006D092E"/>
    <w:rsid w:val="006D0A45"/>
    <w:rsid w:val="006D596A"/>
    <w:rsid w:val="006E2A24"/>
    <w:rsid w:val="006E3D8B"/>
    <w:rsid w:val="006F0F76"/>
    <w:rsid w:val="006F671D"/>
    <w:rsid w:val="00700761"/>
    <w:rsid w:val="00700ABA"/>
    <w:rsid w:val="00710028"/>
    <w:rsid w:val="00711324"/>
    <w:rsid w:val="00712AB3"/>
    <w:rsid w:val="00724BFA"/>
    <w:rsid w:val="00730735"/>
    <w:rsid w:val="00733A84"/>
    <w:rsid w:val="00735264"/>
    <w:rsid w:val="007363C5"/>
    <w:rsid w:val="00737172"/>
    <w:rsid w:val="00747134"/>
    <w:rsid w:val="007503F6"/>
    <w:rsid w:val="007532F9"/>
    <w:rsid w:val="007567F5"/>
    <w:rsid w:val="00774218"/>
    <w:rsid w:val="007775EE"/>
    <w:rsid w:val="00782782"/>
    <w:rsid w:val="007839DA"/>
    <w:rsid w:val="00784711"/>
    <w:rsid w:val="00784E7A"/>
    <w:rsid w:val="00786F37"/>
    <w:rsid w:val="00791153"/>
    <w:rsid w:val="0079412A"/>
    <w:rsid w:val="007A14CC"/>
    <w:rsid w:val="007A4CDC"/>
    <w:rsid w:val="007B443D"/>
    <w:rsid w:val="007B47D4"/>
    <w:rsid w:val="007C7B43"/>
    <w:rsid w:val="007D21A1"/>
    <w:rsid w:val="007D2BC8"/>
    <w:rsid w:val="007D4080"/>
    <w:rsid w:val="007D5336"/>
    <w:rsid w:val="007E041E"/>
    <w:rsid w:val="007E046E"/>
    <w:rsid w:val="007F1D42"/>
    <w:rsid w:val="007F47D7"/>
    <w:rsid w:val="007F6884"/>
    <w:rsid w:val="007F7956"/>
    <w:rsid w:val="00801396"/>
    <w:rsid w:val="008013CB"/>
    <w:rsid w:val="00804798"/>
    <w:rsid w:val="00810926"/>
    <w:rsid w:val="00817CE6"/>
    <w:rsid w:val="00823261"/>
    <w:rsid w:val="00825F8A"/>
    <w:rsid w:val="00832BD3"/>
    <w:rsid w:val="00837157"/>
    <w:rsid w:val="00837196"/>
    <w:rsid w:val="00851687"/>
    <w:rsid w:val="00852D13"/>
    <w:rsid w:val="00865C26"/>
    <w:rsid w:val="008773C9"/>
    <w:rsid w:val="008775D3"/>
    <w:rsid w:val="00877FE3"/>
    <w:rsid w:val="0088330C"/>
    <w:rsid w:val="00885600"/>
    <w:rsid w:val="008925DA"/>
    <w:rsid w:val="00892A87"/>
    <w:rsid w:val="008A22AD"/>
    <w:rsid w:val="008A62BC"/>
    <w:rsid w:val="008B1F0D"/>
    <w:rsid w:val="008C5A13"/>
    <w:rsid w:val="008C66BE"/>
    <w:rsid w:val="008D4282"/>
    <w:rsid w:val="008E0406"/>
    <w:rsid w:val="008E14BC"/>
    <w:rsid w:val="008E4BE6"/>
    <w:rsid w:val="008E6C3B"/>
    <w:rsid w:val="008F38C7"/>
    <w:rsid w:val="008F716B"/>
    <w:rsid w:val="009060E4"/>
    <w:rsid w:val="009109B9"/>
    <w:rsid w:val="00913665"/>
    <w:rsid w:val="009140DF"/>
    <w:rsid w:val="00937076"/>
    <w:rsid w:val="0095175A"/>
    <w:rsid w:val="00955306"/>
    <w:rsid w:val="00960C94"/>
    <w:rsid w:val="009637F2"/>
    <w:rsid w:val="0096547C"/>
    <w:rsid w:val="00966C8B"/>
    <w:rsid w:val="00967A4D"/>
    <w:rsid w:val="00981F60"/>
    <w:rsid w:val="00984189"/>
    <w:rsid w:val="0099105C"/>
    <w:rsid w:val="00992CFF"/>
    <w:rsid w:val="00994BBC"/>
    <w:rsid w:val="009A0DFE"/>
    <w:rsid w:val="009B1648"/>
    <w:rsid w:val="009B683B"/>
    <w:rsid w:val="009C32BA"/>
    <w:rsid w:val="009C5963"/>
    <w:rsid w:val="009D09F3"/>
    <w:rsid w:val="009D33C4"/>
    <w:rsid w:val="009E0DF2"/>
    <w:rsid w:val="009E3D82"/>
    <w:rsid w:val="009E4606"/>
    <w:rsid w:val="009F47B9"/>
    <w:rsid w:val="009F5075"/>
    <w:rsid w:val="009F5952"/>
    <w:rsid w:val="00A105E3"/>
    <w:rsid w:val="00A10960"/>
    <w:rsid w:val="00A11228"/>
    <w:rsid w:val="00A112D1"/>
    <w:rsid w:val="00A17680"/>
    <w:rsid w:val="00A20A17"/>
    <w:rsid w:val="00A21FA6"/>
    <w:rsid w:val="00A23360"/>
    <w:rsid w:val="00A24ED3"/>
    <w:rsid w:val="00A34BD3"/>
    <w:rsid w:val="00A45528"/>
    <w:rsid w:val="00A46F4B"/>
    <w:rsid w:val="00A54F85"/>
    <w:rsid w:val="00A5548A"/>
    <w:rsid w:val="00A569E2"/>
    <w:rsid w:val="00A722E8"/>
    <w:rsid w:val="00A72451"/>
    <w:rsid w:val="00A77860"/>
    <w:rsid w:val="00A8632A"/>
    <w:rsid w:val="00A86E44"/>
    <w:rsid w:val="00A904BF"/>
    <w:rsid w:val="00A9189B"/>
    <w:rsid w:val="00A931DE"/>
    <w:rsid w:val="00AA30A8"/>
    <w:rsid w:val="00AA71D6"/>
    <w:rsid w:val="00AB7826"/>
    <w:rsid w:val="00AC01FF"/>
    <w:rsid w:val="00AC34DE"/>
    <w:rsid w:val="00AD00A8"/>
    <w:rsid w:val="00AD4063"/>
    <w:rsid w:val="00AE503E"/>
    <w:rsid w:val="00AF0A4C"/>
    <w:rsid w:val="00AF0F0E"/>
    <w:rsid w:val="00AF3808"/>
    <w:rsid w:val="00AF5337"/>
    <w:rsid w:val="00B006E6"/>
    <w:rsid w:val="00B1057B"/>
    <w:rsid w:val="00B12CF3"/>
    <w:rsid w:val="00B149C6"/>
    <w:rsid w:val="00B1606F"/>
    <w:rsid w:val="00B16BE7"/>
    <w:rsid w:val="00B21B54"/>
    <w:rsid w:val="00B22DA5"/>
    <w:rsid w:val="00B30021"/>
    <w:rsid w:val="00B33308"/>
    <w:rsid w:val="00B40725"/>
    <w:rsid w:val="00B40A4B"/>
    <w:rsid w:val="00B7306D"/>
    <w:rsid w:val="00B87A9B"/>
    <w:rsid w:val="00B94B8B"/>
    <w:rsid w:val="00BA0568"/>
    <w:rsid w:val="00BB418D"/>
    <w:rsid w:val="00BB4BAD"/>
    <w:rsid w:val="00BB5E41"/>
    <w:rsid w:val="00BB62F3"/>
    <w:rsid w:val="00BC0801"/>
    <w:rsid w:val="00BD5FC6"/>
    <w:rsid w:val="00BD63FA"/>
    <w:rsid w:val="00BE0593"/>
    <w:rsid w:val="00BE09FF"/>
    <w:rsid w:val="00BE2727"/>
    <w:rsid w:val="00BE4593"/>
    <w:rsid w:val="00BE7C25"/>
    <w:rsid w:val="00BF4FA1"/>
    <w:rsid w:val="00BF6398"/>
    <w:rsid w:val="00C00CA4"/>
    <w:rsid w:val="00C11F69"/>
    <w:rsid w:val="00C221B7"/>
    <w:rsid w:val="00C41346"/>
    <w:rsid w:val="00C51F91"/>
    <w:rsid w:val="00C54F23"/>
    <w:rsid w:val="00C57C45"/>
    <w:rsid w:val="00C627A8"/>
    <w:rsid w:val="00C627C1"/>
    <w:rsid w:val="00C7572B"/>
    <w:rsid w:val="00C80CC7"/>
    <w:rsid w:val="00C82595"/>
    <w:rsid w:val="00C82BE2"/>
    <w:rsid w:val="00C83FA9"/>
    <w:rsid w:val="00C878DA"/>
    <w:rsid w:val="00C92DE2"/>
    <w:rsid w:val="00C93A35"/>
    <w:rsid w:val="00C94311"/>
    <w:rsid w:val="00C957DB"/>
    <w:rsid w:val="00CA2445"/>
    <w:rsid w:val="00CA66DC"/>
    <w:rsid w:val="00CA7588"/>
    <w:rsid w:val="00CB666E"/>
    <w:rsid w:val="00CD203C"/>
    <w:rsid w:val="00CE0914"/>
    <w:rsid w:val="00CE1D7F"/>
    <w:rsid w:val="00D003A5"/>
    <w:rsid w:val="00D00C2F"/>
    <w:rsid w:val="00D01239"/>
    <w:rsid w:val="00D03BC1"/>
    <w:rsid w:val="00D0483F"/>
    <w:rsid w:val="00D13814"/>
    <w:rsid w:val="00D16916"/>
    <w:rsid w:val="00D231CE"/>
    <w:rsid w:val="00D252A7"/>
    <w:rsid w:val="00D32311"/>
    <w:rsid w:val="00D36031"/>
    <w:rsid w:val="00D37E55"/>
    <w:rsid w:val="00D4627E"/>
    <w:rsid w:val="00D53018"/>
    <w:rsid w:val="00D537D5"/>
    <w:rsid w:val="00D55FFF"/>
    <w:rsid w:val="00D56FC5"/>
    <w:rsid w:val="00D574D1"/>
    <w:rsid w:val="00D6007D"/>
    <w:rsid w:val="00D61DF6"/>
    <w:rsid w:val="00D66F58"/>
    <w:rsid w:val="00D739B0"/>
    <w:rsid w:val="00D80CC7"/>
    <w:rsid w:val="00D84C76"/>
    <w:rsid w:val="00D87E90"/>
    <w:rsid w:val="00D9229A"/>
    <w:rsid w:val="00D92AD4"/>
    <w:rsid w:val="00D974A7"/>
    <w:rsid w:val="00DA50A4"/>
    <w:rsid w:val="00DB140F"/>
    <w:rsid w:val="00DB42E0"/>
    <w:rsid w:val="00DB6645"/>
    <w:rsid w:val="00DD3ADA"/>
    <w:rsid w:val="00DE11C4"/>
    <w:rsid w:val="00DE3663"/>
    <w:rsid w:val="00DE5644"/>
    <w:rsid w:val="00DF4B27"/>
    <w:rsid w:val="00E00AF8"/>
    <w:rsid w:val="00E03414"/>
    <w:rsid w:val="00E127BC"/>
    <w:rsid w:val="00E2038B"/>
    <w:rsid w:val="00E22626"/>
    <w:rsid w:val="00E5044D"/>
    <w:rsid w:val="00E53837"/>
    <w:rsid w:val="00E62708"/>
    <w:rsid w:val="00E62EB0"/>
    <w:rsid w:val="00E67C5A"/>
    <w:rsid w:val="00E7089A"/>
    <w:rsid w:val="00E7419C"/>
    <w:rsid w:val="00E8253A"/>
    <w:rsid w:val="00E840A2"/>
    <w:rsid w:val="00E857D4"/>
    <w:rsid w:val="00E86E50"/>
    <w:rsid w:val="00E86EA2"/>
    <w:rsid w:val="00EA6E5B"/>
    <w:rsid w:val="00EB08CC"/>
    <w:rsid w:val="00EC2287"/>
    <w:rsid w:val="00EC6858"/>
    <w:rsid w:val="00ED3635"/>
    <w:rsid w:val="00ED4F3D"/>
    <w:rsid w:val="00EE238A"/>
    <w:rsid w:val="00EE26B4"/>
    <w:rsid w:val="00EE6575"/>
    <w:rsid w:val="00EF4E85"/>
    <w:rsid w:val="00F0335F"/>
    <w:rsid w:val="00F0752C"/>
    <w:rsid w:val="00F1562F"/>
    <w:rsid w:val="00F21FAE"/>
    <w:rsid w:val="00F2488C"/>
    <w:rsid w:val="00F262D0"/>
    <w:rsid w:val="00F5279A"/>
    <w:rsid w:val="00F562B7"/>
    <w:rsid w:val="00F6145E"/>
    <w:rsid w:val="00F64553"/>
    <w:rsid w:val="00F649EC"/>
    <w:rsid w:val="00F77178"/>
    <w:rsid w:val="00F8684C"/>
    <w:rsid w:val="00F86A5F"/>
    <w:rsid w:val="00F9546C"/>
    <w:rsid w:val="00FA3CC0"/>
    <w:rsid w:val="00FB7E6D"/>
    <w:rsid w:val="00FD36AD"/>
    <w:rsid w:val="00FE4F81"/>
    <w:rsid w:val="00FE54C2"/>
    <w:rsid w:val="00FF05D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link w:val="FooterChar"/>
    <w:uiPriority w:val="99"/>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link w:val="HeaderChar"/>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527862"/>
    <w:pPr>
      <w:tabs>
        <w:tab w:val="left" w:pos="4320"/>
      </w:tabs>
      <w:spacing w:before="120"/>
      <w:jc w:val="center"/>
    </w:pPr>
    <w:rPr>
      <w:rFonts w:ascii="Arial" w:hAnsi="Arial" w:cs="Arial"/>
      <w:b/>
      <w:i/>
      <w:color w:val="000099"/>
      <w:sz w:val="28"/>
      <w:szCs w:val="28"/>
    </w:rPr>
  </w:style>
  <w:style w:type="character" w:customStyle="1" w:styleId="TitleChar">
    <w:name w:val="Title Char"/>
    <w:basedOn w:val="DefaultParagraphFont"/>
    <w:link w:val="Title"/>
    <w:rsid w:val="00527862"/>
    <w:rPr>
      <w:rFonts w:ascii="Arial" w:hAnsi="Arial" w:cs="Arial"/>
      <w:b/>
      <w:i/>
      <w:color w:val="000099"/>
      <w:sz w:val="28"/>
      <w:szCs w:val="28"/>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table" w:styleId="TableGrid">
    <w:name w:val="Table Grid"/>
    <w:aliases w:val="Summary box"/>
    <w:basedOn w:val="TableNormal"/>
    <w:rsid w:val="002C3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Table caption,Caption Char Char1"/>
    <w:basedOn w:val="Normal"/>
    <w:next w:val="Normal"/>
    <w:link w:val="CaptionChar"/>
    <w:qFormat/>
    <w:rsid w:val="002C329C"/>
    <w:pPr>
      <w:tabs>
        <w:tab w:val="left" w:pos="2835"/>
      </w:tabs>
      <w:spacing w:after="120"/>
      <w:ind w:left="1701" w:hanging="1701"/>
    </w:pPr>
    <w:rPr>
      <w:i/>
      <w:lang w:val="en-GB" w:eastAsia="ja-JP"/>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locked/>
    <w:rsid w:val="002C329C"/>
    <w:rPr>
      <w:i/>
      <w:sz w:val="24"/>
      <w:lang w:val="en-GB" w:eastAsia="ja-JP"/>
    </w:rPr>
  </w:style>
  <w:style w:type="paragraph" w:styleId="BodyText">
    <w:name w:val="Body Text"/>
    <w:link w:val="BodyTextChar"/>
    <w:qFormat/>
    <w:rsid w:val="002C329C"/>
    <w:pPr>
      <w:spacing w:after="360" w:line="360" w:lineRule="auto"/>
    </w:pPr>
    <w:rPr>
      <w:rFonts w:ascii="Arial" w:hAnsi="Arial"/>
      <w:sz w:val="22"/>
      <w:szCs w:val="24"/>
      <w:lang w:eastAsia="en-US"/>
    </w:rPr>
  </w:style>
  <w:style w:type="character" w:customStyle="1" w:styleId="BodyTextChar">
    <w:name w:val="Body Text Char"/>
    <w:basedOn w:val="DefaultParagraphFont"/>
    <w:link w:val="BodyText"/>
    <w:rsid w:val="002C329C"/>
    <w:rPr>
      <w:rFonts w:ascii="Arial" w:hAnsi="Arial"/>
      <w:sz w:val="22"/>
      <w:szCs w:val="24"/>
      <w:lang w:eastAsia="en-US"/>
    </w:rPr>
  </w:style>
  <w:style w:type="table" w:customStyle="1" w:styleId="Summarybox2">
    <w:name w:val="Summary box2"/>
    <w:basedOn w:val="TableNormal"/>
    <w:next w:val="TableGrid"/>
    <w:uiPriority w:val="59"/>
    <w:rsid w:val="00614A1C"/>
    <w:pPr>
      <w:spacing w:before="20" w:after="20"/>
    </w:pPr>
    <w:rPr>
      <w:rFonts w:ascii="Garamond" w:hAnsi="Garamond"/>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40" w:beforeAutospacing="0" w:afterLines="20" w:afterAutospacing="0" w:line="360" w:lineRule="auto"/>
      </w:pPr>
      <w:rPr>
        <w:rFonts w:ascii="Marlett" w:hAnsi="Marlett"/>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Summarybox4">
    <w:name w:val="Summary box4"/>
    <w:basedOn w:val="TableNormal"/>
    <w:next w:val="TableGrid"/>
    <w:uiPriority w:val="59"/>
    <w:rsid w:val="00614A1C"/>
    <w:pPr>
      <w:spacing w:before="20" w:after="20"/>
    </w:pPr>
    <w:rPr>
      <w:rFonts w:ascii="Garamond" w:hAnsi="Garamond"/>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40" w:beforeAutospacing="0" w:afterLines="20" w:afterAutospacing="0" w:line="360" w:lineRule="auto"/>
      </w:pPr>
      <w:rPr>
        <w:rFonts w:ascii="Marlett" w:hAnsi="Marlett"/>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FooterChar">
    <w:name w:val="Footer Char"/>
    <w:basedOn w:val="DefaultParagraphFont"/>
    <w:link w:val="Footer"/>
    <w:uiPriority w:val="99"/>
    <w:rsid w:val="00614A1C"/>
    <w:rPr>
      <w:sz w:val="24"/>
    </w:rPr>
  </w:style>
  <w:style w:type="character" w:customStyle="1" w:styleId="HeaderChar">
    <w:name w:val="Header Char"/>
    <w:basedOn w:val="DefaultParagraphFont"/>
    <w:link w:val="Header"/>
    <w:rsid w:val="00614A1C"/>
    <w:rPr>
      <w:sz w:val="24"/>
    </w:rPr>
  </w:style>
  <w:style w:type="table" w:customStyle="1" w:styleId="Summarybox3">
    <w:name w:val="Summary box3"/>
    <w:basedOn w:val="TableNormal"/>
    <w:next w:val="TableGrid"/>
    <w:uiPriority w:val="59"/>
    <w:rsid w:val="00614A1C"/>
    <w:pPr>
      <w:spacing w:before="20" w:after="20"/>
    </w:pPr>
    <w:rPr>
      <w:rFonts w:ascii="Garamond" w:hAnsi="Garamond"/>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40" w:beforeAutospacing="0" w:afterLines="20" w:afterAutospacing="0" w:line="360" w:lineRule="auto"/>
      </w:pPr>
      <w:rPr>
        <w:rFonts w:ascii="Marlett" w:hAnsi="Marlett"/>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Tabletext">
    <w:name w:val="Table text"/>
    <w:basedOn w:val="Normal"/>
    <w:link w:val="TabletextChar1"/>
    <w:qFormat/>
    <w:rsid w:val="00614A1C"/>
    <w:rPr>
      <w:rFonts w:ascii="Arial" w:hAnsi="Arial"/>
      <w:sz w:val="20"/>
      <w:lang w:eastAsia="en-US"/>
    </w:rPr>
  </w:style>
  <w:style w:type="character" w:customStyle="1" w:styleId="TabletextChar1">
    <w:name w:val="Table text Char1"/>
    <w:link w:val="Tabletext"/>
    <w:rsid w:val="00614A1C"/>
    <w:rPr>
      <w:rFonts w:ascii="Arial" w:hAnsi="Arial"/>
      <w:lang w:eastAsia="en-US"/>
    </w:rPr>
  </w:style>
  <w:style w:type="paragraph" w:customStyle="1" w:styleId="FigurePara">
    <w:name w:val="FigurePara"/>
    <w:basedOn w:val="Normal"/>
    <w:link w:val="FigureParaChar"/>
    <w:rsid w:val="00614A1C"/>
    <w:pPr>
      <w:keepNext/>
      <w:spacing w:line="360" w:lineRule="auto"/>
      <w:jc w:val="both"/>
    </w:pPr>
    <w:rPr>
      <w:sz w:val="22"/>
      <w:szCs w:val="23"/>
      <w:lang w:eastAsia="en-US"/>
    </w:rPr>
  </w:style>
  <w:style w:type="character" w:customStyle="1" w:styleId="FigureParaChar">
    <w:name w:val="FigurePara Char"/>
    <w:link w:val="FigurePara"/>
    <w:rsid w:val="00614A1C"/>
    <w:rPr>
      <w:sz w:val="22"/>
      <w:szCs w:val="23"/>
      <w:lang w:eastAsia="en-US"/>
    </w:rPr>
  </w:style>
  <w:style w:type="character" w:styleId="Strong">
    <w:name w:val="Strong"/>
    <w:basedOn w:val="DefaultParagraphFont"/>
    <w:qFormat/>
    <w:rsid w:val="00A918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link w:val="FooterChar"/>
    <w:uiPriority w:val="99"/>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link w:val="HeaderChar"/>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527862"/>
    <w:pPr>
      <w:tabs>
        <w:tab w:val="left" w:pos="4320"/>
      </w:tabs>
      <w:spacing w:before="120"/>
      <w:jc w:val="center"/>
    </w:pPr>
    <w:rPr>
      <w:rFonts w:ascii="Arial" w:hAnsi="Arial" w:cs="Arial"/>
      <w:b/>
      <w:i/>
      <w:color w:val="000099"/>
      <w:sz w:val="28"/>
      <w:szCs w:val="28"/>
    </w:rPr>
  </w:style>
  <w:style w:type="character" w:customStyle="1" w:styleId="TitleChar">
    <w:name w:val="Title Char"/>
    <w:basedOn w:val="DefaultParagraphFont"/>
    <w:link w:val="Title"/>
    <w:rsid w:val="00527862"/>
    <w:rPr>
      <w:rFonts w:ascii="Arial" w:hAnsi="Arial" w:cs="Arial"/>
      <w:b/>
      <w:i/>
      <w:color w:val="000099"/>
      <w:sz w:val="28"/>
      <w:szCs w:val="28"/>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table" w:styleId="TableGrid">
    <w:name w:val="Table Grid"/>
    <w:aliases w:val="Summary box"/>
    <w:basedOn w:val="TableNormal"/>
    <w:rsid w:val="002C3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Table caption,Caption Char Char1"/>
    <w:basedOn w:val="Normal"/>
    <w:next w:val="Normal"/>
    <w:link w:val="CaptionChar"/>
    <w:qFormat/>
    <w:rsid w:val="002C329C"/>
    <w:pPr>
      <w:tabs>
        <w:tab w:val="left" w:pos="2835"/>
      </w:tabs>
      <w:spacing w:after="120"/>
      <w:ind w:left="1701" w:hanging="1701"/>
    </w:pPr>
    <w:rPr>
      <w:i/>
      <w:lang w:val="en-GB" w:eastAsia="ja-JP"/>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locked/>
    <w:rsid w:val="002C329C"/>
    <w:rPr>
      <w:i/>
      <w:sz w:val="24"/>
      <w:lang w:val="en-GB" w:eastAsia="ja-JP"/>
    </w:rPr>
  </w:style>
  <w:style w:type="paragraph" w:styleId="BodyText">
    <w:name w:val="Body Text"/>
    <w:link w:val="BodyTextChar"/>
    <w:qFormat/>
    <w:rsid w:val="002C329C"/>
    <w:pPr>
      <w:spacing w:after="360" w:line="360" w:lineRule="auto"/>
    </w:pPr>
    <w:rPr>
      <w:rFonts w:ascii="Arial" w:hAnsi="Arial"/>
      <w:sz w:val="22"/>
      <w:szCs w:val="24"/>
      <w:lang w:eastAsia="en-US"/>
    </w:rPr>
  </w:style>
  <w:style w:type="character" w:customStyle="1" w:styleId="BodyTextChar">
    <w:name w:val="Body Text Char"/>
    <w:basedOn w:val="DefaultParagraphFont"/>
    <w:link w:val="BodyText"/>
    <w:rsid w:val="002C329C"/>
    <w:rPr>
      <w:rFonts w:ascii="Arial" w:hAnsi="Arial"/>
      <w:sz w:val="22"/>
      <w:szCs w:val="24"/>
      <w:lang w:eastAsia="en-US"/>
    </w:rPr>
  </w:style>
  <w:style w:type="table" w:customStyle="1" w:styleId="Summarybox2">
    <w:name w:val="Summary box2"/>
    <w:basedOn w:val="TableNormal"/>
    <w:next w:val="TableGrid"/>
    <w:uiPriority w:val="59"/>
    <w:rsid w:val="00614A1C"/>
    <w:pPr>
      <w:spacing w:before="20" w:after="20"/>
    </w:pPr>
    <w:rPr>
      <w:rFonts w:ascii="Garamond" w:hAnsi="Garamond"/>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40" w:beforeAutospacing="0" w:afterLines="20" w:afterAutospacing="0" w:line="360" w:lineRule="auto"/>
      </w:pPr>
      <w:rPr>
        <w:rFonts w:ascii="Marlett" w:hAnsi="Marlett"/>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Summarybox4">
    <w:name w:val="Summary box4"/>
    <w:basedOn w:val="TableNormal"/>
    <w:next w:val="TableGrid"/>
    <w:uiPriority w:val="59"/>
    <w:rsid w:val="00614A1C"/>
    <w:pPr>
      <w:spacing w:before="20" w:after="20"/>
    </w:pPr>
    <w:rPr>
      <w:rFonts w:ascii="Garamond" w:hAnsi="Garamond"/>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40" w:beforeAutospacing="0" w:afterLines="20" w:afterAutospacing="0" w:line="360" w:lineRule="auto"/>
      </w:pPr>
      <w:rPr>
        <w:rFonts w:ascii="Marlett" w:hAnsi="Marlett"/>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FooterChar">
    <w:name w:val="Footer Char"/>
    <w:basedOn w:val="DefaultParagraphFont"/>
    <w:link w:val="Footer"/>
    <w:uiPriority w:val="99"/>
    <w:rsid w:val="00614A1C"/>
    <w:rPr>
      <w:sz w:val="24"/>
    </w:rPr>
  </w:style>
  <w:style w:type="character" w:customStyle="1" w:styleId="HeaderChar">
    <w:name w:val="Header Char"/>
    <w:basedOn w:val="DefaultParagraphFont"/>
    <w:link w:val="Header"/>
    <w:rsid w:val="00614A1C"/>
    <w:rPr>
      <w:sz w:val="24"/>
    </w:rPr>
  </w:style>
  <w:style w:type="table" w:customStyle="1" w:styleId="Summarybox3">
    <w:name w:val="Summary box3"/>
    <w:basedOn w:val="TableNormal"/>
    <w:next w:val="TableGrid"/>
    <w:uiPriority w:val="59"/>
    <w:rsid w:val="00614A1C"/>
    <w:pPr>
      <w:spacing w:before="20" w:after="20"/>
    </w:pPr>
    <w:rPr>
      <w:rFonts w:ascii="Garamond" w:hAnsi="Garamond"/>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wordWrap/>
        <w:spacing w:beforeLines="40" w:beforeAutospacing="0" w:afterLines="20" w:afterAutospacing="0" w:line="360" w:lineRule="auto"/>
      </w:pPr>
      <w:rPr>
        <w:rFonts w:ascii="Marlett" w:hAnsi="Marlett"/>
        <w:b w:val="0"/>
        <w:i w:val="0"/>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Tabletext">
    <w:name w:val="Table text"/>
    <w:basedOn w:val="Normal"/>
    <w:link w:val="TabletextChar1"/>
    <w:qFormat/>
    <w:rsid w:val="00614A1C"/>
    <w:rPr>
      <w:rFonts w:ascii="Arial" w:hAnsi="Arial"/>
      <w:sz w:val="20"/>
      <w:lang w:eastAsia="en-US"/>
    </w:rPr>
  </w:style>
  <w:style w:type="character" w:customStyle="1" w:styleId="TabletextChar1">
    <w:name w:val="Table text Char1"/>
    <w:link w:val="Tabletext"/>
    <w:rsid w:val="00614A1C"/>
    <w:rPr>
      <w:rFonts w:ascii="Arial" w:hAnsi="Arial"/>
      <w:lang w:eastAsia="en-US"/>
    </w:rPr>
  </w:style>
  <w:style w:type="paragraph" w:customStyle="1" w:styleId="FigurePara">
    <w:name w:val="FigurePara"/>
    <w:basedOn w:val="Normal"/>
    <w:link w:val="FigureParaChar"/>
    <w:rsid w:val="00614A1C"/>
    <w:pPr>
      <w:keepNext/>
      <w:spacing w:line="360" w:lineRule="auto"/>
      <w:jc w:val="both"/>
    </w:pPr>
    <w:rPr>
      <w:sz w:val="22"/>
      <w:szCs w:val="23"/>
      <w:lang w:eastAsia="en-US"/>
    </w:rPr>
  </w:style>
  <w:style w:type="character" w:customStyle="1" w:styleId="FigureParaChar">
    <w:name w:val="FigurePara Char"/>
    <w:link w:val="FigurePara"/>
    <w:rsid w:val="00614A1C"/>
    <w:rPr>
      <w:sz w:val="22"/>
      <w:szCs w:val="23"/>
      <w:lang w:eastAsia="en-US"/>
    </w:rPr>
  </w:style>
  <w:style w:type="character" w:styleId="Strong">
    <w:name w:val="Strong"/>
    <w:basedOn w:val="DefaultParagraphFont"/>
    <w:qFormat/>
    <w:rsid w:val="00A91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9.health.gov.au/mbs/fullDisplay.cfm?type=item&amp;q=73328&amp;qt=item&amp;criteria=7332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CAA12-6D30-4495-862B-346C0AA9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6253</Words>
  <Characters>35645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41815</CharactersWithSpaces>
  <SharedDoc>false</SharedDoc>
  <HLinks>
    <vt:vector size="6" baseType="variant">
      <vt:variant>
        <vt:i4>3997744</vt:i4>
      </vt:variant>
      <vt:variant>
        <vt:i4>3</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Hambley Carolyn</cp:lastModifiedBy>
  <cp:revision>5</cp:revision>
  <cp:lastPrinted>2011-12-15T03:00:00Z</cp:lastPrinted>
  <dcterms:created xsi:type="dcterms:W3CDTF">2014-03-20T04:29:00Z</dcterms:created>
  <dcterms:modified xsi:type="dcterms:W3CDTF">2014-03-20T04:42:00Z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