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FF29D" w14:textId="7D4CBBCE"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58885390" wp14:editId="00FA948E">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252DA557" w14:textId="6E9042C0" w:rsidR="00407B42" w:rsidRDefault="00407B42" w:rsidP="00A601AC">
      <w:pPr>
        <w:pStyle w:val="Heading10"/>
        <w:jc w:val="center"/>
        <w:rPr>
          <w:sz w:val="48"/>
          <w:szCs w:val="48"/>
        </w:rPr>
      </w:pPr>
    </w:p>
    <w:p w14:paraId="2F5DAF78" w14:textId="77777777" w:rsidR="00265C9B" w:rsidRDefault="00265C9B" w:rsidP="00A601AC">
      <w:pPr>
        <w:pStyle w:val="Heading10"/>
        <w:jc w:val="center"/>
        <w:rPr>
          <w:sz w:val="48"/>
          <w:szCs w:val="48"/>
        </w:rPr>
      </w:pPr>
    </w:p>
    <w:tbl>
      <w:tblPr>
        <w:tblStyle w:val="TableGrid2"/>
        <w:tblpPr w:leftFromText="180" w:rightFromText="180" w:vertAnchor="text" w:horzAnchor="margin" w:tblpY="4"/>
        <w:tblW w:w="0" w:type="auto"/>
        <w:tblLook w:val="04A0" w:firstRow="1" w:lastRow="0" w:firstColumn="1" w:lastColumn="0" w:noHBand="0" w:noVBand="1"/>
        <w:tblCaption w:val="Text box"/>
        <w:tblDescription w:val="Text box"/>
      </w:tblPr>
      <w:tblGrid>
        <w:gridCol w:w="9016"/>
      </w:tblGrid>
      <w:tr w:rsidR="00265C9B" w:rsidRPr="008B61C6" w14:paraId="4C96A0EE" w14:textId="77777777" w:rsidTr="00C962A9">
        <w:trPr>
          <w:tblHeader/>
        </w:trPr>
        <w:tc>
          <w:tcPr>
            <w:tcW w:w="9016" w:type="dxa"/>
            <w:tcBorders>
              <w:top w:val="single" w:sz="4" w:space="0" w:color="auto"/>
              <w:left w:val="single" w:sz="4" w:space="0" w:color="auto"/>
              <w:bottom w:val="single" w:sz="4" w:space="0" w:color="auto"/>
              <w:right w:val="single" w:sz="4" w:space="0" w:color="auto"/>
            </w:tcBorders>
            <w:hideMark/>
          </w:tcPr>
          <w:p w14:paraId="6340EB7A" w14:textId="77777777" w:rsidR="00265C9B" w:rsidRPr="008B61C6" w:rsidRDefault="00265C9B" w:rsidP="00C962A9">
            <w:pPr>
              <w:jc w:val="center"/>
              <w:rPr>
                <w:rFonts w:cs="Calibri"/>
                <w:b/>
                <w:bCs/>
                <w:color w:val="000000"/>
                <w:sz w:val="72"/>
                <w:szCs w:val="72"/>
                <w:u w:color="000000"/>
                <w:lang w:val="en-US" w:eastAsia="en-AU"/>
              </w:rPr>
            </w:pPr>
            <w:r>
              <w:rPr>
                <w:rFonts w:cs="Calibri"/>
                <w:b/>
                <w:bCs/>
                <w:color w:val="000000"/>
                <w:sz w:val="72"/>
                <w:szCs w:val="72"/>
                <w:u w:color="000000"/>
                <w:lang w:eastAsia="en-AU"/>
              </w:rPr>
              <w:t>RATIFIED PICO</w:t>
            </w:r>
          </w:p>
        </w:tc>
      </w:tr>
    </w:tbl>
    <w:p w14:paraId="44219EA4" w14:textId="77777777" w:rsidR="00265C9B" w:rsidRDefault="00265C9B" w:rsidP="00A601AC">
      <w:pPr>
        <w:pStyle w:val="Heading10"/>
        <w:jc w:val="center"/>
        <w:rPr>
          <w:sz w:val="40"/>
          <w:szCs w:val="40"/>
        </w:rPr>
      </w:pPr>
    </w:p>
    <w:p w14:paraId="4D53F41A" w14:textId="77777777" w:rsidR="00265C9B" w:rsidRDefault="00265C9B" w:rsidP="00A601AC">
      <w:pPr>
        <w:pStyle w:val="Heading10"/>
        <w:jc w:val="center"/>
        <w:rPr>
          <w:sz w:val="40"/>
          <w:szCs w:val="40"/>
        </w:rPr>
      </w:pPr>
    </w:p>
    <w:p w14:paraId="0531ABA5" w14:textId="5B57AB50" w:rsidR="0044715D" w:rsidRPr="00265C9B" w:rsidRDefault="005F4D2F" w:rsidP="00A601AC">
      <w:pPr>
        <w:pStyle w:val="Heading10"/>
        <w:jc w:val="center"/>
        <w:rPr>
          <w:sz w:val="44"/>
          <w:szCs w:val="40"/>
        </w:rPr>
      </w:pPr>
      <w:r w:rsidRPr="00265C9B">
        <w:rPr>
          <w:sz w:val="44"/>
          <w:szCs w:val="40"/>
        </w:rPr>
        <w:t xml:space="preserve">Application </w:t>
      </w:r>
      <w:r w:rsidR="005342CA" w:rsidRPr="00265C9B">
        <w:rPr>
          <w:sz w:val="44"/>
          <w:szCs w:val="40"/>
        </w:rPr>
        <w:t>1615</w:t>
      </w:r>
      <w:r w:rsidR="00303C94" w:rsidRPr="00265C9B">
        <w:rPr>
          <w:sz w:val="44"/>
          <w:szCs w:val="40"/>
        </w:rPr>
        <w:t>:</w:t>
      </w:r>
    </w:p>
    <w:p w14:paraId="5D929E53" w14:textId="5233305F" w:rsidR="00303C94" w:rsidRPr="00265C9B" w:rsidRDefault="005342CA" w:rsidP="00A601AC">
      <w:pPr>
        <w:pStyle w:val="Heading10"/>
        <w:jc w:val="center"/>
        <w:rPr>
          <w:sz w:val="44"/>
          <w:szCs w:val="40"/>
        </w:rPr>
      </w:pPr>
      <w:r w:rsidRPr="00265C9B">
        <w:rPr>
          <w:color w:val="548DD4"/>
          <w:sz w:val="44"/>
          <w:szCs w:val="40"/>
          <w:lang w:val="en-AU"/>
        </w:rPr>
        <w:t xml:space="preserve">Transcatheter occlusion of the </w:t>
      </w:r>
      <w:r w:rsidR="000C6E34" w:rsidRPr="00265C9B">
        <w:rPr>
          <w:color w:val="548DD4"/>
          <w:sz w:val="44"/>
          <w:szCs w:val="40"/>
          <w:lang w:val="en-AU"/>
        </w:rPr>
        <w:br/>
      </w:r>
      <w:r w:rsidR="00033C05" w:rsidRPr="00265C9B">
        <w:rPr>
          <w:color w:val="548DD4"/>
          <w:sz w:val="44"/>
          <w:szCs w:val="40"/>
          <w:lang w:val="en-AU"/>
        </w:rPr>
        <w:t xml:space="preserve"> </w:t>
      </w:r>
      <w:r w:rsidRPr="00265C9B">
        <w:rPr>
          <w:color w:val="548DD4"/>
          <w:sz w:val="44"/>
          <w:szCs w:val="40"/>
          <w:lang w:val="en-AU"/>
        </w:rPr>
        <w:t>left atrial appendage</w:t>
      </w:r>
      <w:r w:rsidR="000C6E34" w:rsidRPr="00265C9B">
        <w:rPr>
          <w:color w:val="548DD4"/>
          <w:sz w:val="44"/>
          <w:szCs w:val="40"/>
          <w:lang w:val="en-AU"/>
        </w:rPr>
        <w:t>,</w:t>
      </w:r>
      <w:r w:rsidRPr="00265C9B">
        <w:rPr>
          <w:color w:val="548DD4"/>
          <w:sz w:val="44"/>
          <w:szCs w:val="40"/>
          <w:lang w:val="en-AU"/>
        </w:rPr>
        <w:t xml:space="preserve"> for patients with </w:t>
      </w:r>
      <w:r w:rsidR="000C6E34" w:rsidRPr="00265C9B">
        <w:rPr>
          <w:color w:val="548DD4"/>
          <w:sz w:val="44"/>
          <w:szCs w:val="40"/>
          <w:lang w:val="en-AU"/>
        </w:rPr>
        <w:br/>
      </w:r>
      <w:r w:rsidRPr="00265C9B">
        <w:rPr>
          <w:color w:val="548DD4"/>
          <w:sz w:val="44"/>
          <w:szCs w:val="40"/>
          <w:lang w:val="en-AU"/>
        </w:rPr>
        <w:t>non-valvular atrial fibrillation</w:t>
      </w:r>
    </w:p>
    <w:p w14:paraId="46786BCE" w14:textId="14AC0204" w:rsidR="00E3429A" w:rsidRPr="00F17C41" w:rsidRDefault="00E3429A" w:rsidP="00407B42">
      <w:pPr>
        <w:tabs>
          <w:tab w:val="left" w:pos="2715"/>
        </w:tabs>
        <w:rPr>
          <w:sz w:val="32"/>
          <w:szCs w:val="32"/>
        </w:rPr>
      </w:pPr>
    </w:p>
    <w:p w14:paraId="1B4BE9A4" w14:textId="666463EC" w:rsidR="000B6BD3" w:rsidRDefault="000B6BD3" w:rsidP="00F17C41">
      <w:pPr>
        <w:spacing w:before="180" w:after="480"/>
        <w:jc w:val="center"/>
        <w:rPr>
          <w:b/>
          <w:i/>
          <w:sz w:val="56"/>
          <w:szCs w:val="56"/>
        </w:rPr>
      </w:pPr>
      <w:r>
        <w:rPr>
          <w:b/>
          <w:sz w:val="64"/>
          <w:szCs w:val="64"/>
        </w:rPr>
        <w:br/>
      </w:r>
    </w:p>
    <w:p w14:paraId="197AB5D6" w14:textId="65E1F3BE" w:rsidR="00F12E59" w:rsidRPr="00220CA6" w:rsidRDefault="007E7E23" w:rsidP="000942F0">
      <w:pPr>
        <w:pStyle w:val="Heading2"/>
        <w:rPr>
          <w:i/>
        </w:rPr>
      </w:pPr>
      <w:r>
        <w:rPr>
          <w:sz w:val="20"/>
          <w:szCs w:val="20"/>
        </w:rPr>
        <w:br w:type="page"/>
      </w:r>
      <w:r w:rsidR="0044715D" w:rsidRPr="00220CA6">
        <w:rPr>
          <w:rFonts w:eastAsia="Calibri"/>
          <w:i/>
          <w:color w:val="auto"/>
          <w:sz w:val="22"/>
          <w:szCs w:val="22"/>
        </w:rPr>
        <w:lastRenderedPageBreak/>
        <w:t>Summary of PICO</w:t>
      </w:r>
      <w:r w:rsidR="00A84A56" w:rsidRPr="00220CA6">
        <w:rPr>
          <w:rFonts w:eastAsia="Calibri"/>
          <w:i/>
          <w:color w:val="auto"/>
          <w:sz w:val="22"/>
          <w:szCs w:val="22"/>
        </w:rPr>
        <w:t>/PPICO</w:t>
      </w:r>
      <w:r w:rsidR="0044715D" w:rsidRPr="00220CA6">
        <w:rPr>
          <w:rFonts w:eastAsia="Calibri"/>
          <w:i/>
          <w:color w:val="auto"/>
          <w:sz w:val="22"/>
          <w:szCs w:val="22"/>
        </w:rPr>
        <w:t xml:space="preserve"> criteria</w:t>
      </w:r>
      <w:bookmarkEnd w:id="0"/>
      <w:bookmarkEnd w:id="1"/>
      <w:r w:rsidR="00F12E59" w:rsidRPr="00220CA6">
        <w:rPr>
          <w:rFonts w:eastAsia="Calibri"/>
          <w:i/>
          <w:color w:val="auto"/>
          <w:sz w:val="22"/>
          <w:szCs w:val="22"/>
        </w:rPr>
        <w:t xml:space="preserve"> to define the question(s) to be addressed in an Assessment Report to the Medical Services Advisory Committee (MSAC)</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44715D" w:rsidRPr="00084393" w14:paraId="2708E2B3" w14:textId="77777777" w:rsidTr="00A84A56">
        <w:trPr>
          <w:tblHeader/>
        </w:trPr>
        <w:tc>
          <w:tcPr>
            <w:tcW w:w="1005" w:type="pct"/>
            <w:tcBorders>
              <w:top w:val="single" w:sz="8" w:space="0" w:color="auto"/>
              <w:bottom w:val="single" w:sz="8" w:space="0" w:color="auto"/>
              <w:right w:val="single" w:sz="4" w:space="0" w:color="auto"/>
            </w:tcBorders>
            <w:shd w:val="clear" w:color="auto" w:fill="D9D9D9"/>
          </w:tcPr>
          <w:p w14:paraId="139E9C40" w14:textId="77777777" w:rsidR="0044715D" w:rsidRPr="00084393" w:rsidRDefault="00A84A56" w:rsidP="00F12E59">
            <w:pPr>
              <w:spacing w:before="20" w:after="20" w:line="240" w:lineRule="auto"/>
              <w:rPr>
                <w:b/>
              </w:rPr>
            </w:pPr>
            <w:r>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cPr>
          <w:p w14:paraId="46DCFDFE" w14:textId="77777777" w:rsidR="0044715D" w:rsidRPr="00084393" w:rsidRDefault="0044715D" w:rsidP="009C480E">
            <w:pPr>
              <w:spacing w:before="20" w:after="20" w:line="240" w:lineRule="auto"/>
              <w:jc w:val="both"/>
              <w:rPr>
                <w:b/>
              </w:rPr>
            </w:pPr>
            <w:r>
              <w:rPr>
                <w:b/>
              </w:rPr>
              <w:t>Description</w:t>
            </w:r>
          </w:p>
        </w:tc>
      </w:tr>
      <w:tr w:rsidR="0044715D" w:rsidRPr="00084393" w14:paraId="68224FB9" w14:textId="77777777" w:rsidTr="00A84A56">
        <w:tc>
          <w:tcPr>
            <w:tcW w:w="1005" w:type="pct"/>
            <w:tcBorders>
              <w:top w:val="single" w:sz="8" w:space="0" w:color="auto"/>
              <w:right w:val="single" w:sz="4" w:space="0" w:color="auto"/>
            </w:tcBorders>
          </w:tcPr>
          <w:p w14:paraId="1AEDB64F" w14:textId="77777777" w:rsidR="0044715D" w:rsidRPr="00084393" w:rsidRDefault="0044715D" w:rsidP="00F12E59">
            <w:pPr>
              <w:spacing w:before="20" w:after="20" w:line="240" w:lineRule="auto"/>
              <w:rPr>
                <w:rFonts w:cs="Arial"/>
              </w:rPr>
            </w:pPr>
            <w:r w:rsidRPr="00084393">
              <w:rPr>
                <w:rFonts w:cs="Arial"/>
              </w:rPr>
              <w:t>Patients</w:t>
            </w:r>
          </w:p>
        </w:tc>
        <w:tc>
          <w:tcPr>
            <w:tcW w:w="3995" w:type="pct"/>
            <w:tcBorders>
              <w:top w:val="single" w:sz="4" w:space="0" w:color="auto"/>
              <w:left w:val="single" w:sz="4" w:space="0" w:color="auto"/>
              <w:bottom w:val="single" w:sz="4" w:space="0" w:color="auto"/>
              <w:right w:val="single" w:sz="4" w:space="0" w:color="auto"/>
            </w:tcBorders>
          </w:tcPr>
          <w:p w14:paraId="763DC439" w14:textId="7AAFE802" w:rsidR="001D27A3" w:rsidRDefault="001D27A3" w:rsidP="00C962A9">
            <w:pPr>
              <w:spacing w:after="0" w:line="240" w:lineRule="auto"/>
              <w:rPr>
                <w:bCs/>
                <w:color w:val="000000" w:themeColor="text1"/>
                <w:u w:val="single"/>
              </w:rPr>
            </w:pPr>
            <w:r>
              <w:rPr>
                <w:bCs/>
                <w:color w:val="000000" w:themeColor="text1"/>
                <w:u w:val="single"/>
              </w:rPr>
              <w:t>Population 1:</w:t>
            </w:r>
          </w:p>
          <w:p w14:paraId="0CB8B27C" w14:textId="5C634EBE" w:rsidR="00603D41" w:rsidRPr="00603D41" w:rsidRDefault="00603D41" w:rsidP="00C962A9">
            <w:pPr>
              <w:spacing w:after="0" w:line="240" w:lineRule="auto"/>
              <w:rPr>
                <w:bCs/>
                <w:color w:val="000000" w:themeColor="text1"/>
              </w:rPr>
            </w:pPr>
            <w:r w:rsidRPr="00603D41">
              <w:rPr>
                <w:bCs/>
                <w:color w:val="000000" w:themeColor="text1"/>
              </w:rPr>
              <w:t xml:space="preserve">Patients with </w:t>
            </w:r>
            <w:r>
              <w:rPr>
                <w:bCs/>
                <w:color w:val="000000" w:themeColor="text1"/>
              </w:rPr>
              <w:t>non-valvular atrial fibrillation</w:t>
            </w:r>
            <w:r w:rsidRPr="00603D41">
              <w:rPr>
                <w:bCs/>
                <w:color w:val="000000" w:themeColor="text1"/>
              </w:rPr>
              <w:t xml:space="preserve"> </w:t>
            </w:r>
            <w:r w:rsidR="00B037FD">
              <w:rPr>
                <w:bCs/>
                <w:color w:val="000000" w:themeColor="text1"/>
              </w:rPr>
              <w:t xml:space="preserve">(NVAF) </w:t>
            </w:r>
            <w:r w:rsidRPr="00603D41">
              <w:rPr>
                <w:bCs/>
                <w:color w:val="000000" w:themeColor="text1"/>
              </w:rPr>
              <w:t xml:space="preserve">assessed by a non-interventional and interventional </w:t>
            </w:r>
            <w:r w:rsidR="0020373E">
              <w:rPr>
                <w:bCs/>
                <w:color w:val="000000" w:themeColor="text1"/>
              </w:rPr>
              <w:t>cardiologist</w:t>
            </w:r>
            <w:r w:rsidR="0020373E" w:rsidRPr="00603D41">
              <w:rPr>
                <w:bCs/>
                <w:color w:val="000000" w:themeColor="text1"/>
              </w:rPr>
              <w:t xml:space="preserve"> </w:t>
            </w:r>
            <w:r w:rsidRPr="00603D41">
              <w:rPr>
                <w:bCs/>
                <w:color w:val="000000" w:themeColor="text1"/>
              </w:rPr>
              <w:t>as having</w:t>
            </w:r>
            <w:r w:rsidR="001D27A3">
              <w:rPr>
                <w:bCs/>
                <w:color w:val="000000" w:themeColor="text1"/>
              </w:rPr>
              <w:t xml:space="preserve"> </w:t>
            </w:r>
            <w:r w:rsidR="001D27A3" w:rsidRPr="004F25EF">
              <w:rPr>
                <w:b/>
                <w:bCs/>
                <w:color w:val="000000" w:themeColor="text1"/>
              </w:rPr>
              <w:t>absolute</w:t>
            </w:r>
            <w:r w:rsidRPr="004F25EF">
              <w:rPr>
                <w:b/>
                <w:bCs/>
                <w:color w:val="000000" w:themeColor="text1"/>
              </w:rPr>
              <w:t xml:space="preserve"> </w:t>
            </w:r>
            <w:r w:rsidRPr="00603D41">
              <w:rPr>
                <w:bCs/>
                <w:color w:val="000000" w:themeColor="text1"/>
              </w:rPr>
              <w:t>contraindication to life</w:t>
            </w:r>
            <w:r w:rsidRPr="00603D41">
              <w:rPr>
                <w:rFonts w:ascii="Cambria Math" w:hAnsi="Cambria Math" w:cs="Cambria Math"/>
                <w:bCs/>
                <w:color w:val="000000" w:themeColor="text1"/>
              </w:rPr>
              <w:t>‑</w:t>
            </w:r>
            <w:r w:rsidRPr="00603D41">
              <w:rPr>
                <w:bCs/>
                <w:color w:val="000000" w:themeColor="text1"/>
              </w:rPr>
              <w:t>long oral anticoagulation therapy</w:t>
            </w:r>
            <w:r w:rsidR="003E5E38">
              <w:rPr>
                <w:bCs/>
                <w:color w:val="000000" w:themeColor="text1"/>
              </w:rPr>
              <w:t xml:space="preserve"> (OAT)</w:t>
            </w:r>
            <w:r w:rsidRPr="00603D41">
              <w:rPr>
                <w:bCs/>
                <w:color w:val="000000" w:themeColor="text1"/>
              </w:rPr>
              <w:t xml:space="preserve">, and </w:t>
            </w:r>
            <w:r>
              <w:rPr>
                <w:bCs/>
                <w:color w:val="000000" w:themeColor="text1"/>
              </w:rPr>
              <w:t>being</w:t>
            </w:r>
            <w:r w:rsidRPr="00603D41">
              <w:rPr>
                <w:bCs/>
                <w:color w:val="000000" w:themeColor="text1"/>
              </w:rPr>
              <w:t xml:space="preserve"> at increased risk of thromboembolism demonstrated by:</w:t>
            </w:r>
          </w:p>
          <w:p w14:paraId="28A17BE8" w14:textId="77777777" w:rsidR="00603D41" w:rsidRDefault="00603D41" w:rsidP="00C962A9">
            <w:pPr>
              <w:pStyle w:val="ListParagraph"/>
              <w:numPr>
                <w:ilvl w:val="0"/>
                <w:numId w:val="1"/>
              </w:numPr>
              <w:spacing w:line="240" w:lineRule="auto"/>
              <w:rPr>
                <w:bCs/>
                <w:color w:val="000000" w:themeColor="text1"/>
              </w:rPr>
            </w:pPr>
            <w:r w:rsidRPr="00603D41">
              <w:rPr>
                <w:bCs/>
                <w:color w:val="000000" w:themeColor="text1"/>
              </w:rPr>
              <w:t>a prior stroke (whether of an ischaemic or unknown type), transient ischaemic attack or non</w:t>
            </w:r>
            <w:r w:rsidRPr="00603D41">
              <w:rPr>
                <w:rFonts w:ascii="Cambria Math" w:hAnsi="Cambria Math" w:cs="Cambria Math"/>
                <w:bCs/>
                <w:color w:val="000000" w:themeColor="text1"/>
              </w:rPr>
              <w:t>‑</w:t>
            </w:r>
            <w:r w:rsidRPr="00603D41">
              <w:rPr>
                <w:bCs/>
                <w:color w:val="000000" w:themeColor="text1"/>
              </w:rPr>
              <w:t>central nervous system systemic embolism; or</w:t>
            </w:r>
          </w:p>
          <w:p w14:paraId="0FBD9B75" w14:textId="77777777" w:rsidR="00603D41" w:rsidRDefault="00603D41" w:rsidP="00C962A9">
            <w:pPr>
              <w:pStyle w:val="ListParagraph"/>
              <w:numPr>
                <w:ilvl w:val="0"/>
                <w:numId w:val="1"/>
              </w:numPr>
              <w:spacing w:line="240" w:lineRule="auto"/>
              <w:rPr>
                <w:bCs/>
                <w:color w:val="000000" w:themeColor="text1"/>
              </w:rPr>
            </w:pPr>
            <w:r w:rsidRPr="00603D41">
              <w:rPr>
                <w:bCs/>
                <w:color w:val="000000" w:themeColor="text1"/>
              </w:rPr>
              <w:t>at least 2 of the following risk factors:</w:t>
            </w:r>
          </w:p>
          <w:p w14:paraId="4267CC3A" w14:textId="77777777" w:rsidR="00603D41" w:rsidRDefault="00603D41" w:rsidP="00C962A9">
            <w:pPr>
              <w:pStyle w:val="ListParagraph"/>
              <w:numPr>
                <w:ilvl w:val="1"/>
                <w:numId w:val="1"/>
              </w:numPr>
              <w:spacing w:line="240" w:lineRule="auto"/>
              <w:rPr>
                <w:bCs/>
                <w:color w:val="000000" w:themeColor="text1"/>
              </w:rPr>
            </w:pPr>
            <w:r w:rsidRPr="00603D41">
              <w:rPr>
                <w:bCs/>
                <w:color w:val="000000" w:themeColor="text1"/>
              </w:rPr>
              <w:t>an age of 65 years or more;</w:t>
            </w:r>
          </w:p>
          <w:p w14:paraId="1A8B219B" w14:textId="77777777" w:rsidR="00603D41" w:rsidRPr="00603D41" w:rsidRDefault="00603D41" w:rsidP="00C962A9">
            <w:pPr>
              <w:pStyle w:val="ListParagraph"/>
              <w:numPr>
                <w:ilvl w:val="1"/>
                <w:numId w:val="1"/>
              </w:numPr>
              <w:spacing w:line="240" w:lineRule="auto"/>
              <w:rPr>
                <w:bCs/>
                <w:color w:val="000000" w:themeColor="text1"/>
              </w:rPr>
            </w:pPr>
            <w:r w:rsidRPr="00603D41">
              <w:rPr>
                <w:bCs/>
                <w:color w:val="000000" w:themeColor="text1"/>
                <w:lang w:val="de-CH"/>
              </w:rPr>
              <w:t>hypertension;</w:t>
            </w:r>
          </w:p>
          <w:p w14:paraId="10BF57B6" w14:textId="77777777" w:rsidR="00603D41" w:rsidRPr="00603D41" w:rsidRDefault="00603D41" w:rsidP="00C962A9">
            <w:pPr>
              <w:pStyle w:val="ListParagraph"/>
              <w:numPr>
                <w:ilvl w:val="1"/>
                <w:numId w:val="1"/>
              </w:numPr>
              <w:spacing w:line="240" w:lineRule="auto"/>
              <w:rPr>
                <w:bCs/>
                <w:color w:val="000000" w:themeColor="text1"/>
              </w:rPr>
            </w:pPr>
            <w:r w:rsidRPr="00603D41">
              <w:rPr>
                <w:bCs/>
                <w:color w:val="000000" w:themeColor="text1"/>
                <w:lang w:val="de-CH"/>
              </w:rPr>
              <w:t>diabetes mellitus;</w:t>
            </w:r>
          </w:p>
          <w:p w14:paraId="4E6AB8ED" w14:textId="77777777" w:rsidR="00603D41" w:rsidRDefault="00603D41" w:rsidP="00C962A9">
            <w:pPr>
              <w:pStyle w:val="ListParagraph"/>
              <w:numPr>
                <w:ilvl w:val="1"/>
                <w:numId w:val="1"/>
              </w:numPr>
              <w:spacing w:line="240" w:lineRule="auto"/>
              <w:rPr>
                <w:bCs/>
                <w:color w:val="000000" w:themeColor="text1"/>
              </w:rPr>
            </w:pPr>
            <w:r w:rsidRPr="00603D41">
              <w:rPr>
                <w:bCs/>
                <w:color w:val="000000" w:themeColor="text1"/>
              </w:rPr>
              <w:t>heart failure or left ventricular ejection fraction of 35% or less (or both);</w:t>
            </w:r>
          </w:p>
          <w:p w14:paraId="2471EC2F" w14:textId="5718D525" w:rsidR="00603D41" w:rsidRDefault="00603D41" w:rsidP="00C962A9">
            <w:pPr>
              <w:pStyle w:val="ListParagraph"/>
              <w:numPr>
                <w:ilvl w:val="1"/>
                <w:numId w:val="1"/>
              </w:numPr>
              <w:spacing w:line="240" w:lineRule="auto"/>
              <w:rPr>
                <w:bCs/>
                <w:color w:val="000000" w:themeColor="text1"/>
              </w:rPr>
            </w:pPr>
            <w:r w:rsidRPr="00603D41">
              <w:rPr>
                <w:bCs/>
                <w:color w:val="000000" w:themeColor="text1"/>
              </w:rPr>
              <w:t>vascular disease (prior myocardial infarction, peripheral artery disease or aortic plaque)</w:t>
            </w:r>
          </w:p>
          <w:p w14:paraId="7AA6C13F" w14:textId="13D62986" w:rsidR="000D65B1" w:rsidRPr="004F25EF" w:rsidRDefault="000D65B1" w:rsidP="00C962A9">
            <w:pPr>
              <w:spacing w:after="0" w:line="240" w:lineRule="auto"/>
            </w:pPr>
            <w:r w:rsidRPr="004F25EF">
              <w:rPr>
                <w:bCs/>
                <w:color w:val="000000" w:themeColor="text1"/>
              </w:rPr>
              <w:t>An</w:t>
            </w:r>
            <w:r w:rsidR="00F44E62" w:rsidRPr="004F25EF">
              <w:rPr>
                <w:bCs/>
                <w:color w:val="000000" w:themeColor="text1"/>
              </w:rPr>
              <w:t xml:space="preserve"> </w:t>
            </w:r>
            <w:r w:rsidR="00F44E62" w:rsidRPr="004F25EF">
              <w:rPr>
                <w:b/>
                <w:bCs/>
                <w:color w:val="000000" w:themeColor="text1"/>
              </w:rPr>
              <w:t>absolute</w:t>
            </w:r>
            <w:r w:rsidR="00F44E62" w:rsidRPr="004F25EF">
              <w:rPr>
                <w:bCs/>
                <w:color w:val="000000" w:themeColor="text1"/>
              </w:rPr>
              <w:t xml:space="preserve"> contraindication to lifelong anticoagulation</w:t>
            </w:r>
            <w:r w:rsidRPr="004F25EF">
              <w:rPr>
                <w:bCs/>
                <w:color w:val="000000" w:themeColor="text1"/>
              </w:rPr>
              <w:t xml:space="preserve"> is defined as</w:t>
            </w:r>
            <w:r>
              <w:rPr>
                <w:bCs/>
                <w:color w:val="000000" w:themeColor="text1"/>
              </w:rPr>
              <w:t xml:space="preserve"> (expanding existing definition of ‘absolute’ contraindication defined in MBS item 3827 to include iv. and v. below)</w:t>
            </w:r>
            <w:r w:rsidRPr="004F25EF">
              <w:rPr>
                <w:bCs/>
                <w:color w:val="000000" w:themeColor="text1"/>
              </w:rPr>
              <w:t>:</w:t>
            </w:r>
          </w:p>
          <w:p w14:paraId="776FB0EE" w14:textId="6A5331C3" w:rsidR="001D27A3" w:rsidRPr="004105E4" w:rsidRDefault="00F44E62" w:rsidP="00C962A9">
            <w:pPr>
              <w:pStyle w:val="ListParagraph"/>
              <w:numPr>
                <w:ilvl w:val="0"/>
                <w:numId w:val="28"/>
              </w:numPr>
              <w:spacing w:line="240" w:lineRule="auto"/>
            </w:pPr>
            <w:r>
              <w:rPr>
                <w:bCs/>
                <w:color w:val="000000" w:themeColor="text1"/>
              </w:rPr>
              <w:t xml:space="preserve"> </w:t>
            </w:r>
            <w:r w:rsidR="001D27A3" w:rsidRPr="004105E4">
              <w:t>a previous major bleeding complication experienced whilst undergoing treatment with oral anticoagulation therapy,   or</w:t>
            </w:r>
          </w:p>
          <w:p w14:paraId="12E38576" w14:textId="77777777" w:rsidR="001D27A3" w:rsidRPr="004105E4" w:rsidRDefault="001D27A3" w:rsidP="00C962A9">
            <w:pPr>
              <w:pStyle w:val="ListParagraph"/>
              <w:numPr>
                <w:ilvl w:val="0"/>
                <w:numId w:val="28"/>
              </w:numPr>
              <w:spacing w:line="240" w:lineRule="auto"/>
            </w:pPr>
            <w:r w:rsidRPr="004105E4">
              <w:t>a blood dyscrasia, or</w:t>
            </w:r>
          </w:p>
          <w:p w14:paraId="3D83C208" w14:textId="77777777" w:rsidR="001D27A3" w:rsidRPr="004105E4" w:rsidRDefault="001D27A3" w:rsidP="00C962A9">
            <w:pPr>
              <w:pStyle w:val="ListParagraph"/>
              <w:numPr>
                <w:ilvl w:val="0"/>
                <w:numId w:val="28"/>
              </w:numPr>
              <w:spacing w:line="240" w:lineRule="auto"/>
            </w:pPr>
            <w:r w:rsidRPr="004105E4">
              <w:t>a vascular abnormality predisposing to potentially life threatening haemorrhage  or</w:t>
            </w:r>
          </w:p>
          <w:p w14:paraId="02B76F4C" w14:textId="77777777" w:rsidR="001D27A3" w:rsidRPr="004105E4" w:rsidRDefault="001D27A3" w:rsidP="00C962A9">
            <w:pPr>
              <w:pStyle w:val="ListParagraph"/>
              <w:numPr>
                <w:ilvl w:val="0"/>
                <w:numId w:val="28"/>
              </w:numPr>
              <w:spacing w:line="240" w:lineRule="auto"/>
            </w:pPr>
            <w:r>
              <w:t>u</w:t>
            </w:r>
            <w:r w:rsidRPr="004105E4">
              <w:t>nacceptably high bleeding risk due to:</w:t>
            </w:r>
          </w:p>
          <w:p w14:paraId="52356789" w14:textId="77777777" w:rsidR="001D27A3" w:rsidRPr="004105E4" w:rsidRDefault="001D27A3" w:rsidP="00C962A9">
            <w:pPr>
              <w:pStyle w:val="ListParagraph"/>
              <w:numPr>
                <w:ilvl w:val="1"/>
                <w:numId w:val="29"/>
              </w:numPr>
              <w:spacing w:line="240" w:lineRule="auto"/>
            </w:pPr>
            <w:r w:rsidRPr="004105E4">
              <w:t>decompensated liver disease</w:t>
            </w:r>
          </w:p>
          <w:p w14:paraId="65D1E410" w14:textId="77777777" w:rsidR="001D27A3" w:rsidRPr="004105E4" w:rsidRDefault="001D27A3" w:rsidP="00C962A9">
            <w:pPr>
              <w:pStyle w:val="ListParagraph"/>
              <w:numPr>
                <w:ilvl w:val="1"/>
                <w:numId w:val="29"/>
              </w:numPr>
              <w:spacing w:line="240" w:lineRule="auto"/>
            </w:pPr>
            <w:r w:rsidRPr="004105E4">
              <w:t>advanced renal failure</w:t>
            </w:r>
          </w:p>
          <w:p w14:paraId="40271CDE" w14:textId="77777777" w:rsidR="001D27A3" w:rsidRPr="004105E4" w:rsidRDefault="001D27A3" w:rsidP="00C962A9">
            <w:pPr>
              <w:pStyle w:val="ListParagraph"/>
              <w:numPr>
                <w:ilvl w:val="1"/>
                <w:numId w:val="29"/>
              </w:numPr>
              <w:spacing w:line="240" w:lineRule="auto"/>
            </w:pPr>
            <w:r w:rsidRPr="004105E4">
              <w:t>intracranial conditions with high bleeding risk (amyloid, cerebral microbleeds)</w:t>
            </w:r>
          </w:p>
          <w:p w14:paraId="378B4F6F" w14:textId="0205C3A9" w:rsidR="001D27A3" w:rsidRPr="00220CA6" w:rsidRDefault="000D65B1" w:rsidP="00C962A9">
            <w:pPr>
              <w:pStyle w:val="ListParagraph"/>
              <w:numPr>
                <w:ilvl w:val="0"/>
                <w:numId w:val="28"/>
              </w:numPr>
              <w:spacing w:line="240" w:lineRule="auto"/>
            </w:pPr>
            <w:r>
              <w:t>e</w:t>
            </w:r>
            <w:r w:rsidRPr="004105E4">
              <w:t>nd stage</w:t>
            </w:r>
            <w:r w:rsidR="001D27A3" w:rsidRPr="004105E4">
              <w:t xml:space="preserve"> renal disease</w:t>
            </w:r>
            <w:r w:rsidR="001D27A3">
              <w:t>.</w:t>
            </w:r>
          </w:p>
          <w:p w14:paraId="3DA7F8B2" w14:textId="52AB86B1" w:rsidR="001D27A3" w:rsidRPr="001D27A3" w:rsidRDefault="001D27A3" w:rsidP="00C962A9">
            <w:pPr>
              <w:spacing w:after="0" w:line="240" w:lineRule="auto"/>
              <w:rPr>
                <w:bCs/>
                <w:color w:val="000000" w:themeColor="text1"/>
                <w:u w:val="single"/>
              </w:rPr>
            </w:pPr>
            <w:r w:rsidRPr="001D27A3">
              <w:rPr>
                <w:bCs/>
                <w:color w:val="000000" w:themeColor="text1"/>
                <w:u w:val="single"/>
              </w:rPr>
              <w:t>Population 2:</w:t>
            </w:r>
            <w:r w:rsidR="00F01DBD">
              <w:rPr>
                <w:bCs/>
                <w:color w:val="000000" w:themeColor="text1"/>
                <w:u w:val="single"/>
              </w:rPr>
              <w:t xml:space="preserve"> </w:t>
            </w:r>
          </w:p>
          <w:p w14:paraId="5A3756D8" w14:textId="482CBE05" w:rsidR="001D27A3" w:rsidRPr="004105E4" w:rsidRDefault="001D27A3" w:rsidP="00C962A9">
            <w:pPr>
              <w:spacing w:line="240" w:lineRule="auto"/>
            </w:pPr>
            <w:r w:rsidRPr="004105E4">
              <w:t xml:space="preserve">Patients with NVAF assessed by a non-interventional and interventional physician as having </w:t>
            </w:r>
            <w:r w:rsidRPr="00220CA6">
              <w:rPr>
                <w:b/>
              </w:rPr>
              <w:t>relative</w:t>
            </w:r>
            <w:r>
              <w:t xml:space="preserve"> </w:t>
            </w:r>
            <w:r w:rsidRPr="004105E4">
              <w:t>contraindication to life</w:t>
            </w:r>
            <w:r w:rsidRPr="004105E4">
              <w:rPr>
                <w:rFonts w:ascii="Cambria Math" w:hAnsi="Cambria Math" w:cs="Cambria Math"/>
              </w:rPr>
              <w:t>‑</w:t>
            </w:r>
            <w:r w:rsidRPr="004105E4">
              <w:t xml:space="preserve">long </w:t>
            </w:r>
            <w:r>
              <w:t>OAT</w:t>
            </w:r>
            <w:r w:rsidRPr="004105E4">
              <w:t>, and being at increased risk of thromboembolism demonstrated by:</w:t>
            </w:r>
          </w:p>
          <w:p w14:paraId="180B8BBD" w14:textId="77777777" w:rsidR="001D27A3" w:rsidRPr="004105E4" w:rsidRDefault="001D27A3" w:rsidP="00C962A9">
            <w:pPr>
              <w:pStyle w:val="ListParagraph"/>
              <w:numPr>
                <w:ilvl w:val="0"/>
                <w:numId w:val="30"/>
              </w:numPr>
              <w:spacing w:line="240" w:lineRule="auto"/>
            </w:pPr>
            <w:r w:rsidRPr="004105E4">
              <w:t>a prior stroke (whether of an ischaemic or unknown type), transient ischaemic attack or non</w:t>
            </w:r>
            <w:r w:rsidRPr="004105E4">
              <w:rPr>
                <w:rFonts w:ascii="Cambria Math" w:hAnsi="Cambria Math" w:cs="Cambria Math"/>
              </w:rPr>
              <w:t>‑</w:t>
            </w:r>
            <w:r w:rsidRPr="004105E4">
              <w:t>central nervous system systemic embolism; or</w:t>
            </w:r>
          </w:p>
          <w:p w14:paraId="0DFCA163" w14:textId="77777777" w:rsidR="001D27A3" w:rsidRPr="004105E4" w:rsidRDefault="001D27A3" w:rsidP="00C962A9">
            <w:pPr>
              <w:pStyle w:val="ListParagraph"/>
              <w:numPr>
                <w:ilvl w:val="0"/>
                <w:numId w:val="30"/>
              </w:numPr>
              <w:spacing w:line="240" w:lineRule="auto"/>
            </w:pPr>
            <w:r w:rsidRPr="004105E4">
              <w:t>at least 2 of the following risk factors:</w:t>
            </w:r>
          </w:p>
          <w:p w14:paraId="2FC810A2" w14:textId="77777777" w:rsidR="001D27A3" w:rsidRPr="004105E4" w:rsidRDefault="001D27A3" w:rsidP="00C962A9">
            <w:pPr>
              <w:pStyle w:val="ListParagraph"/>
              <w:numPr>
                <w:ilvl w:val="0"/>
                <w:numId w:val="31"/>
              </w:numPr>
              <w:spacing w:line="240" w:lineRule="auto"/>
              <w:ind w:hanging="197"/>
            </w:pPr>
            <w:r w:rsidRPr="004105E4">
              <w:t>an age of 65 years or more;</w:t>
            </w:r>
          </w:p>
          <w:p w14:paraId="2932DD23" w14:textId="77777777" w:rsidR="001D27A3" w:rsidRPr="004105E4" w:rsidRDefault="001D27A3" w:rsidP="00C962A9">
            <w:pPr>
              <w:pStyle w:val="ListParagraph"/>
              <w:numPr>
                <w:ilvl w:val="0"/>
                <w:numId w:val="31"/>
              </w:numPr>
              <w:spacing w:line="240" w:lineRule="auto"/>
              <w:ind w:hanging="197"/>
            </w:pPr>
            <w:r w:rsidRPr="004105E4">
              <w:t>hypertension;</w:t>
            </w:r>
          </w:p>
          <w:p w14:paraId="1F5A49BB" w14:textId="77777777" w:rsidR="001D27A3" w:rsidRPr="004105E4" w:rsidRDefault="001D27A3" w:rsidP="00C962A9">
            <w:pPr>
              <w:pStyle w:val="ListParagraph"/>
              <w:numPr>
                <w:ilvl w:val="0"/>
                <w:numId w:val="31"/>
              </w:numPr>
              <w:spacing w:line="240" w:lineRule="auto"/>
              <w:ind w:hanging="197"/>
            </w:pPr>
            <w:r w:rsidRPr="004105E4">
              <w:t>diabetes mellitus;</w:t>
            </w:r>
          </w:p>
          <w:p w14:paraId="65CB3F62" w14:textId="77777777" w:rsidR="001D27A3" w:rsidRPr="004105E4" w:rsidRDefault="001D27A3" w:rsidP="00C962A9">
            <w:pPr>
              <w:pStyle w:val="ListParagraph"/>
              <w:numPr>
                <w:ilvl w:val="0"/>
                <w:numId w:val="31"/>
              </w:numPr>
              <w:spacing w:line="240" w:lineRule="auto"/>
              <w:ind w:hanging="197"/>
            </w:pPr>
            <w:r w:rsidRPr="004105E4">
              <w:t>heart failure or left ventricular ejection fraction of 35% or less (or both);</w:t>
            </w:r>
          </w:p>
          <w:p w14:paraId="066672E6" w14:textId="7BF02E41" w:rsidR="001D27A3" w:rsidRPr="004105E4" w:rsidRDefault="001D27A3" w:rsidP="00C962A9">
            <w:pPr>
              <w:pStyle w:val="ListParagraph"/>
              <w:numPr>
                <w:ilvl w:val="0"/>
                <w:numId w:val="31"/>
              </w:numPr>
              <w:spacing w:line="240" w:lineRule="auto"/>
              <w:ind w:hanging="197"/>
            </w:pPr>
            <w:r w:rsidRPr="004105E4">
              <w:t>vascular disease (prior myocardial infarction, peripheral artery disease or aortic plaque)</w:t>
            </w:r>
            <w:r>
              <w:t>.</w:t>
            </w:r>
          </w:p>
          <w:p w14:paraId="23528E4A" w14:textId="77777777" w:rsidR="001D27A3" w:rsidRPr="004105E4" w:rsidRDefault="001D27A3" w:rsidP="00C962A9">
            <w:pPr>
              <w:spacing w:line="240" w:lineRule="auto"/>
            </w:pPr>
            <w:r w:rsidRPr="004105E4">
              <w:lastRenderedPageBreak/>
              <w:t xml:space="preserve">A </w:t>
            </w:r>
            <w:r w:rsidRPr="00220CA6">
              <w:rPr>
                <w:b/>
              </w:rPr>
              <w:t xml:space="preserve">relative </w:t>
            </w:r>
            <w:r w:rsidRPr="004105E4">
              <w:t>contraindication to lifelong anticoagulation is defined as:</w:t>
            </w:r>
          </w:p>
          <w:p w14:paraId="31297138" w14:textId="77777777" w:rsidR="001D27A3" w:rsidRPr="004105E4" w:rsidRDefault="001D27A3" w:rsidP="00C962A9">
            <w:pPr>
              <w:pStyle w:val="ListParagraph"/>
              <w:numPr>
                <w:ilvl w:val="0"/>
                <w:numId w:val="32"/>
              </w:numPr>
              <w:spacing w:line="240" w:lineRule="auto"/>
              <w:ind w:left="480" w:hanging="158"/>
            </w:pPr>
            <w:r>
              <w:t>a</w:t>
            </w:r>
            <w:r w:rsidRPr="004105E4">
              <w:t xml:space="preserve"> previous major bleeding complication</w:t>
            </w:r>
            <w:r>
              <w:t>,</w:t>
            </w:r>
            <w:r w:rsidRPr="004105E4">
              <w:t xml:space="preserve"> </w:t>
            </w:r>
            <w:r>
              <w:t>or</w:t>
            </w:r>
          </w:p>
          <w:p w14:paraId="1DE93DFF" w14:textId="77777777" w:rsidR="001D27A3" w:rsidRPr="004105E4" w:rsidRDefault="001D27A3" w:rsidP="00C962A9">
            <w:pPr>
              <w:pStyle w:val="ListParagraph"/>
              <w:numPr>
                <w:ilvl w:val="0"/>
                <w:numId w:val="32"/>
              </w:numPr>
              <w:spacing w:line="240" w:lineRule="auto"/>
              <w:ind w:left="480" w:hanging="158"/>
            </w:pPr>
            <w:r>
              <w:t>b</w:t>
            </w:r>
            <w:r w:rsidRPr="004105E4">
              <w:t>leeding diathesis</w:t>
            </w:r>
            <w:r>
              <w:t>,</w:t>
            </w:r>
            <w:r w:rsidRPr="004105E4">
              <w:t xml:space="preserve"> </w:t>
            </w:r>
            <w:r>
              <w:t>or</w:t>
            </w:r>
            <w:r w:rsidRPr="004105E4">
              <w:t xml:space="preserve"> </w:t>
            </w:r>
          </w:p>
          <w:p w14:paraId="17FC3283" w14:textId="77777777" w:rsidR="001D27A3" w:rsidRPr="004105E4" w:rsidRDefault="001D27A3" w:rsidP="00C962A9">
            <w:pPr>
              <w:pStyle w:val="ListParagraph"/>
              <w:numPr>
                <w:ilvl w:val="0"/>
                <w:numId w:val="32"/>
              </w:numPr>
              <w:spacing w:line="240" w:lineRule="auto"/>
              <w:ind w:left="480" w:hanging="158"/>
            </w:pPr>
            <w:r>
              <w:t>a</w:t>
            </w:r>
            <w:r w:rsidRPr="004105E4">
              <w:t>naemia</w:t>
            </w:r>
            <w:r>
              <w:t>,</w:t>
            </w:r>
            <w:r w:rsidRPr="004105E4">
              <w:t xml:space="preserve"> </w:t>
            </w:r>
            <w:r>
              <w:t>or</w:t>
            </w:r>
            <w:r w:rsidRPr="004105E4">
              <w:t xml:space="preserve"> </w:t>
            </w:r>
          </w:p>
          <w:p w14:paraId="412A7B05" w14:textId="77777777" w:rsidR="001D27A3" w:rsidRPr="004105E4" w:rsidRDefault="001D27A3" w:rsidP="00C962A9">
            <w:pPr>
              <w:pStyle w:val="ListParagraph"/>
              <w:numPr>
                <w:ilvl w:val="0"/>
                <w:numId w:val="32"/>
              </w:numPr>
              <w:spacing w:line="240" w:lineRule="auto"/>
              <w:ind w:left="480" w:hanging="158"/>
            </w:pPr>
            <w:r>
              <w:t>p</w:t>
            </w:r>
            <w:r w:rsidRPr="004105E4">
              <w:t>rior gastrointestinal bleed</w:t>
            </w:r>
            <w:r>
              <w:t>,</w:t>
            </w:r>
            <w:r w:rsidRPr="004105E4">
              <w:t xml:space="preserve"> </w:t>
            </w:r>
            <w:r>
              <w:t>or</w:t>
            </w:r>
            <w:r w:rsidRPr="004105E4">
              <w:t xml:space="preserve"> </w:t>
            </w:r>
          </w:p>
          <w:p w14:paraId="15BE47D6" w14:textId="77777777" w:rsidR="001D27A3" w:rsidRPr="004105E4" w:rsidRDefault="001D27A3" w:rsidP="00C962A9">
            <w:pPr>
              <w:pStyle w:val="ListParagraph"/>
              <w:numPr>
                <w:ilvl w:val="0"/>
                <w:numId w:val="32"/>
              </w:numPr>
              <w:spacing w:line="240" w:lineRule="auto"/>
              <w:ind w:left="480" w:hanging="158"/>
            </w:pPr>
            <w:r>
              <w:t>t</w:t>
            </w:r>
            <w:r w:rsidRPr="004105E4">
              <w:t>hrombocytopenia</w:t>
            </w:r>
            <w:r>
              <w:t>,</w:t>
            </w:r>
            <w:r w:rsidRPr="004105E4">
              <w:t xml:space="preserve"> </w:t>
            </w:r>
            <w:r>
              <w:t>or</w:t>
            </w:r>
            <w:r w:rsidRPr="004105E4">
              <w:t xml:space="preserve"> </w:t>
            </w:r>
          </w:p>
          <w:p w14:paraId="3FD68820" w14:textId="77777777" w:rsidR="001D27A3" w:rsidRPr="004105E4" w:rsidRDefault="001D27A3" w:rsidP="00C962A9">
            <w:pPr>
              <w:pStyle w:val="ListParagraph"/>
              <w:numPr>
                <w:ilvl w:val="0"/>
                <w:numId w:val="32"/>
              </w:numPr>
              <w:spacing w:line="240" w:lineRule="auto"/>
              <w:ind w:left="480" w:hanging="158"/>
            </w:pPr>
            <w:r>
              <w:t>h</w:t>
            </w:r>
            <w:r w:rsidRPr="004105E4">
              <w:t>aematological malignancy</w:t>
            </w:r>
            <w:r>
              <w:t>, or</w:t>
            </w:r>
            <w:r w:rsidRPr="004105E4">
              <w:t xml:space="preserve"> </w:t>
            </w:r>
          </w:p>
          <w:p w14:paraId="243113FC" w14:textId="77777777" w:rsidR="001D27A3" w:rsidRPr="004105E4" w:rsidRDefault="001D27A3" w:rsidP="00C962A9">
            <w:pPr>
              <w:pStyle w:val="ListParagraph"/>
              <w:numPr>
                <w:ilvl w:val="0"/>
                <w:numId w:val="32"/>
              </w:numPr>
              <w:spacing w:line="240" w:lineRule="auto"/>
              <w:ind w:left="480" w:hanging="158"/>
            </w:pPr>
            <w:r>
              <w:t>t</w:t>
            </w:r>
            <w:r w:rsidRPr="004105E4">
              <w:t>raumatic intracranial haemorrhage</w:t>
            </w:r>
            <w:r>
              <w:t>,</w:t>
            </w:r>
            <w:r w:rsidRPr="004105E4">
              <w:t xml:space="preserve"> </w:t>
            </w:r>
            <w:r>
              <w:t>or</w:t>
            </w:r>
          </w:p>
          <w:p w14:paraId="09D874A8" w14:textId="3CEF0D9E" w:rsidR="001D27A3" w:rsidRPr="004105E4" w:rsidRDefault="001D27A3" w:rsidP="00C962A9">
            <w:pPr>
              <w:pStyle w:val="ListParagraph"/>
              <w:numPr>
                <w:ilvl w:val="0"/>
                <w:numId w:val="32"/>
              </w:numPr>
              <w:spacing w:line="240" w:lineRule="auto"/>
              <w:ind w:left="480" w:hanging="158"/>
            </w:pPr>
            <w:r>
              <w:t>h</w:t>
            </w:r>
            <w:r w:rsidRPr="004105E4">
              <w:t>ypersensitivity to registered anticoagulant(s) – per the product i</w:t>
            </w:r>
            <w:r w:rsidR="008711CC">
              <w:t>nformation for each registered D</w:t>
            </w:r>
            <w:r w:rsidRPr="004105E4">
              <w:t>OAC</w:t>
            </w:r>
            <w:r>
              <w:t>, or</w:t>
            </w:r>
          </w:p>
          <w:p w14:paraId="4FFFF6CB" w14:textId="77777777" w:rsidR="001D27A3" w:rsidRPr="004105E4" w:rsidRDefault="001D27A3" w:rsidP="00C962A9">
            <w:pPr>
              <w:pStyle w:val="ListParagraph"/>
              <w:numPr>
                <w:ilvl w:val="0"/>
                <w:numId w:val="32"/>
              </w:numPr>
              <w:spacing w:line="240" w:lineRule="auto"/>
              <w:ind w:left="480" w:hanging="158"/>
            </w:pPr>
            <w:r>
              <w:t>h</w:t>
            </w:r>
            <w:r w:rsidRPr="004105E4">
              <w:t>igh falls risk</w:t>
            </w:r>
            <w:r>
              <w:t>,</w:t>
            </w:r>
            <w:r w:rsidRPr="004105E4">
              <w:t xml:space="preserve"> </w:t>
            </w:r>
            <w:r>
              <w:t>or</w:t>
            </w:r>
          </w:p>
          <w:p w14:paraId="349F8E49" w14:textId="17A0CA45" w:rsidR="000E2B9F" w:rsidRPr="00C962A9" w:rsidRDefault="001D27A3" w:rsidP="00C962A9">
            <w:pPr>
              <w:pStyle w:val="ListParagraph"/>
              <w:numPr>
                <w:ilvl w:val="0"/>
                <w:numId w:val="32"/>
              </w:numPr>
              <w:spacing w:line="240" w:lineRule="auto"/>
              <w:ind w:left="480" w:hanging="158"/>
            </w:pPr>
            <w:r>
              <w:t>c</w:t>
            </w:r>
            <w:r w:rsidRPr="004105E4">
              <w:t>ognitive impairment such as dementia</w:t>
            </w:r>
            <w:r>
              <w:t>.</w:t>
            </w:r>
          </w:p>
        </w:tc>
      </w:tr>
      <w:tr w:rsidR="00A84A56" w:rsidRPr="00084393" w14:paraId="19C77063" w14:textId="77777777" w:rsidTr="00A84A56">
        <w:tc>
          <w:tcPr>
            <w:tcW w:w="1005" w:type="pct"/>
            <w:tcBorders>
              <w:right w:val="single" w:sz="4" w:space="0" w:color="auto"/>
            </w:tcBorders>
          </w:tcPr>
          <w:p w14:paraId="075957CF" w14:textId="77777777" w:rsidR="00A84A56" w:rsidRPr="00084393" w:rsidRDefault="00A84A56" w:rsidP="00F12E59">
            <w:pPr>
              <w:spacing w:before="20" w:after="20" w:line="240" w:lineRule="auto"/>
              <w:rPr>
                <w:rFonts w:cs="Arial"/>
              </w:rPr>
            </w:pPr>
            <w:r w:rsidRPr="00084393">
              <w:rPr>
                <w:rFonts w:cs="Arial"/>
              </w:rPr>
              <w:lastRenderedPageBreak/>
              <w:t>Intervention</w:t>
            </w:r>
          </w:p>
        </w:tc>
        <w:tc>
          <w:tcPr>
            <w:tcW w:w="3995" w:type="pct"/>
            <w:tcBorders>
              <w:top w:val="single" w:sz="4" w:space="0" w:color="auto"/>
              <w:left w:val="single" w:sz="4" w:space="0" w:color="auto"/>
              <w:bottom w:val="single" w:sz="4" w:space="0" w:color="auto"/>
              <w:right w:val="single" w:sz="4" w:space="0" w:color="auto"/>
            </w:tcBorders>
          </w:tcPr>
          <w:p w14:paraId="098A4D62" w14:textId="77777777" w:rsidR="00A84A56" w:rsidRPr="00252437" w:rsidRDefault="00252437" w:rsidP="00C962A9">
            <w:pPr>
              <w:spacing w:line="240" w:lineRule="auto"/>
            </w:pPr>
            <w:r w:rsidRPr="00252437">
              <w:t xml:space="preserve">Percutaneous insertion of a left atrial appendage closure (LAAC) device to occlude the left atrial appendage (LAA) </w:t>
            </w:r>
          </w:p>
        </w:tc>
      </w:tr>
      <w:tr w:rsidR="00A84A56" w:rsidRPr="00084393" w14:paraId="52E68406" w14:textId="77777777" w:rsidTr="00A84A56">
        <w:tc>
          <w:tcPr>
            <w:tcW w:w="1005" w:type="pct"/>
            <w:tcBorders>
              <w:right w:val="single" w:sz="4" w:space="0" w:color="auto"/>
            </w:tcBorders>
          </w:tcPr>
          <w:p w14:paraId="132F39E5" w14:textId="77777777" w:rsidR="00A84A56" w:rsidRPr="00084393" w:rsidRDefault="00A84A56" w:rsidP="00F12E59">
            <w:pPr>
              <w:spacing w:before="20" w:after="20" w:line="240" w:lineRule="auto"/>
              <w:rPr>
                <w:rFonts w:cs="Arial"/>
              </w:rPr>
            </w:pPr>
            <w:r w:rsidRPr="00084393">
              <w:rPr>
                <w:rFonts w:cs="Arial"/>
              </w:rPr>
              <w:t>Comparator</w:t>
            </w:r>
          </w:p>
        </w:tc>
        <w:tc>
          <w:tcPr>
            <w:tcW w:w="3995" w:type="pct"/>
            <w:tcBorders>
              <w:top w:val="single" w:sz="4" w:space="0" w:color="auto"/>
              <w:left w:val="single" w:sz="4" w:space="0" w:color="auto"/>
              <w:bottom w:val="single" w:sz="4" w:space="0" w:color="auto"/>
              <w:right w:val="single" w:sz="4" w:space="0" w:color="auto"/>
            </w:tcBorders>
          </w:tcPr>
          <w:p w14:paraId="11D3638F" w14:textId="759F0CF5" w:rsidR="000E2B9F" w:rsidRDefault="000E2B9F" w:rsidP="00C962A9">
            <w:pPr>
              <w:spacing w:line="240" w:lineRule="auto"/>
            </w:pPr>
            <w:r>
              <w:t>Population 1:  Placebo or standard of care</w:t>
            </w:r>
          </w:p>
          <w:p w14:paraId="15CCB4F3" w14:textId="4D5CBBD1" w:rsidR="00252437" w:rsidRDefault="000E2B9F" w:rsidP="00C962A9">
            <w:pPr>
              <w:spacing w:line="240" w:lineRule="auto"/>
            </w:pPr>
            <w:r>
              <w:t xml:space="preserve">Population 2: </w:t>
            </w:r>
            <w:r w:rsidR="00033C05">
              <w:t xml:space="preserve">Preferred: </w:t>
            </w:r>
            <w:r w:rsidR="00FD7433">
              <w:t xml:space="preserve">Direct oral anticoagulants </w:t>
            </w:r>
            <w:r w:rsidR="00252437" w:rsidRPr="00D66ED0">
              <w:t>(</w:t>
            </w:r>
            <w:r w:rsidR="00FD7433">
              <w:t>D</w:t>
            </w:r>
            <w:r w:rsidR="00252437" w:rsidRPr="00D66ED0">
              <w:t>OAC)</w:t>
            </w:r>
            <w:r w:rsidR="007E7CE4">
              <w:t xml:space="preserve"> </w:t>
            </w:r>
            <w:r w:rsidR="006C5B52">
              <w:t>on the Australian Register of Therapeutic Goods</w:t>
            </w:r>
            <w:r w:rsidR="00033C05">
              <w:t>, noting evidence comparing agents not registered in Australia is not directly relevant</w:t>
            </w:r>
          </w:p>
          <w:p w14:paraId="69468EF0" w14:textId="77777777" w:rsidR="00A84A56" w:rsidRPr="00DD456A" w:rsidRDefault="00252437" w:rsidP="00C962A9">
            <w:pPr>
              <w:spacing w:line="240" w:lineRule="auto"/>
              <w:rPr>
                <w:color w:val="FF0000"/>
                <w:u w:val="dotted"/>
              </w:rPr>
            </w:pPr>
            <w:r>
              <w:t>Alternative: warfarin</w:t>
            </w:r>
          </w:p>
        </w:tc>
      </w:tr>
      <w:tr w:rsidR="00A84A56" w:rsidRPr="00084393" w14:paraId="4DBE52AD" w14:textId="77777777" w:rsidTr="00A84A56">
        <w:tc>
          <w:tcPr>
            <w:tcW w:w="1005" w:type="pct"/>
            <w:tcBorders>
              <w:right w:val="single" w:sz="4" w:space="0" w:color="auto"/>
            </w:tcBorders>
          </w:tcPr>
          <w:p w14:paraId="7063B72A" w14:textId="77777777" w:rsidR="00A84A56" w:rsidRPr="00084393" w:rsidRDefault="00A84A56" w:rsidP="00F12E59">
            <w:pPr>
              <w:spacing w:before="20" w:after="20" w:line="240" w:lineRule="auto"/>
              <w:rPr>
                <w:rFonts w:cs="Arial"/>
              </w:rPr>
            </w:pPr>
            <w:r w:rsidRPr="00084393">
              <w:rPr>
                <w:rFonts w:cs="Arial"/>
              </w:rPr>
              <w:t>Outcomes</w:t>
            </w:r>
          </w:p>
        </w:tc>
        <w:tc>
          <w:tcPr>
            <w:tcW w:w="3995" w:type="pct"/>
            <w:tcBorders>
              <w:top w:val="single" w:sz="4" w:space="0" w:color="auto"/>
              <w:left w:val="single" w:sz="4" w:space="0" w:color="auto"/>
              <w:bottom w:val="single" w:sz="4" w:space="0" w:color="auto"/>
              <w:right w:val="single" w:sz="4" w:space="0" w:color="auto"/>
            </w:tcBorders>
          </w:tcPr>
          <w:p w14:paraId="7066C654" w14:textId="016FC5A0" w:rsidR="00771351" w:rsidRDefault="00771351" w:rsidP="00C962A9">
            <w:pPr>
              <w:spacing w:after="60" w:line="240" w:lineRule="auto"/>
              <w:rPr>
                <w:b/>
                <w:color w:val="000000" w:themeColor="text1"/>
              </w:rPr>
            </w:pPr>
            <w:r>
              <w:rPr>
                <w:b/>
                <w:color w:val="000000" w:themeColor="text1"/>
              </w:rPr>
              <w:t>Efficacy/effectiveness</w:t>
            </w:r>
          </w:p>
          <w:p w14:paraId="5B2DE10B" w14:textId="77777777" w:rsidR="00771351" w:rsidRPr="002F4588" w:rsidRDefault="00771351" w:rsidP="00C962A9">
            <w:pPr>
              <w:spacing w:after="0" w:line="240" w:lineRule="auto"/>
              <w:rPr>
                <w:color w:val="000000" w:themeColor="text1"/>
                <w:u w:val="single"/>
              </w:rPr>
            </w:pPr>
            <w:r w:rsidRPr="002F4588">
              <w:rPr>
                <w:color w:val="000000" w:themeColor="text1"/>
                <w:u w:val="single"/>
              </w:rPr>
              <w:t>Primary effectiveness</w:t>
            </w:r>
          </w:p>
          <w:p w14:paraId="0A1F40A9" w14:textId="165C7512" w:rsidR="00771351" w:rsidRDefault="00771351" w:rsidP="00C962A9">
            <w:pPr>
              <w:pStyle w:val="ListParagraph"/>
              <w:numPr>
                <w:ilvl w:val="0"/>
                <w:numId w:val="5"/>
              </w:numPr>
              <w:spacing w:after="0" w:line="240" w:lineRule="auto"/>
              <w:rPr>
                <w:color w:val="000000" w:themeColor="text1"/>
              </w:rPr>
            </w:pPr>
            <w:r w:rsidRPr="00771351">
              <w:rPr>
                <w:color w:val="000000" w:themeColor="text1"/>
              </w:rPr>
              <w:t xml:space="preserve">Stroke </w:t>
            </w:r>
            <w:r w:rsidR="00796654">
              <w:rPr>
                <w:color w:val="000000" w:themeColor="text1"/>
              </w:rPr>
              <w:t xml:space="preserve">incidence </w:t>
            </w:r>
            <w:r w:rsidRPr="00771351">
              <w:rPr>
                <w:color w:val="000000" w:themeColor="text1"/>
              </w:rPr>
              <w:t xml:space="preserve">rate (ischaemic </w:t>
            </w:r>
            <w:r w:rsidR="00796654">
              <w:rPr>
                <w:color w:val="000000" w:themeColor="text1"/>
              </w:rPr>
              <w:t xml:space="preserve">(embolic) </w:t>
            </w:r>
            <w:r w:rsidRPr="00771351">
              <w:rPr>
                <w:color w:val="000000" w:themeColor="text1"/>
              </w:rPr>
              <w:t>stroke and haemorrhagic stroke)</w:t>
            </w:r>
          </w:p>
          <w:p w14:paraId="7BF0EAEA" w14:textId="48FB91C3" w:rsidR="00796654" w:rsidRPr="00033C05" w:rsidRDefault="00796654" w:rsidP="00C962A9">
            <w:pPr>
              <w:pStyle w:val="ListParagraph"/>
              <w:numPr>
                <w:ilvl w:val="0"/>
                <w:numId w:val="5"/>
              </w:numPr>
              <w:spacing w:after="0" w:line="240" w:lineRule="auto"/>
              <w:rPr>
                <w:i/>
                <w:color w:val="000000" w:themeColor="text1"/>
              </w:rPr>
            </w:pPr>
            <w:r w:rsidRPr="00033C05">
              <w:rPr>
                <w:color w:val="000000" w:themeColor="text1"/>
              </w:rPr>
              <w:t>Visceral/limb emboli</w:t>
            </w:r>
            <w:r w:rsidR="00033C05" w:rsidRPr="00033C05">
              <w:t xml:space="preserve"> </w:t>
            </w:r>
            <w:r w:rsidR="00033C05">
              <w:t>, noting n</w:t>
            </w:r>
            <w:r w:rsidR="00033C05" w:rsidRPr="00033C05">
              <w:rPr>
                <w:color w:val="000000" w:themeColor="text1"/>
              </w:rPr>
              <w:t>ot all emboli will</w:t>
            </w:r>
            <w:r w:rsidR="00C962A9">
              <w:rPr>
                <w:color w:val="000000" w:themeColor="text1"/>
              </w:rPr>
              <w:t xml:space="preserve"> end up in cerebral circulation</w:t>
            </w:r>
          </w:p>
          <w:p w14:paraId="6C0048D1" w14:textId="77777777" w:rsidR="00771351" w:rsidRPr="00771351" w:rsidRDefault="00771351" w:rsidP="00C962A9">
            <w:pPr>
              <w:pStyle w:val="ListParagraph"/>
              <w:numPr>
                <w:ilvl w:val="0"/>
                <w:numId w:val="5"/>
              </w:numPr>
              <w:spacing w:after="0" w:line="240" w:lineRule="auto"/>
              <w:rPr>
                <w:color w:val="000000" w:themeColor="text1"/>
              </w:rPr>
            </w:pPr>
            <w:r w:rsidRPr="00771351">
              <w:rPr>
                <w:color w:val="000000" w:themeColor="text1"/>
              </w:rPr>
              <w:t xml:space="preserve">All-cause mortality </w:t>
            </w:r>
          </w:p>
          <w:p w14:paraId="61F66752" w14:textId="77777777" w:rsidR="00771351" w:rsidRPr="00771351" w:rsidRDefault="00771351" w:rsidP="00C962A9">
            <w:pPr>
              <w:pStyle w:val="ListParagraph"/>
              <w:numPr>
                <w:ilvl w:val="0"/>
                <w:numId w:val="5"/>
              </w:numPr>
              <w:spacing w:after="0" w:line="240" w:lineRule="auto"/>
              <w:rPr>
                <w:color w:val="000000" w:themeColor="text1"/>
              </w:rPr>
            </w:pPr>
            <w:r w:rsidRPr="00771351">
              <w:rPr>
                <w:color w:val="000000" w:themeColor="text1"/>
              </w:rPr>
              <w:t>Cardiovascular mortality</w:t>
            </w:r>
          </w:p>
          <w:p w14:paraId="44E6961F" w14:textId="77777777" w:rsidR="00771351" w:rsidRPr="00771351" w:rsidRDefault="00771351" w:rsidP="00C962A9">
            <w:pPr>
              <w:pStyle w:val="ListParagraph"/>
              <w:numPr>
                <w:ilvl w:val="0"/>
                <w:numId w:val="5"/>
              </w:numPr>
              <w:spacing w:after="60" w:line="240" w:lineRule="auto"/>
              <w:rPr>
                <w:color w:val="000000" w:themeColor="text1"/>
              </w:rPr>
            </w:pPr>
            <w:r w:rsidRPr="00771351">
              <w:rPr>
                <w:color w:val="000000" w:themeColor="text1"/>
              </w:rPr>
              <w:t>Health-related quality of life (HRQoL)</w:t>
            </w:r>
          </w:p>
          <w:p w14:paraId="5D19FB3A" w14:textId="77777777" w:rsidR="00771351" w:rsidRPr="002F4588" w:rsidRDefault="00771351" w:rsidP="00C962A9">
            <w:pPr>
              <w:keepNext/>
              <w:spacing w:after="0" w:line="240" w:lineRule="auto"/>
              <w:rPr>
                <w:color w:val="000000" w:themeColor="text1"/>
                <w:u w:val="single"/>
              </w:rPr>
            </w:pPr>
            <w:r w:rsidRPr="002F4588">
              <w:rPr>
                <w:color w:val="000000" w:themeColor="text1"/>
                <w:u w:val="single"/>
              </w:rPr>
              <w:t>Secondary effectiveness</w:t>
            </w:r>
          </w:p>
          <w:p w14:paraId="37FD32EA" w14:textId="48C7C35A" w:rsidR="00771351" w:rsidRPr="00771351" w:rsidRDefault="00771351" w:rsidP="00C962A9">
            <w:pPr>
              <w:pStyle w:val="ListParagraph"/>
              <w:keepNext/>
              <w:numPr>
                <w:ilvl w:val="0"/>
                <w:numId w:val="6"/>
              </w:numPr>
              <w:spacing w:line="240" w:lineRule="auto"/>
              <w:rPr>
                <w:b/>
                <w:color w:val="000000" w:themeColor="text1"/>
              </w:rPr>
            </w:pPr>
            <w:r w:rsidRPr="00771351">
              <w:rPr>
                <w:color w:val="000000" w:themeColor="text1"/>
              </w:rPr>
              <w:t>Procedure success i.e. successful transcatheter occlusion of LAA</w:t>
            </w:r>
          </w:p>
          <w:p w14:paraId="3C76B00F" w14:textId="1B73C528" w:rsidR="002F4588" w:rsidRPr="002F4588" w:rsidRDefault="002F4588" w:rsidP="00C962A9">
            <w:pPr>
              <w:spacing w:after="0" w:line="240" w:lineRule="auto"/>
              <w:rPr>
                <w:b/>
                <w:color w:val="000000" w:themeColor="text1"/>
              </w:rPr>
            </w:pPr>
            <w:r w:rsidRPr="002F4588">
              <w:rPr>
                <w:b/>
                <w:color w:val="000000" w:themeColor="text1"/>
              </w:rPr>
              <w:t xml:space="preserve">Safety </w:t>
            </w:r>
          </w:p>
          <w:p w14:paraId="304CF535" w14:textId="77777777" w:rsidR="002F4588" w:rsidRPr="00771351" w:rsidRDefault="002F4588" w:rsidP="00C962A9">
            <w:pPr>
              <w:pStyle w:val="ListParagraph"/>
              <w:numPr>
                <w:ilvl w:val="0"/>
                <w:numId w:val="6"/>
              </w:numPr>
              <w:spacing w:after="0" w:line="240" w:lineRule="auto"/>
              <w:rPr>
                <w:color w:val="000000" w:themeColor="text1"/>
              </w:rPr>
            </w:pPr>
            <w:r w:rsidRPr="00771351">
              <w:rPr>
                <w:color w:val="000000" w:themeColor="text1"/>
              </w:rPr>
              <w:t>Major bleeding events (procedural and post-procedural)</w:t>
            </w:r>
          </w:p>
          <w:p w14:paraId="1367D038" w14:textId="77777777" w:rsidR="002F4588" w:rsidRPr="00771351" w:rsidRDefault="002F4588" w:rsidP="00C962A9">
            <w:pPr>
              <w:pStyle w:val="ListParagraph"/>
              <w:numPr>
                <w:ilvl w:val="0"/>
                <w:numId w:val="6"/>
              </w:numPr>
              <w:spacing w:after="0" w:line="240" w:lineRule="auto"/>
              <w:rPr>
                <w:color w:val="000000" w:themeColor="text1"/>
              </w:rPr>
            </w:pPr>
            <w:r w:rsidRPr="00771351">
              <w:rPr>
                <w:color w:val="000000" w:themeColor="text1"/>
              </w:rPr>
              <w:t>Procedural adverse events with LAAC</w:t>
            </w:r>
          </w:p>
          <w:p w14:paraId="10AB9F48" w14:textId="77777777" w:rsidR="002F4588" w:rsidRPr="00771351" w:rsidRDefault="002F4588" w:rsidP="00C962A9">
            <w:pPr>
              <w:pStyle w:val="ListParagraph"/>
              <w:numPr>
                <w:ilvl w:val="0"/>
                <w:numId w:val="6"/>
              </w:numPr>
              <w:spacing w:line="240" w:lineRule="auto"/>
              <w:rPr>
                <w:color w:val="000000" w:themeColor="text1"/>
              </w:rPr>
            </w:pPr>
            <w:r w:rsidRPr="00771351">
              <w:rPr>
                <w:color w:val="000000" w:themeColor="text1"/>
              </w:rPr>
              <w:t xml:space="preserve">Post procedural adverse events with LAAC vs comparators </w:t>
            </w:r>
          </w:p>
          <w:p w14:paraId="11E788D5" w14:textId="77777777" w:rsidR="00771351" w:rsidRPr="00771351" w:rsidRDefault="00771351" w:rsidP="00C962A9">
            <w:pPr>
              <w:spacing w:after="0" w:line="240" w:lineRule="auto"/>
              <w:rPr>
                <w:b/>
                <w:color w:val="000000" w:themeColor="text1"/>
              </w:rPr>
            </w:pPr>
            <w:r w:rsidRPr="00771351">
              <w:rPr>
                <w:b/>
                <w:color w:val="000000" w:themeColor="text1"/>
              </w:rPr>
              <w:t>Healthcare resources</w:t>
            </w:r>
          </w:p>
          <w:p w14:paraId="7A79183C" w14:textId="77777777" w:rsidR="00771351" w:rsidRPr="00771351" w:rsidRDefault="00771351" w:rsidP="00C962A9">
            <w:pPr>
              <w:numPr>
                <w:ilvl w:val="0"/>
                <w:numId w:val="3"/>
              </w:numPr>
              <w:spacing w:line="240" w:lineRule="auto"/>
              <w:rPr>
                <w:b/>
                <w:color w:val="000000" w:themeColor="text1"/>
              </w:rPr>
            </w:pPr>
            <w:r w:rsidRPr="00771351">
              <w:rPr>
                <w:color w:val="000000" w:themeColor="text1"/>
              </w:rPr>
              <w:t>Cost to deliver intervention</w:t>
            </w:r>
          </w:p>
          <w:p w14:paraId="078F6474" w14:textId="77777777" w:rsidR="00771351" w:rsidRPr="00771351" w:rsidRDefault="00771351" w:rsidP="00C962A9">
            <w:pPr>
              <w:spacing w:after="0" w:line="240" w:lineRule="auto"/>
              <w:rPr>
                <w:b/>
                <w:color w:val="000000" w:themeColor="text1"/>
              </w:rPr>
            </w:pPr>
            <w:r w:rsidRPr="00771351">
              <w:rPr>
                <w:b/>
                <w:color w:val="000000" w:themeColor="text1"/>
              </w:rPr>
              <w:t>Total Australian Government Healthcare costs</w:t>
            </w:r>
          </w:p>
          <w:p w14:paraId="3E20B1E3" w14:textId="77777777" w:rsidR="00771351" w:rsidRDefault="00771351" w:rsidP="00C962A9">
            <w:pPr>
              <w:numPr>
                <w:ilvl w:val="0"/>
                <w:numId w:val="4"/>
              </w:numPr>
              <w:spacing w:after="0" w:line="240" w:lineRule="auto"/>
              <w:rPr>
                <w:color w:val="000000" w:themeColor="text1"/>
              </w:rPr>
            </w:pPr>
            <w:r w:rsidRPr="00771351">
              <w:rPr>
                <w:color w:val="000000" w:themeColor="text1"/>
              </w:rPr>
              <w:t>Total cost to the Medicare Benefits Schedule (MBS)</w:t>
            </w:r>
          </w:p>
          <w:p w14:paraId="2BFE16D2" w14:textId="63A14D55" w:rsidR="00A84A56" w:rsidRPr="00771351" w:rsidRDefault="00771351" w:rsidP="00C962A9">
            <w:pPr>
              <w:numPr>
                <w:ilvl w:val="0"/>
                <w:numId w:val="4"/>
              </w:numPr>
              <w:spacing w:after="0" w:line="240" w:lineRule="auto"/>
              <w:rPr>
                <w:color w:val="000000" w:themeColor="text1"/>
              </w:rPr>
            </w:pPr>
            <w:r w:rsidRPr="00771351">
              <w:rPr>
                <w:color w:val="000000" w:themeColor="text1"/>
              </w:rPr>
              <w:t>Total cost to other healthcare services</w:t>
            </w:r>
          </w:p>
        </w:tc>
      </w:tr>
    </w:tbl>
    <w:p w14:paraId="19768F44" w14:textId="77777777" w:rsidR="002A4909" w:rsidRDefault="002A4909" w:rsidP="002A4909">
      <w:pPr>
        <w:rPr>
          <w:color w:val="548DD4"/>
        </w:rPr>
      </w:pPr>
    </w:p>
    <w:p w14:paraId="7462E410" w14:textId="77777777" w:rsidR="00F12E59" w:rsidRDefault="00F12E59">
      <w:pPr>
        <w:rPr>
          <w:rFonts w:eastAsia="MS Gothic"/>
          <w:b/>
          <w:bCs/>
          <w:i/>
          <w:color w:val="548DD4"/>
          <w:szCs w:val="26"/>
          <w:u w:val="single"/>
        </w:rPr>
      </w:pPr>
      <w:r>
        <w:rPr>
          <w:rFonts w:eastAsia="MS Gothic"/>
          <w:b/>
          <w:bCs/>
          <w:i/>
          <w:color w:val="548DD4"/>
          <w:szCs w:val="26"/>
          <w:u w:val="single"/>
        </w:rPr>
        <w:br w:type="page"/>
      </w:r>
    </w:p>
    <w:p w14:paraId="10D43B24" w14:textId="77777777" w:rsidR="007F4E20" w:rsidRPr="00E364F7" w:rsidRDefault="00E364F7" w:rsidP="00E77853">
      <w:pPr>
        <w:spacing w:after="120"/>
        <w:rPr>
          <w:rFonts w:eastAsia="MS Gothic"/>
          <w:bCs/>
          <w:color w:val="548DD4"/>
          <w:szCs w:val="26"/>
        </w:rPr>
      </w:pPr>
      <w:r w:rsidRPr="00E364F7">
        <w:rPr>
          <w:rFonts w:eastAsia="MS Gothic"/>
          <w:b/>
          <w:bCs/>
          <w:i/>
          <w:color w:val="548DD4"/>
          <w:szCs w:val="26"/>
          <w:u w:val="single"/>
        </w:rPr>
        <w:lastRenderedPageBreak/>
        <w:t>PICO</w:t>
      </w:r>
      <w:r w:rsidR="00953ED7">
        <w:rPr>
          <w:rFonts w:eastAsia="MS Gothic"/>
          <w:b/>
          <w:bCs/>
          <w:i/>
          <w:color w:val="548DD4"/>
          <w:szCs w:val="26"/>
          <w:u w:val="single"/>
        </w:rPr>
        <w:t xml:space="preserve"> or PPICO</w:t>
      </w:r>
      <w:r w:rsidRPr="00E364F7">
        <w:rPr>
          <w:rFonts w:eastAsia="MS Gothic"/>
          <w:b/>
          <w:bCs/>
          <w:i/>
          <w:color w:val="548DD4"/>
          <w:szCs w:val="26"/>
          <w:u w:val="single"/>
        </w:rPr>
        <w:t xml:space="preserve"> rationale</w:t>
      </w:r>
      <w:r w:rsidR="006D1643">
        <w:rPr>
          <w:rFonts w:eastAsia="MS Gothic"/>
          <w:b/>
          <w:bCs/>
          <w:i/>
          <w:color w:val="548DD4"/>
          <w:szCs w:val="26"/>
          <w:u w:val="single"/>
        </w:rPr>
        <w:t xml:space="preserve"> for therapeutic </w:t>
      </w:r>
      <w:r w:rsidR="00B45971">
        <w:rPr>
          <w:rFonts w:eastAsia="MS Gothic"/>
          <w:b/>
          <w:bCs/>
          <w:i/>
          <w:color w:val="548DD4"/>
          <w:szCs w:val="26"/>
          <w:u w:val="single"/>
        </w:rPr>
        <w:t xml:space="preserve">and investigative </w:t>
      </w:r>
      <w:r w:rsidR="00BA63AA">
        <w:rPr>
          <w:rFonts w:eastAsia="MS Gothic"/>
          <w:b/>
          <w:bCs/>
          <w:i/>
          <w:color w:val="548DD4"/>
          <w:szCs w:val="26"/>
          <w:u w:val="single"/>
        </w:rPr>
        <w:t>medical services only</w:t>
      </w:r>
    </w:p>
    <w:p w14:paraId="7753F991" w14:textId="309F8F1B" w:rsidR="00E77853" w:rsidRDefault="00554107" w:rsidP="00781BAE">
      <w:pPr>
        <w:pStyle w:val="Heading3"/>
      </w:pPr>
      <w:r w:rsidRPr="00C821D8">
        <w:t>POPULATION</w:t>
      </w:r>
    </w:p>
    <w:p w14:paraId="67CB76F2" w14:textId="6661D113" w:rsidR="00EC1A64" w:rsidRDefault="00EC1A64" w:rsidP="00BC6DF7">
      <w:r>
        <w:t xml:space="preserve">This is an application </w:t>
      </w:r>
      <w:r w:rsidR="00A6420B">
        <w:t xml:space="preserve">to amend </w:t>
      </w:r>
      <w:r>
        <w:t xml:space="preserve">the </w:t>
      </w:r>
      <w:r w:rsidR="00A6420B">
        <w:t>current patient population under</w:t>
      </w:r>
      <w:r>
        <w:t xml:space="preserve"> existing MBS item 38276, which has been listed on the M</w:t>
      </w:r>
      <w:r w:rsidR="00A6420B">
        <w:t>edicare Benefits Schedule (M</w:t>
      </w:r>
      <w:r>
        <w:t>BS</w:t>
      </w:r>
      <w:r w:rsidR="00A6420B">
        <w:t>)</w:t>
      </w:r>
      <w:r>
        <w:t xml:space="preserve"> since 1 November 2017.</w:t>
      </w:r>
    </w:p>
    <w:p w14:paraId="07411828" w14:textId="77777777" w:rsidR="00F57624" w:rsidRPr="00F57624" w:rsidRDefault="00F57624" w:rsidP="00F57624">
      <w:pPr>
        <w:rPr>
          <w:i/>
        </w:rPr>
      </w:pPr>
      <w:r w:rsidRPr="00F57624">
        <w:rPr>
          <w:i/>
        </w:rPr>
        <w:t>PASC noted the purpose of this application was to amend MBS item 38276 to expand the definition of contraindication to lifelong oral anticoagulation therapy (OAT) to include ‘relative’ contraindications to OAT.</w:t>
      </w:r>
    </w:p>
    <w:p w14:paraId="519EB0D3" w14:textId="621D091E" w:rsidR="00F57624" w:rsidRPr="00F57624" w:rsidRDefault="00F57624" w:rsidP="00F57624">
      <w:pPr>
        <w:rPr>
          <w:i/>
        </w:rPr>
      </w:pPr>
      <w:r w:rsidRPr="00F57624">
        <w:rPr>
          <w:i/>
        </w:rPr>
        <w:t xml:space="preserve">PASC recalled that MBS item 38276 was listed on the MBS on 1/11/2017 following support of application 1347.1 for a population with ‘absolute’ contraindication to OAT defined as a previous major bleeding complication experienced whilst undergoing treatment with oral anticoagulation therapy;  or a blood dyscrasia; or a vascular abnormality predisposing to potentially life threatening haemorrhage. Compared with </w:t>
      </w:r>
      <w:r w:rsidRPr="00F57624">
        <w:rPr>
          <w:b/>
          <w:bCs/>
          <w:i/>
        </w:rPr>
        <w:t>placebo,</w:t>
      </w:r>
      <w:r w:rsidRPr="00F57624">
        <w:rPr>
          <w:i/>
        </w:rPr>
        <w:t xml:space="preserve"> MSAC concluded that there was evidence of reasonable safety, improved clinical outcomes and cost-effectiveness in high need population.</w:t>
      </w:r>
    </w:p>
    <w:p w14:paraId="63C940CB" w14:textId="5D102D32" w:rsidR="00BC6DF7" w:rsidRDefault="00BC6DF7" w:rsidP="00BC6DF7">
      <w:pPr>
        <w:rPr>
          <w:bCs/>
          <w:color w:val="000000" w:themeColor="text1"/>
        </w:rPr>
      </w:pPr>
      <w:r>
        <w:t>The proposed population for tr</w:t>
      </w:r>
      <w:r w:rsidRPr="00BC6DF7">
        <w:t xml:space="preserve">anscatheter occlusion of the left atrial appendage </w:t>
      </w:r>
      <w:r>
        <w:t>is</w:t>
      </w:r>
      <w:r w:rsidRPr="00BC6DF7">
        <w:t xml:space="preserve"> patients with </w:t>
      </w:r>
      <w:r>
        <w:t>n</w:t>
      </w:r>
      <w:r>
        <w:rPr>
          <w:bCs/>
          <w:color w:val="000000" w:themeColor="text1"/>
        </w:rPr>
        <w:t>on-valvular atrial fibrillation</w:t>
      </w:r>
      <w:r w:rsidRPr="00603D41">
        <w:rPr>
          <w:bCs/>
          <w:color w:val="000000" w:themeColor="text1"/>
        </w:rPr>
        <w:t xml:space="preserve"> </w:t>
      </w:r>
      <w:r>
        <w:rPr>
          <w:bCs/>
          <w:color w:val="000000" w:themeColor="text1"/>
        </w:rPr>
        <w:t>(NVAF)</w:t>
      </w:r>
      <w:r w:rsidR="00A6420B">
        <w:rPr>
          <w:bCs/>
          <w:color w:val="000000" w:themeColor="text1"/>
        </w:rPr>
        <w:t>,</w:t>
      </w:r>
      <w:r>
        <w:rPr>
          <w:bCs/>
          <w:color w:val="000000" w:themeColor="text1"/>
        </w:rPr>
        <w:t xml:space="preserve"> </w:t>
      </w:r>
      <w:r w:rsidRPr="00603D41">
        <w:rPr>
          <w:bCs/>
          <w:color w:val="000000" w:themeColor="text1"/>
        </w:rPr>
        <w:t xml:space="preserve">assessed by a non-interventional and interventional </w:t>
      </w:r>
      <w:r w:rsidR="00E1534A">
        <w:rPr>
          <w:bCs/>
          <w:color w:val="000000" w:themeColor="text1"/>
        </w:rPr>
        <w:t>cardiologist</w:t>
      </w:r>
      <w:r w:rsidR="00A6420B">
        <w:rPr>
          <w:bCs/>
          <w:color w:val="000000" w:themeColor="text1"/>
        </w:rPr>
        <w:t xml:space="preserve"> as </w:t>
      </w:r>
      <w:r w:rsidRPr="00603D41">
        <w:rPr>
          <w:bCs/>
          <w:color w:val="000000" w:themeColor="text1"/>
        </w:rPr>
        <w:t xml:space="preserve">having </w:t>
      </w:r>
      <w:r w:rsidR="00A6420B">
        <w:rPr>
          <w:bCs/>
          <w:color w:val="000000" w:themeColor="text1"/>
        </w:rPr>
        <w:t xml:space="preserve">a </w:t>
      </w:r>
      <w:r w:rsidRPr="00603D41">
        <w:rPr>
          <w:bCs/>
          <w:color w:val="000000" w:themeColor="text1"/>
        </w:rPr>
        <w:t>contraindication to life</w:t>
      </w:r>
      <w:r w:rsidRPr="00603D41">
        <w:rPr>
          <w:rFonts w:ascii="Cambria Math" w:hAnsi="Cambria Math" w:cs="Cambria Math"/>
          <w:bCs/>
          <w:color w:val="000000" w:themeColor="text1"/>
        </w:rPr>
        <w:t>‑</w:t>
      </w:r>
      <w:r w:rsidRPr="00603D41">
        <w:rPr>
          <w:bCs/>
          <w:color w:val="000000" w:themeColor="text1"/>
        </w:rPr>
        <w:t>long oral anticoagulation therapy</w:t>
      </w:r>
      <w:r w:rsidR="00655715">
        <w:rPr>
          <w:bCs/>
          <w:color w:val="000000" w:themeColor="text1"/>
        </w:rPr>
        <w:t xml:space="preserve"> (OAT)</w:t>
      </w:r>
      <w:r w:rsidRPr="00603D41">
        <w:rPr>
          <w:bCs/>
          <w:color w:val="000000" w:themeColor="text1"/>
        </w:rPr>
        <w:t xml:space="preserve">, and </w:t>
      </w:r>
      <w:r>
        <w:rPr>
          <w:bCs/>
          <w:color w:val="000000" w:themeColor="text1"/>
        </w:rPr>
        <w:t>being</w:t>
      </w:r>
      <w:r w:rsidRPr="00603D41">
        <w:rPr>
          <w:bCs/>
          <w:color w:val="000000" w:themeColor="text1"/>
        </w:rPr>
        <w:t xml:space="preserve"> at increased risk of thromboembolism</w:t>
      </w:r>
      <w:r>
        <w:rPr>
          <w:bCs/>
          <w:color w:val="000000" w:themeColor="text1"/>
        </w:rPr>
        <w:t xml:space="preserve">. </w:t>
      </w:r>
    </w:p>
    <w:p w14:paraId="61F4EF3C" w14:textId="4A3BB9E4" w:rsidR="00BC6DF7" w:rsidRPr="00603D41" w:rsidRDefault="00BC6DF7" w:rsidP="00E70DAD">
      <w:pPr>
        <w:spacing w:after="0"/>
        <w:rPr>
          <w:bCs/>
          <w:color w:val="000000" w:themeColor="text1"/>
        </w:rPr>
      </w:pPr>
      <w:r>
        <w:rPr>
          <w:bCs/>
          <w:color w:val="000000" w:themeColor="text1"/>
        </w:rPr>
        <w:t>Increased risk of thromboembolism is</w:t>
      </w:r>
      <w:r w:rsidRPr="00603D41">
        <w:rPr>
          <w:bCs/>
          <w:color w:val="000000" w:themeColor="text1"/>
        </w:rPr>
        <w:t xml:space="preserve"> demonstrated by:</w:t>
      </w:r>
    </w:p>
    <w:p w14:paraId="0C8AA937" w14:textId="61085703" w:rsidR="00BC6DF7" w:rsidRPr="00BC6DF7" w:rsidRDefault="00A6420B" w:rsidP="00BB142F">
      <w:pPr>
        <w:pStyle w:val="ListParagraph"/>
        <w:numPr>
          <w:ilvl w:val="0"/>
          <w:numId w:val="7"/>
        </w:numPr>
        <w:rPr>
          <w:bCs/>
          <w:color w:val="000000" w:themeColor="text1"/>
        </w:rPr>
      </w:pPr>
      <w:r>
        <w:rPr>
          <w:bCs/>
          <w:color w:val="000000" w:themeColor="text1"/>
        </w:rPr>
        <w:t>a prior stroke (whether of</w:t>
      </w:r>
      <w:r w:rsidR="00BC6DF7" w:rsidRPr="00BC6DF7">
        <w:rPr>
          <w:bCs/>
          <w:color w:val="000000" w:themeColor="text1"/>
        </w:rPr>
        <w:t xml:space="preserve"> ischaemic or unknown type), transient ischaemic attack</w:t>
      </w:r>
      <w:r>
        <w:rPr>
          <w:bCs/>
          <w:color w:val="000000" w:themeColor="text1"/>
        </w:rPr>
        <w:t>,</w:t>
      </w:r>
      <w:r w:rsidR="00BC6DF7" w:rsidRPr="00BC6DF7">
        <w:rPr>
          <w:bCs/>
          <w:color w:val="000000" w:themeColor="text1"/>
        </w:rPr>
        <w:t xml:space="preserve"> or non</w:t>
      </w:r>
      <w:r w:rsidR="00BC6DF7" w:rsidRPr="00BC6DF7">
        <w:rPr>
          <w:rFonts w:ascii="Cambria Math" w:hAnsi="Cambria Math" w:cs="Cambria Math"/>
          <w:bCs/>
          <w:color w:val="000000" w:themeColor="text1"/>
        </w:rPr>
        <w:t>‑</w:t>
      </w:r>
      <w:r w:rsidR="00BC6DF7" w:rsidRPr="00BC6DF7">
        <w:rPr>
          <w:bCs/>
          <w:color w:val="000000" w:themeColor="text1"/>
        </w:rPr>
        <w:t>central nervous system systemic embolism; or</w:t>
      </w:r>
    </w:p>
    <w:p w14:paraId="3E8A6358" w14:textId="504CC6D4" w:rsidR="00BC6DF7" w:rsidRDefault="00A6420B" w:rsidP="00BB142F">
      <w:pPr>
        <w:pStyle w:val="ListParagraph"/>
        <w:numPr>
          <w:ilvl w:val="0"/>
          <w:numId w:val="7"/>
        </w:numPr>
        <w:rPr>
          <w:bCs/>
          <w:color w:val="000000" w:themeColor="text1"/>
        </w:rPr>
      </w:pPr>
      <w:r>
        <w:rPr>
          <w:bCs/>
          <w:color w:val="000000" w:themeColor="text1"/>
        </w:rPr>
        <w:t>at least two (2)</w:t>
      </w:r>
      <w:r w:rsidR="00BC6DF7" w:rsidRPr="00603D41">
        <w:rPr>
          <w:bCs/>
          <w:color w:val="000000" w:themeColor="text1"/>
        </w:rPr>
        <w:t xml:space="preserve"> of the following risk factors:</w:t>
      </w:r>
    </w:p>
    <w:p w14:paraId="5E1201EE" w14:textId="50FCF75A" w:rsidR="00BC6DF7" w:rsidRDefault="00BC6DF7" w:rsidP="00BB142F">
      <w:pPr>
        <w:pStyle w:val="ListParagraph"/>
        <w:numPr>
          <w:ilvl w:val="1"/>
          <w:numId w:val="7"/>
        </w:numPr>
        <w:rPr>
          <w:bCs/>
          <w:color w:val="000000" w:themeColor="text1"/>
        </w:rPr>
      </w:pPr>
      <w:r w:rsidRPr="00603D41">
        <w:rPr>
          <w:bCs/>
          <w:color w:val="000000" w:themeColor="text1"/>
        </w:rPr>
        <w:t>age</w:t>
      </w:r>
      <w:r w:rsidR="00A6420B">
        <w:rPr>
          <w:bCs/>
          <w:color w:val="000000" w:themeColor="text1"/>
        </w:rPr>
        <w:t>d</w:t>
      </w:r>
      <w:r w:rsidRPr="00603D41">
        <w:rPr>
          <w:bCs/>
          <w:color w:val="000000" w:themeColor="text1"/>
        </w:rPr>
        <w:t xml:space="preserve"> 65 years or more;</w:t>
      </w:r>
    </w:p>
    <w:p w14:paraId="73E0F4EE" w14:textId="77777777" w:rsidR="00BC6DF7" w:rsidRPr="00603D41" w:rsidRDefault="00BC6DF7" w:rsidP="00BB142F">
      <w:pPr>
        <w:pStyle w:val="ListParagraph"/>
        <w:numPr>
          <w:ilvl w:val="1"/>
          <w:numId w:val="7"/>
        </w:numPr>
        <w:rPr>
          <w:bCs/>
          <w:color w:val="000000" w:themeColor="text1"/>
        </w:rPr>
      </w:pPr>
      <w:r w:rsidRPr="00603D41">
        <w:rPr>
          <w:bCs/>
          <w:color w:val="000000" w:themeColor="text1"/>
          <w:lang w:val="de-CH"/>
        </w:rPr>
        <w:t>hypertension;</w:t>
      </w:r>
    </w:p>
    <w:p w14:paraId="182136C4" w14:textId="77777777" w:rsidR="00BC6DF7" w:rsidRPr="00603D41" w:rsidRDefault="00BC6DF7" w:rsidP="00BB142F">
      <w:pPr>
        <w:pStyle w:val="ListParagraph"/>
        <w:numPr>
          <w:ilvl w:val="1"/>
          <w:numId w:val="7"/>
        </w:numPr>
        <w:rPr>
          <w:bCs/>
          <w:color w:val="000000" w:themeColor="text1"/>
        </w:rPr>
      </w:pPr>
      <w:r w:rsidRPr="00603D41">
        <w:rPr>
          <w:bCs/>
          <w:color w:val="000000" w:themeColor="text1"/>
          <w:lang w:val="de-CH"/>
        </w:rPr>
        <w:t>diabetes mellitus;</w:t>
      </w:r>
    </w:p>
    <w:p w14:paraId="4D3EAAAF" w14:textId="77777777" w:rsidR="00BC6DF7" w:rsidRDefault="00BC6DF7" w:rsidP="00BB142F">
      <w:pPr>
        <w:pStyle w:val="ListParagraph"/>
        <w:numPr>
          <w:ilvl w:val="1"/>
          <w:numId w:val="7"/>
        </w:numPr>
        <w:rPr>
          <w:bCs/>
          <w:color w:val="000000" w:themeColor="text1"/>
        </w:rPr>
      </w:pPr>
      <w:r w:rsidRPr="00603D41">
        <w:rPr>
          <w:bCs/>
          <w:color w:val="000000" w:themeColor="text1"/>
        </w:rPr>
        <w:t>heart failure or left ventricular ejection fraction of 35% or less (or both);</w:t>
      </w:r>
    </w:p>
    <w:p w14:paraId="7826DF3A" w14:textId="0429BA28" w:rsidR="00BC6DF7" w:rsidRPr="00603D41" w:rsidRDefault="00BC6DF7" w:rsidP="00BB142F">
      <w:pPr>
        <w:pStyle w:val="ListParagraph"/>
        <w:numPr>
          <w:ilvl w:val="1"/>
          <w:numId w:val="7"/>
        </w:numPr>
        <w:rPr>
          <w:bCs/>
          <w:color w:val="000000" w:themeColor="text1"/>
        </w:rPr>
      </w:pPr>
      <w:r w:rsidRPr="00603D41">
        <w:rPr>
          <w:bCs/>
          <w:color w:val="000000" w:themeColor="text1"/>
        </w:rPr>
        <w:t>vascular disea</w:t>
      </w:r>
      <w:r w:rsidR="00A6420B">
        <w:rPr>
          <w:bCs/>
          <w:color w:val="000000" w:themeColor="text1"/>
        </w:rPr>
        <w:t>se (prior myocardial infarction;</w:t>
      </w:r>
      <w:r w:rsidRPr="00603D41">
        <w:rPr>
          <w:bCs/>
          <w:color w:val="000000" w:themeColor="text1"/>
        </w:rPr>
        <w:t xml:space="preserve"> peripheral artery disease</w:t>
      </w:r>
      <w:r w:rsidR="00A6420B">
        <w:rPr>
          <w:bCs/>
          <w:color w:val="000000" w:themeColor="text1"/>
        </w:rPr>
        <w:t>;</w:t>
      </w:r>
      <w:r w:rsidRPr="00603D41">
        <w:rPr>
          <w:bCs/>
          <w:color w:val="000000" w:themeColor="text1"/>
        </w:rPr>
        <w:t xml:space="preserve"> or aortic plaque)</w:t>
      </w:r>
    </w:p>
    <w:p w14:paraId="064EA43E" w14:textId="77777777" w:rsidR="00BC6DF7" w:rsidRPr="00603D41" w:rsidRDefault="00BC6DF7" w:rsidP="00BC6DF7">
      <w:pPr>
        <w:spacing w:after="0"/>
        <w:rPr>
          <w:bCs/>
          <w:color w:val="000000" w:themeColor="text1"/>
        </w:rPr>
      </w:pPr>
      <w:r w:rsidRPr="00603D41">
        <w:rPr>
          <w:bCs/>
          <w:color w:val="000000" w:themeColor="text1"/>
        </w:rPr>
        <w:t>A contraindication to lifelong anticoagulation is defined as:</w:t>
      </w:r>
    </w:p>
    <w:p w14:paraId="11FF8EDB" w14:textId="49D12068" w:rsidR="00BC6DF7" w:rsidRDefault="00BC6DF7" w:rsidP="00BB142F">
      <w:pPr>
        <w:pStyle w:val="ListParagraph"/>
        <w:numPr>
          <w:ilvl w:val="0"/>
          <w:numId w:val="8"/>
        </w:numPr>
        <w:rPr>
          <w:bCs/>
          <w:color w:val="000000" w:themeColor="text1"/>
        </w:rPr>
      </w:pPr>
      <w:r w:rsidRPr="00603D41">
        <w:rPr>
          <w:bCs/>
          <w:color w:val="000000" w:themeColor="text1"/>
        </w:rPr>
        <w:t>a previous major bleeding complication, or</w:t>
      </w:r>
    </w:p>
    <w:p w14:paraId="76D51BE8" w14:textId="1F35D977" w:rsidR="00F475C4" w:rsidRDefault="00F475C4" w:rsidP="00BB142F">
      <w:pPr>
        <w:pStyle w:val="ListParagraph"/>
        <w:numPr>
          <w:ilvl w:val="0"/>
          <w:numId w:val="8"/>
        </w:numPr>
        <w:rPr>
          <w:bCs/>
          <w:color w:val="000000" w:themeColor="text1"/>
        </w:rPr>
      </w:pPr>
      <w:r>
        <w:rPr>
          <w:bCs/>
          <w:color w:val="000000" w:themeColor="text1"/>
        </w:rPr>
        <w:t>bleeding diathesis, or</w:t>
      </w:r>
    </w:p>
    <w:p w14:paraId="063D67CF" w14:textId="0AC711E9" w:rsidR="00DF29A2" w:rsidRDefault="00BC6DF7" w:rsidP="00BB142F">
      <w:pPr>
        <w:pStyle w:val="ListParagraph"/>
        <w:numPr>
          <w:ilvl w:val="0"/>
          <w:numId w:val="8"/>
        </w:numPr>
        <w:rPr>
          <w:bCs/>
          <w:color w:val="000000" w:themeColor="text1"/>
        </w:rPr>
      </w:pPr>
      <w:r w:rsidRPr="00603D41">
        <w:rPr>
          <w:bCs/>
          <w:color w:val="000000" w:themeColor="text1"/>
        </w:rPr>
        <w:t>a blood dyscrasia, or</w:t>
      </w:r>
    </w:p>
    <w:p w14:paraId="7CBACF76" w14:textId="77777777" w:rsidR="00BC6DF7" w:rsidRDefault="00BC6DF7" w:rsidP="00BB142F">
      <w:pPr>
        <w:pStyle w:val="ListParagraph"/>
        <w:numPr>
          <w:ilvl w:val="0"/>
          <w:numId w:val="8"/>
        </w:numPr>
        <w:rPr>
          <w:bCs/>
          <w:color w:val="000000" w:themeColor="text1"/>
        </w:rPr>
      </w:pPr>
      <w:r w:rsidRPr="00603D41">
        <w:rPr>
          <w:bCs/>
          <w:color w:val="000000" w:themeColor="text1"/>
        </w:rPr>
        <w:t>a vascular abnormality predisposing to potentially life-threatening haemorrhage, or</w:t>
      </w:r>
    </w:p>
    <w:p w14:paraId="25B5ED16" w14:textId="77777777" w:rsidR="00BC6DF7" w:rsidRDefault="00BC6DF7" w:rsidP="00BB142F">
      <w:pPr>
        <w:pStyle w:val="ListParagraph"/>
        <w:numPr>
          <w:ilvl w:val="0"/>
          <w:numId w:val="8"/>
        </w:numPr>
        <w:rPr>
          <w:bCs/>
          <w:color w:val="000000" w:themeColor="text1"/>
        </w:rPr>
      </w:pPr>
      <w:r w:rsidRPr="00603D41">
        <w:rPr>
          <w:bCs/>
          <w:color w:val="000000" w:themeColor="text1"/>
        </w:rPr>
        <w:t>anaemia, or</w:t>
      </w:r>
    </w:p>
    <w:p w14:paraId="4F552B59" w14:textId="77777777" w:rsidR="00BC6DF7" w:rsidRDefault="00BC6DF7" w:rsidP="00BB142F">
      <w:pPr>
        <w:pStyle w:val="ListParagraph"/>
        <w:numPr>
          <w:ilvl w:val="0"/>
          <w:numId w:val="8"/>
        </w:numPr>
        <w:rPr>
          <w:bCs/>
          <w:color w:val="000000" w:themeColor="text1"/>
        </w:rPr>
      </w:pPr>
      <w:r w:rsidRPr="00603D41">
        <w:rPr>
          <w:bCs/>
          <w:color w:val="000000" w:themeColor="text1"/>
        </w:rPr>
        <w:t>prior gastrointestinal bleed, or</w:t>
      </w:r>
    </w:p>
    <w:p w14:paraId="116CE4AE" w14:textId="77777777" w:rsidR="00BC6DF7" w:rsidRDefault="00BC6DF7" w:rsidP="00BB142F">
      <w:pPr>
        <w:pStyle w:val="ListParagraph"/>
        <w:numPr>
          <w:ilvl w:val="0"/>
          <w:numId w:val="8"/>
        </w:numPr>
        <w:rPr>
          <w:bCs/>
          <w:color w:val="000000" w:themeColor="text1"/>
        </w:rPr>
      </w:pPr>
      <w:r w:rsidRPr="00603D41">
        <w:rPr>
          <w:bCs/>
          <w:color w:val="000000" w:themeColor="text1"/>
        </w:rPr>
        <w:t>thrombocytopenia, or</w:t>
      </w:r>
    </w:p>
    <w:p w14:paraId="2A2839D4" w14:textId="77777777" w:rsidR="00E70DAD" w:rsidRDefault="00BC6DF7" w:rsidP="00BB142F">
      <w:pPr>
        <w:pStyle w:val="ListParagraph"/>
        <w:numPr>
          <w:ilvl w:val="0"/>
          <w:numId w:val="8"/>
        </w:numPr>
        <w:rPr>
          <w:bCs/>
          <w:color w:val="000000" w:themeColor="text1"/>
        </w:rPr>
      </w:pPr>
      <w:r w:rsidRPr="00603D41">
        <w:rPr>
          <w:bCs/>
          <w:color w:val="000000" w:themeColor="text1"/>
        </w:rPr>
        <w:t>haematological malignancy, or</w:t>
      </w:r>
    </w:p>
    <w:p w14:paraId="7B086F1E" w14:textId="6E9852E2" w:rsidR="00BC6DF7" w:rsidRDefault="00BC6DF7" w:rsidP="00BB142F">
      <w:pPr>
        <w:pStyle w:val="ListParagraph"/>
        <w:numPr>
          <w:ilvl w:val="0"/>
          <w:numId w:val="8"/>
        </w:numPr>
        <w:rPr>
          <w:bCs/>
          <w:color w:val="000000" w:themeColor="text1"/>
        </w:rPr>
      </w:pPr>
      <w:r w:rsidRPr="00E70DAD">
        <w:rPr>
          <w:bCs/>
          <w:color w:val="000000" w:themeColor="text1"/>
        </w:rPr>
        <w:t>traumatic intracranial haemorrhage</w:t>
      </w:r>
      <w:r w:rsidR="00971CD6">
        <w:rPr>
          <w:bCs/>
          <w:color w:val="000000" w:themeColor="text1"/>
        </w:rPr>
        <w:t>, or</w:t>
      </w:r>
    </w:p>
    <w:p w14:paraId="6F77E054" w14:textId="05A35E38" w:rsidR="00DF29A2" w:rsidRDefault="00F475C4" w:rsidP="00BB142F">
      <w:pPr>
        <w:pStyle w:val="ListParagraph"/>
        <w:numPr>
          <w:ilvl w:val="0"/>
          <w:numId w:val="8"/>
        </w:numPr>
        <w:rPr>
          <w:bCs/>
          <w:color w:val="000000" w:themeColor="text1"/>
        </w:rPr>
      </w:pPr>
      <w:r>
        <w:rPr>
          <w:bCs/>
          <w:color w:val="000000" w:themeColor="text1"/>
        </w:rPr>
        <w:t>h</w:t>
      </w:r>
      <w:r w:rsidR="00DF29A2">
        <w:rPr>
          <w:bCs/>
          <w:color w:val="000000" w:themeColor="text1"/>
        </w:rPr>
        <w:t>ypersensitivity to Australian-registered therapies</w:t>
      </w:r>
    </w:p>
    <w:p w14:paraId="6F5A00A4" w14:textId="21FA04B5" w:rsidR="00F57624" w:rsidRPr="00781BAE" w:rsidRDefault="00F57624" w:rsidP="00F57624">
      <w:r w:rsidRPr="00F57624">
        <w:rPr>
          <w:i/>
        </w:rPr>
        <w:t>PASC noted that in the pre-PASC response to the current application, the applicant requested revising the PICO into two patient populations.</w:t>
      </w:r>
      <w:r w:rsidR="00781BAE">
        <w:rPr>
          <w:i/>
        </w:rPr>
        <w:t xml:space="preserve"> </w:t>
      </w:r>
      <w:r w:rsidR="00781BAE" w:rsidRPr="00781BAE">
        <w:t>The Summary PICO</w:t>
      </w:r>
      <w:r w:rsidR="004F25EF" w:rsidRPr="00781BAE">
        <w:t xml:space="preserve"> criteria above have been updated accordingly.</w:t>
      </w:r>
    </w:p>
    <w:p w14:paraId="6C0DC8D0" w14:textId="77777777" w:rsidR="00F57624" w:rsidRPr="00F57624" w:rsidRDefault="00F57624" w:rsidP="00F57624">
      <w:pPr>
        <w:rPr>
          <w:i/>
        </w:rPr>
      </w:pPr>
      <w:r w:rsidRPr="00F57624">
        <w:rPr>
          <w:i/>
          <w:u w:val="single"/>
        </w:rPr>
        <w:lastRenderedPageBreak/>
        <w:t>Population 1</w:t>
      </w:r>
      <w:r w:rsidRPr="00F57624">
        <w:rPr>
          <w:i/>
        </w:rPr>
        <w:t xml:space="preserve">  </w:t>
      </w:r>
    </w:p>
    <w:p w14:paraId="67DDB365" w14:textId="77777777" w:rsidR="00F57624" w:rsidRPr="00F57624" w:rsidRDefault="00F57624" w:rsidP="00F57624">
      <w:pPr>
        <w:rPr>
          <w:i/>
        </w:rPr>
      </w:pPr>
      <w:r w:rsidRPr="00F57624">
        <w:rPr>
          <w:i/>
        </w:rPr>
        <w:t xml:space="preserve">Patients with non-valvular atrial fibrillation (NVAF) assessed by a non-interventional and interventional cardiologist as having </w:t>
      </w:r>
      <w:r w:rsidRPr="00F57624">
        <w:rPr>
          <w:b/>
          <w:i/>
        </w:rPr>
        <w:t xml:space="preserve">absolute </w:t>
      </w:r>
      <w:r w:rsidRPr="00F57624">
        <w:rPr>
          <w:i/>
        </w:rPr>
        <w:t>contraindication to life</w:t>
      </w:r>
      <w:r w:rsidRPr="00F57624">
        <w:rPr>
          <w:rFonts w:ascii="Cambria Math" w:hAnsi="Cambria Math" w:cs="Cambria Math"/>
          <w:i/>
        </w:rPr>
        <w:t>‑</w:t>
      </w:r>
      <w:r w:rsidRPr="00F57624">
        <w:rPr>
          <w:i/>
        </w:rPr>
        <w:t>long OAT, and being at increased risk of thromboembolism demonstrated by:</w:t>
      </w:r>
    </w:p>
    <w:p w14:paraId="3F380FD2" w14:textId="77777777" w:rsidR="00F57624" w:rsidRPr="00F57624" w:rsidRDefault="00F57624" w:rsidP="00BB142F">
      <w:pPr>
        <w:pStyle w:val="ListParagraph"/>
        <w:numPr>
          <w:ilvl w:val="0"/>
          <w:numId w:val="42"/>
        </w:numPr>
        <w:rPr>
          <w:i/>
        </w:rPr>
      </w:pPr>
      <w:r w:rsidRPr="00F57624">
        <w:rPr>
          <w:i/>
        </w:rPr>
        <w:t>a prior stroke (whether of an ischaemic or unknown type), transient ischaemic attack or non</w:t>
      </w:r>
      <w:r w:rsidRPr="00F57624">
        <w:rPr>
          <w:rFonts w:ascii="Cambria Math" w:hAnsi="Cambria Math" w:cs="Cambria Math"/>
          <w:i/>
        </w:rPr>
        <w:t>‑</w:t>
      </w:r>
      <w:r w:rsidRPr="00F57624">
        <w:rPr>
          <w:i/>
        </w:rPr>
        <w:t>central nervous system systemic embolism; or</w:t>
      </w:r>
    </w:p>
    <w:p w14:paraId="64C3B4DE" w14:textId="77777777" w:rsidR="00F57624" w:rsidRPr="00F57624" w:rsidRDefault="00F57624" w:rsidP="00BB142F">
      <w:pPr>
        <w:pStyle w:val="ListParagraph"/>
        <w:numPr>
          <w:ilvl w:val="0"/>
          <w:numId w:val="42"/>
        </w:numPr>
        <w:rPr>
          <w:i/>
        </w:rPr>
      </w:pPr>
      <w:r w:rsidRPr="00F57624">
        <w:rPr>
          <w:i/>
        </w:rPr>
        <w:t>at least 2 of the following risk factors:</w:t>
      </w:r>
    </w:p>
    <w:p w14:paraId="7023F2D3" w14:textId="231F6C33" w:rsidR="008D2B7D" w:rsidRPr="00F57624" w:rsidRDefault="00F57624" w:rsidP="00BB142F">
      <w:pPr>
        <w:pStyle w:val="ListParagraph"/>
        <w:numPr>
          <w:ilvl w:val="0"/>
          <w:numId w:val="35"/>
        </w:numPr>
        <w:ind w:left="720"/>
        <w:rPr>
          <w:i/>
        </w:rPr>
      </w:pPr>
      <w:r w:rsidRPr="00F57624">
        <w:rPr>
          <w:i/>
        </w:rPr>
        <w:t>an age of 65 years or more;</w:t>
      </w:r>
    </w:p>
    <w:p w14:paraId="03479E3E" w14:textId="0786AF5B" w:rsidR="008D2B7D" w:rsidRPr="009840F1" w:rsidRDefault="00F57624" w:rsidP="00BB142F">
      <w:pPr>
        <w:pStyle w:val="ListParagraph"/>
        <w:numPr>
          <w:ilvl w:val="0"/>
          <w:numId w:val="35"/>
        </w:numPr>
        <w:ind w:left="720"/>
        <w:rPr>
          <w:i/>
        </w:rPr>
      </w:pPr>
      <w:r w:rsidRPr="009840F1">
        <w:rPr>
          <w:i/>
        </w:rPr>
        <w:t>hypertension;</w:t>
      </w:r>
    </w:p>
    <w:p w14:paraId="52E578F0" w14:textId="5501F855" w:rsidR="008D2B7D" w:rsidRPr="009840F1" w:rsidRDefault="00F57624" w:rsidP="00BB142F">
      <w:pPr>
        <w:pStyle w:val="ListParagraph"/>
        <w:numPr>
          <w:ilvl w:val="0"/>
          <w:numId w:val="35"/>
        </w:numPr>
        <w:ind w:left="720"/>
        <w:rPr>
          <w:i/>
        </w:rPr>
      </w:pPr>
      <w:r w:rsidRPr="009840F1">
        <w:rPr>
          <w:i/>
        </w:rPr>
        <w:t>diabetes mellitus;</w:t>
      </w:r>
    </w:p>
    <w:p w14:paraId="734080DD" w14:textId="47A0B4E6" w:rsidR="008D2B7D" w:rsidRPr="009840F1" w:rsidRDefault="00F57624" w:rsidP="00BB142F">
      <w:pPr>
        <w:pStyle w:val="ListParagraph"/>
        <w:numPr>
          <w:ilvl w:val="0"/>
          <w:numId w:val="35"/>
        </w:numPr>
        <w:ind w:left="720"/>
        <w:rPr>
          <w:i/>
        </w:rPr>
      </w:pPr>
      <w:r w:rsidRPr="009840F1">
        <w:rPr>
          <w:i/>
        </w:rPr>
        <w:t>heart failure or left ventricular ejection fraction of 35% or less (or both);</w:t>
      </w:r>
    </w:p>
    <w:p w14:paraId="6A1CFA01" w14:textId="77777777" w:rsidR="00F57624" w:rsidRPr="009840F1" w:rsidRDefault="00F57624" w:rsidP="00BB142F">
      <w:pPr>
        <w:pStyle w:val="ListParagraph"/>
        <w:numPr>
          <w:ilvl w:val="0"/>
          <w:numId w:val="35"/>
        </w:numPr>
        <w:ind w:left="720"/>
        <w:rPr>
          <w:i/>
        </w:rPr>
      </w:pPr>
      <w:r w:rsidRPr="009840F1">
        <w:rPr>
          <w:i/>
        </w:rPr>
        <w:t>vascular disease (prior myocardial infarction, peripheral artery disease or aortic plaque).</w:t>
      </w:r>
    </w:p>
    <w:p w14:paraId="1D97C795" w14:textId="77777777" w:rsidR="00F57624" w:rsidRPr="00F57624" w:rsidRDefault="00F57624" w:rsidP="00F57624">
      <w:pPr>
        <w:rPr>
          <w:i/>
        </w:rPr>
      </w:pPr>
      <w:r w:rsidRPr="00F57624">
        <w:rPr>
          <w:i/>
        </w:rPr>
        <w:t xml:space="preserve">An </w:t>
      </w:r>
      <w:r w:rsidRPr="00F57624">
        <w:rPr>
          <w:b/>
          <w:i/>
        </w:rPr>
        <w:t xml:space="preserve">absolute </w:t>
      </w:r>
      <w:r w:rsidRPr="00F57624">
        <w:rPr>
          <w:i/>
        </w:rPr>
        <w:t>contraindication to lifelong anticoagulation is defined as:</w:t>
      </w:r>
    </w:p>
    <w:p w14:paraId="62D06C87" w14:textId="77777777" w:rsidR="00F57624" w:rsidRPr="00F57624" w:rsidRDefault="00F57624" w:rsidP="00BB142F">
      <w:pPr>
        <w:pStyle w:val="ListParagraph"/>
        <w:numPr>
          <w:ilvl w:val="0"/>
          <w:numId w:val="36"/>
        </w:numPr>
        <w:ind w:left="360"/>
        <w:rPr>
          <w:i/>
        </w:rPr>
      </w:pPr>
      <w:r w:rsidRPr="00F57624">
        <w:rPr>
          <w:i/>
        </w:rPr>
        <w:t>a previous major bleeding complication experienced whilst undergoing treatment with oral anticoagulation therapy,   or</w:t>
      </w:r>
    </w:p>
    <w:p w14:paraId="70E0693B" w14:textId="77777777" w:rsidR="00F57624" w:rsidRPr="00F57624" w:rsidRDefault="00F57624" w:rsidP="00BB142F">
      <w:pPr>
        <w:pStyle w:val="ListParagraph"/>
        <w:numPr>
          <w:ilvl w:val="0"/>
          <w:numId w:val="36"/>
        </w:numPr>
        <w:ind w:left="360"/>
        <w:rPr>
          <w:i/>
        </w:rPr>
      </w:pPr>
      <w:r w:rsidRPr="00F57624">
        <w:rPr>
          <w:i/>
        </w:rPr>
        <w:t>a blood dyscrasia, or</w:t>
      </w:r>
    </w:p>
    <w:p w14:paraId="6C31F5BD" w14:textId="77777777" w:rsidR="00F57624" w:rsidRPr="00F57624" w:rsidRDefault="00F57624" w:rsidP="00BB142F">
      <w:pPr>
        <w:pStyle w:val="ListParagraph"/>
        <w:numPr>
          <w:ilvl w:val="0"/>
          <w:numId w:val="36"/>
        </w:numPr>
        <w:ind w:left="360"/>
        <w:rPr>
          <w:i/>
        </w:rPr>
      </w:pPr>
      <w:r w:rsidRPr="00F57624">
        <w:rPr>
          <w:i/>
        </w:rPr>
        <w:t>a vascular abnormality predisposing to potentially life threatening haemorrhage  or</w:t>
      </w:r>
    </w:p>
    <w:p w14:paraId="53AD56DC" w14:textId="77777777" w:rsidR="00F57624" w:rsidRPr="00F57624" w:rsidRDefault="00F57624" w:rsidP="00BB142F">
      <w:pPr>
        <w:pStyle w:val="ListParagraph"/>
        <w:numPr>
          <w:ilvl w:val="0"/>
          <w:numId w:val="36"/>
        </w:numPr>
        <w:ind w:left="360"/>
        <w:rPr>
          <w:i/>
        </w:rPr>
      </w:pPr>
      <w:r w:rsidRPr="00F57624">
        <w:rPr>
          <w:i/>
        </w:rPr>
        <w:t>unacceptably high bleeding risk due to:</w:t>
      </w:r>
    </w:p>
    <w:p w14:paraId="3BEA11DC" w14:textId="77777777" w:rsidR="00F57624" w:rsidRPr="00F57624" w:rsidRDefault="00F57624" w:rsidP="00BB142F">
      <w:pPr>
        <w:pStyle w:val="ListParagraph"/>
        <w:numPr>
          <w:ilvl w:val="0"/>
          <w:numId w:val="37"/>
        </w:numPr>
        <w:ind w:left="1080"/>
        <w:rPr>
          <w:i/>
        </w:rPr>
      </w:pPr>
      <w:r w:rsidRPr="00F57624">
        <w:rPr>
          <w:i/>
        </w:rPr>
        <w:t>decompensated liver disease</w:t>
      </w:r>
    </w:p>
    <w:p w14:paraId="1DBBF9E5" w14:textId="77777777" w:rsidR="00F57624" w:rsidRPr="00F57624" w:rsidRDefault="00F57624" w:rsidP="00BB142F">
      <w:pPr>
        <w:pStyle w:val="ListParagraph"/>
        <w:numPr>
          <w:ilvl w:val="0"/>
          <w:numId w:val="37"/>
        </w:numPr>
        <w:ind w:left="1080"/>
        <w:rPr>
          <w:i/>
        </w:rPr>
      </w:pPr>
      <w:r w:rsidRPr="00F57624">
        <w:rPr>
          <w:i/>
        </w:rPr>
        <w:t>advanced renal failure</w:t>
      </w:r>
    </w:p>
    <w:p w14:paraId="4F6E78EB" w14:textId="77777777" w:rsidR="00F57624" w:rsidRPr="00F57624" w:rsidRDefault="00F57624" w:rsidP="00BB142F">
      <w:pPr>
        <w:pStyle w:val="ListParagraph"/>
        <w:numPr>
          <w:ilvl w:val="0"/>
          <w:numId w:val="37"/>
        </w:numPr>
        <w:ind w:left="1080"/>
        <w:rPr>
          <w:i/>
        </w:rPr>
      </w:pPr>
      <w:r w:rsidRPr="00F57624">
        <w:rPr>
          <w:i/>
        </w:rPr>
        <w:t>intracranial conditions with high bleeding risk (amyloid, cerebral microbleeds)</w:t>
      </w:r>
    </w:p>
    <w:p w14:paraId="5C21A816" w14:textId="77777777" w:rsidR="00F57624" w:rsidRPr="00F57624" w:rsidRDefault="00F57624" w:rsidP="00BB142F">
      <w:pPr>
        <w:pStyle w:val="ListParagraph"/>
        <w:numPr>
          <w:ilvl w:val="0"/>
          <w:numId w:val="36"/>
        </w:numPr>
        <w:ind w:left="360"/>
        <w:rPr>
          <w:i/>
        </w:rPr>
      </w:pPr>
      <w:r w:rsidRPr="00F57624">
        <w:rPr>
          <w:i/>
        </w:rPr>
        <w:t>endstage renal disease.</w:t>
      </w:r>
    </w:p>
    <w:p w14:paraId="5B7F5866" w14:textId="648C6404" w:rsidR="00F57624" w:rsidRPr="00F57624" w:rsidRDefault="00F57624" w:rsidP="00F57624">
      <w:pPr>
        <w:rPr>
          <w:i/>
        </w:rPr>
      </w:pPr>
      <w:r w:rsidRPr="00F57624">
        <w:rPr>
          <w:i/>
        </w:rPr>
        <w:t xml:space="preserve"> </w:t>
      </w:r>
      <w:r w:rsidRPr="00F57624">
        <w:rPr>
          <w:i/>
          <w:u w:val="single"/>
        </w:rPr>
        <w:t>Population 2</w:t>
      </w:r>
      <w:r w:rsidRPr="00F57624">
        <w:rPr>
          <w:i/>
        </w:rPr>
        <w:t xml:space="preserve">  </w:t>
      </w:r>
    </w:p>
    <w:p w14:paraId="3F6F2C34" w14:textId="77777777" w:rsidR="00F57624" w:rsidRPr="00F57624" w:rsidRDefault="00F57624" w:rsidP="00F57624">
      <w:pPr>
        <w:rPr>
          <w:i/>
        </w:rPr>
      </w:pPr>
      <w:r w:rsidRPr="00F57624">
        <w:rPr>
          <w:i/>
        </w:rPr>
        <w:t xml:space="preserve">Patients with NVAF assessed by a non-interventional and interventional cardiologist as having </w:t>
      </w:r>
      <w:r w:rsidRPr="00F57624">
        <w:rPr>
          <w:b/>
          <w:i/>
        </w:rPr>
        <w:t>relative</w:t>
      </w:r>
      <w:r w:rsidRPr="00F57624">
        <w:rPr>
          <w:i/>
        </w:rPr>
        <w:t xml:space="preserve"> contraindication to life</w:t>
      </w:r>
      <w:r w:rsidRPr="00F57624">
        <w:rPr>
          <w:rFonts w:ascii="Cambria Math" w:hAnsi="Cambria Math" w:cs="Cambria Math"/>
          <w:i/>
        </w:rPr>
        <w:t>‑</w:t>
      </w:r>
      <w:r w:rsidRPr="00F57624">
        <w:rPr>
          <w:i/>
        </w:rPr>
        <w:t>long OAT, and being at increased risk of thromboembolism demonstrated by:</w:t>
      </w:r>
    </w:p>
    <w:p w14:paraId="26FF96FE" w14:textId="77777777" w:rsidR="00F57624" w:rsidRPr="00F57624" w:rsidRDefault="00F57624" w:rsidP="00BB142F">
      <w:pPr>
        <w:pStyle w:val="ListParagraph"/>
        <w:numPr>
          <w:ilvl w:val="0"/>
          <w:numId w:val="38"/>
        </w:numPr>
        <w:ind w:left="360"/>
        <w:rPr>
          <w:i/>
        </w:rPr>
      </w:pPr>
      <w:r w:rsidRPr="00F57624">
        <w:rPr>
          <w:i/>
        </w:rPr>
        <w:t>a prior stroke (whether of an ischaemic or unknown type), transient ischaemic attack or non</w:t>
      </w:r>
      <w:r w:rsidRPr="00F57624">
        <w:rPr>
          <w:rFonts w:ascii="Cambria Math" w:hAnsi="Cambria Math" w:cs="Cambria Math"/>
          <w:i/>
        </w:rPr>
        <w:t>‑</w:t>
      </w:r>
      <w:r w:rsidRPr="00F57624">
        <w:rPr>
          <w:i/>
        </w:rPr>
        <w:t>central nervous system systemic embolism; or</w:t>
      </w:r>
    </w:p>
    <w:p w14:paraId="3650486B" w14:textId="77777777" w:rsidR="00F57624" w:rsidRPr="00F57624" w:rsidRDefault="00F57624" w:rsidP="00BB142F">
      <w:pPr>
        <w:pStyle w:val="ListParagraph"/>
        <w:numPr>
          <w:ilvl w:val="0"/>
          <w:numId w:val="38"/>
        </w:numPr>
        <w:ind w:left="360"/>
        <w:rPr>
          <w:i/>
        </w:rPr>
      </w:pPr>
      <w:r w:rsidRPr="00F57624">
        <w:rPr>
          <w:i/>
        </w:rPr>
        <w:t>at least 2 of the following risk factors:</w:t>
      </w:r>
    </w:p>
    <w:p w14:paraId="40F708E9" w14:textId="77777777" w:rsidR="00F57624" w:rsidRPr="00F57624" w:rsidRDefault="00F57624" w:rsidP="00BB142F">
      <w:pPr>
        <w:pStyle w:val="ListParagraph"/>
        <w:numPr>
          <w:ilvl w:val="0"/>
          <w:numId w:val="39"/>
        </w:numPr>
        <w:ind w:left="720"/>
        <w:rPr>
          <w:i/>
        </w:rPr>
      </w:pPr>
      <w:r w:rsidRPr="00F57624">
        <w:rPr>
          <w:i/>
        </w:rPr>
        <w:t>an age of 65 years or more;</w:t>
      </w:r>
    </w:p>
    <w:p w14:paraId="601DBCE4" w14:textId="77777777" w:rsidR="00F57624" w:rsidRPr="00F57624" w:rsidRDefault="00F57624" w:rsidP="00BB142F">
      <w:pPr>
        <w:pStyle w:val="ListParagraph"/>
        <w:numPr>
          <w:ilvl w:val="0"/>
          <w:numId w:val="39"/>
        </w:numPr>
        <w:ind w:left="720"/>
        <w:rPr>
          <w:i/>
        </w:rPr>
      </w:pPr>
      <w:r w:rsidRPr="00F57624">
        <w:rPr>
          <w:i/>
        </w:rPr>
        <w:t>hypertension;</w:t>
      </w:r>
    </w:p>
    <w:p w14:paraId="6FE46665" w14:textId="77777777" w:rsidR="00F57624" w:rsidRPr="00F57624" w:rsidRDefault="00F57624" w:rsidP="00BB142F">
      <w:pPr>
        <w:pStyle w:val="ListParagraph"/>
        <w:numPr>
          <w:ilvl w:val="0"/>
          <w:numId w:val="39"/>
        </w:numPr>
        <w:ind w:left="720"/>
        <w:rPr>
          <w:i/>
        </w:rPr>
      </w:pPr>
      <w:r w:rsidRPr="00F57624">
        <w:rPr>
          <w:i/>
        </w:rPr>
        <w:t>diabetes mellitus;</w:t>
      </w:r>
    </w:p>
    <w:p w14:paraId="28391C4A" w14:textId="77777777" w:rsidR="00F57624" w:rsidRPr="00F57624" w:rsidRDefault="00F57624" w:rsidP="00BB142F">
      <w:pPr>
        <w:pStyle w:val="ListParagraph"/>
        <w:numPr>
          <w:ilvl w:val="0"/>
          <w:numId w:val="39"/>
        </w:numPr>
        <w:ind w:left="720"/>
        <w:rPr>
          <w:i/>
        </w:rPr>
      </w:pPr>
      <w:r w:rsidRPr="00F57624">
        <w:rPr>
          <w:i/>
        </w:rPr>
        <w:t>heart failure or left ventricular ejection fraction of 35% or less (or both);</w:t>
      </w:r>
    </w:p>
    <w:p w14:paraId="220C41BF" w14:textId="43AF9BF1" w:rsidR="00F57624" w:rsidRPr="00337956" w:rsidRDefault="00F57624" w:rsidP="00F57624">
      <w:pPr>
        <w:pStyle w:val="ListParagraph"/>
        <w:numPr>
          <w:ilvl w:val="0"/>
          <w:numId w:val="39"/>
        </w:numPr>
        <w:ind w:left="720"/>
        <w:rPr>
          <w:i/>
        </w:rPr>
      </w:pPr>
      <w:r w:rsidRPr="00F57624">
        <w:rPr>
          <w:i/>
        </w:rPr>
        <w:t>vascular disease (prior myocardial infarction, peripheral artery disease or aortic plaque).</w:t>
      </w:r>
    </w:p>
    <w:p w14:paraId="4B42F050" w14:textId="77777777" w:rsidR="00F57624" w:rsidRPr="00F57624" w:rsidRDefault="00F57624" w:rsidP="00F57624">
      <w:pPr>
        <w:rPr>
          <w:i/>
        </w:rPr>
      </w:pPr>
      <w:r w:rsidRPr="00F57624">
        <w:rPr>
          <w:i/>
        </w:rPr>
        <w:t xml:space="preserve">A </w:t>
      </w:r>
      <w:r w:rsidRPr="00F57624">
        <w:rPr>
          <w:b/>
          <w:i/>
        </w:rPr>
        <w:t xml:space="preserve">relative </w:t>
      </w:r>
      <w:r w:rsidRPr="00F57624">
        <w:rPr>
          <w:i/>
        </w:rPr>
        <w:t>contraindication to lifelong anticoagulation is defined as:</w:t>
      </w:r>
    </w:p>
    <w:p w14:paraId="620A022E" w14:textId="77777777" w:rsidR="00F57624" w:rsidRPr="00F57624" w:rsidRDefault="00F57624" w:rsidP="00BB142F">
      <w:pPr>
        <w:pStyle w:val="ListParagraph"/>
        <w:numPr>
          <w:ilvl w:val="0"/>
          <w:numId w:val="40"/>
        </w:numPr>
        <w:rPr>
          <w:i/>
        </w:rPr>
      </w:pPr>
      <w:r w:rsidRPr="00F57624">
        <w:rPr>
          <w:i/>
        </w:rPr>
        <w:t>a previous major bleeding complication, or</w:t>
      </w:r>
    </w:p>
    <w:p w14:paraId="350285BD" w14:textId="77777777" w:rsidR="00F57624" w:rsidRPr="00F57624" w:rsidRDefault="00F57624" w:rsidP="00BB142F">
      <w:pPr>
        <w:pStyle w:val="ListParagraph"/>
        <w:numPr>
          <w:ilvl w:val="0"/>
          <w:numId w:val="40"/>
        </w:numPr>
        <w:rPr>
          <w:i/>
        </w:rPr>
      </w:pPr>
      <w:r w:rsidRPr="00F57624">
        <w:rPr>
          <w:i/>
        </w:rPr>
        <w:t xml:space="preserve">bleeding diathesis, or </w:t>
      </w:r>
    </w:p>
    <w:p w14:paraId="3CD17422" w14:textId="77777777" w:rsidR="00F57624" w:rsidRPr="00F57624" w:rsidRDefault="00F57624" w:rsidP="00BB142F">
      <w:pPr>
        <w:pStyle w:val="ListParagraph"/>
        <w:numPr>
          <w:ilvl w:val="0"/>
          <w:numId w:val="40"/>
        </w:numPr>
        <w:rPr>
          <w:i/>
        </w:rPr>
      </w:pPr>
      <w:r w:rsidRPr="00F57624">
        <w:rPr>
          <w:i/>
        </w:rPr>
        <w:t xml:space="preserve">anaemia, or </w:t>
      </w:r>
    </w:p>
    <w:p w14:paraId="4A611956" w14:textId="77777777" w:rsidR="00F57624" w:rsidRPr="00F57624" w:rsidRDefault="00F57624" w:rsidP="00BB142F">
      <w:pPr>
        <w:pStyle w:val="ListParagraph"/>
        <w:numPr>
          <w:ilvl w:val="0"/>
          <w:numId w:val="40"/>
        </w:numPr>
        <w:rPr>
          <w:i/>
        </w:rPr>
      </w:pPr>
      <w:r w:rsidRPr="00F57624">
        <w:rPr>
          <w:i/>
        </w:rPr>
        <w:t xml:space="preserve">prior gastrointestinal bleed, or </w:t>
      </w:r>
    </w:p>
    <w:p w14:paraId="0A15E20B" w14:textId="77777777" w:rsidR="00F57624" w:rsidRPr="00F57624" w:rsidRDefault="00F57624" w:rsidP="00BB142F">
      <w:pPr>
        <w:pStyle w:val="ListParagraph"/>
        <w:numPr>
          <w:ilvl w:val="0"/>
          <w:numId w:val="40"/>
        </w:numPr>
        <w:rPr>
          <w:i/>
        </w:rPr>
      </w:pPr>
      <w:r w:rsidRPr="00F57624">
        <w:rPr>
          <w:i/>
        </w:rPr>
        <w:lastRenderedPageBreak/>
        <w:t xml:space="preserve">thrombocytopenia, or </w:t>
      </w:r>
    </w:p>
    <w:p w14:paraId="048D85C2" w14:textId="77777777" w:rsidR="00F57624" w:rsidRPr="00F57624" w:rsidRDefault="00F57624" w:rsidP="00BB142F">
      <w:pPr>
        <w:pStyle w:val="ListParagraph"/>
        <w:numPr>
          <w:ilvl w:val="0"/>
          <w:numId w:val="40"/>
        </w:numPr>
        <w:rPr>
          <w:i/>
        </w:rPr>
      </w:pPr>
      <w:r w:rsidRPr="00F57624">
        <w:rPr>
          <w:i/>
        </w:rPr>
        <w:t xml:space="preserve">haematological malignancy, or </w:t>
      </w:r>
    </w:p>
    <w:p w14:paraId="44511B13" w14:textId="77777777" w:rsidR="00F57624" w:rsidRPr="00F57624" w:rsidRDefault="00F57624" w:rsidP="00BB142F">
      <w:pPr>
        <w:pStyle w:val="ListParagraph"/>
        <w:numPr>
          <w:ilvl w:val="0"/>
          <w:numId w:val="40"/>
        </w:numPr>
        <w:rPr>
          <w:i/>
        </w:rPr>
      </w:pPr>
      <w:r w:rsidRPr="00F57624">
        <w:rPr>
          <w:i/>
        </w:rPr>
        <w:t>traumatic intracranial haemorrhage, or</w:t>
      </w:r>
    </w:p>
    <w:p w14:paraId="76887932" w14:textId="19401D8A" w:rsidR="00F57624" w:rsidRPr="00F57624" w:rsidRDefault="00F57624" w:rsidP="00BB142F">
      <w:pPr>
        <w:pStyle w:val="ListParagraph"/>
        <w:numPr>
          <w:ilvl w:val="0"/>
          <w:numId w:val="40"/>
        </w:numPr>
        <w:rPr>
          <w:i/>
        </w:rPr>
      </w:pPr>
      <w:r w:rsidRPr="00F57624">
        <w:rPr>
          <w:i/>
        </w:rPr>
        <w:t>hypersensitivity to registered anticoagulant(s) – per the product i</w:t>
      </w:r>
      <w:r w:rsidR="008711CC">
        <w:rPr>
          <w:i/>
        </w:rPr>
        <w:t>nformation for each registered D</w:t>
      </w:r>
      <w:r w:rsidRPr="00F57624">
        <w:rPr>
          <w:i/>
        </w:rPr>
        <w:t>OAC, or</w:t>
      </w:r>
    </w:p>
    <w:p w14:paraId="6C9E7670" w14:textId="77777777" w:rsidR="00F57624" w:rsidRPr="00F57624" w:rsidRDefault="00F57624" w:rsidP="00BB142F">
      <w:pPr>
        <w:pStyle w:val="ListParagraph"/>
        <w:numPr>
          <w:ilvl w:val="0"/>
          <w:numId w:val="40"/>
        </w:numPr>
        <w:rPr>
          <w:i/>
        </w:rPr>
      </w:pPr>
      <w:r w:rsidRPr="00F57624">
        <w:rPr>
          <w:i/>
        </w:rPr>
        <w:t>high falls risk, or</w:t>
      </w:r>
    </w:p>
    <w:p w14:paraId="16328985" w14:textId="77777777" w:rsidR="00F57624" w:rsidRPr="00F57624" w:rsidRDefault="00F57624" w:rsidP="00BB142F">
      <w:pPr>
        <w:pStyle w:val="ListParagraph"/>
        <w:numPr>
          <w:ilvl w:val="0"/>
          <w:numId w:val="40"/>
        </w:numPr>
        <w:rPr>
          <w:i/>
        </w:rPr>
      </w:pPr>
      <w:r w:rsidRPr="00F57624">
        <w:rPr>
          <w:i/>
        </w:rPr>
        <w:t>cognitive impairment such as dementia.</w:t>
      </w:r>
    </w:p>
    <w:p w14:paraId="451CA49F" w14:textId="77777777" w:rsidR="00F57624" w:rsidRPr="00F57624" w:rsidRDefault="00F57624" w:rsidP="00F57624">
      <w:pPr>
        <w:rPr>
          <w:i/>
        </w:rPr>
      </w:pPr>
      <w:r w:rsidRPr="00F57624">
        <w:rPr>
          <w:i/>
        </w:rPr>
        <w:t>PASC noted that by proposing the two populations, the applicant was now requesting:</w:t>
      </w:r>
    </w:p>
    <w:p w14:paraId="76E43875" w14:textId="77777777" w:rsidR="00F57624" w:rsidRPr="00F57624" w:rsidRDefault="00F57624" w:rsidP="00BB142F">
      <w:pPr>
        <w:pStyle w:val="ListParagraph"/>
        <w:numPr>
          <w:ilvl w:val="0"/>
          <w:numId w:val="41"/>
        </w:numPr>
        <w:rPr>
          <w:i/>
        </w:rPr>
      </w:pPr>
      <w:r w:rsidRPr="00F57624">
        <w:rPr>
          <w:i/>
        </w:rPr>
        <w:t xml:space="preserve">to expand the existing definition of ‘absolute’ contraindication to OAT defined in MBS item 38276 to include </w:t>
      </w:r>
      <w:r w:rsidRPr="00F57624">
        <w:rPr>
          <w:rFonts w:cs="Calibri"/>
          <w:i/>
        </w:rPr>
        <w:t>iv. and v. (Population 1) and</w:t>
      </w:r>
    </w:p>
    <w:p w14:paraId="2C56D265" w14:textId="77777777" w:rsidR="00F57624" w:rsidRPr="00F57624" w:rsidRDefault="00F57624" w:rsidP="00BB142F">
      <w:pPr>
        <w:pStyle w:val="ListParagraph"/>
        <w:numPr>
          <w:ilvl w:val="0"/>
          <w:numId w:val="41"/>
        </w:numPr>
        <w:rPr>
          <w:i/>
        </w:rPr>
      </w:pPr>
      <w:r w:rsidRPr="00F57624">
        <w:rPr>
          <w:i/>
        </w:rPr>
        <w:t>a new patient population with ‘relative’ contraindication to OAT (Population 2).</w:t>
      </w:r>
    </w:p>
    <w:p w14:paraId="33729ADF" w14:textId="77777777" w:rsidR="00F57624" w:rsidRPr="00F57624" w:rsidRDefault="00F57624" w:rsidP="00F57624">
      <w:pPr>
        <w:rPr>
          <w:i/>
        </w:rPr>
      </w:pPr>
      <w:r w:rsidRPr="00F57624">
        <w:rPr>
          <w:i/>
        </w:rPr>
        <w:t>PASC noted the applicant’s claim to expand the definition of ‘absolute’ contraindications in the existing MBS item 38276 (Population 1) is based upon application 1347.1 and that the new patient population with ‘relative’ contraindications to OAT (Population 2) will be supported by new evidence not previously considered by MSAC.</w:t>
      </w:r>
    </w:p>
    <w:p w14:paraId="3EC9E5FD" w14:textId="77777777" w:rsidR="00F57624" w:rsidRPr="00F57624" w:rsidRDefault="00F57624" w:rsidP="00F57624">
      <w:pPr>
        <w:rPr>
          <w:i/>
        </w:rPr>
      </w:pPr>
      <w:r w:rsidRPr="00F57624">
        <w:rPr>
          <w:i/>
        </w:rPr>
        <w:t xml:space="preserve">PASC advised that the applicant’s request to amend the list of </w:t>
      </w:r>
      <w:r w:rsidRPr="00F57624">
        <w:rPr>
          <w:b/>
          <w:i/>
        </w:rPr>
        <w:t>absolute</w:t>
      </w:r>
      <w:r w:rsidRPr="00F57624">
        <w:rPr>
          <w:i/>
        </w:rPr>
        <w:t xml:space="preserve"> contraindications currently stated within MBS item 38276 (Population 1) should be presented along with a budget impact analysis, to the MSAC Executive for consideration and that only Population 2 should be the focus of this application.</w:t>
      </w:r>
    </w:p>
    <w:p w14:paraId="676250ED" w14:textId="3C6FAC6C" w:rsidR="00F57624" w:rsidRPr="00F57624" w:rsidRDefault="00F57624" w:rsidP="00F57624">
      <w:pPr>
        <w:rPr>
          <w:bCs/>
          <w:i/>
          <w:color w:val="000000" w:themeColor="text1"/>
        </w:rPr>
      </w:pPr>
      <w:r w:rsidRPr="00F57624">
        <w:rPr>
          <w:i/>
        </w:rPr>
        <w:t xml:space="preserve">PASC advised that that the ‘relative’ contraindications will need to be well defined. PASC advised that </w:t>
      </w:r>
      <w:r w:rsidRPr="00F57624">
        <w:rPr>
          <w:rFonts w:cs="Calibri"/>
          <w:i/>
        </w:rPr>
        <w:t>‘prior gastrointestinal bleed’ (for which there was no correctional basis) required further clarification and suggested using the definitions for the “absolute contraindications” for this item be aligned with the contraindications for DOACs as per the TGA approved product information (PI) across the class of agents. Accordingly, the “relative contraindications” can be defined as the “cautions for use” described in the PIs across the class of DOACs.</w:t>
      </w:r>
    </w:p>
    <w:p w14:paraId="6713376C" w14:textId="79E58A34" w:rsidR="00BC6DF7" w:rsidRPr="00303AAD" w:rsidRDefault="00BC6DF7" w:rsidP="00C821D8">
      <w:pPr>
        <w:pStyle w:val="Heading4"/>
      </w:pPr>
      <w:r w:rsidRPr="00C821D8">
        <w:t>Background</w:t>
      </w:r>
    </w:p>
    <w:p w14:paraId="71B5A142" w14:textId="1926F076" w:rsidR="00FE1E74" w:rsidRPr="00FE1E74" w:rsidRDefault="00FE1E74" w:rsidP="00FE1E74">
      <w:r w:rsidRPr="00FE1E74">
        <w:t>Atrial fibrillation (AF) is a condition characterised by disorganised atrial activity without discrete p-waves on a 12 lead electrocardiogram. It is caused by a malfunction in the sequence of electrical impulses controlling the rate and order of contraction of the chambers of the heart. AF is the most common form of irregular heart rhythm. A minority (10%) of AF cases occur in people with rheumatic mitral valve disease, a prosthetic heart valve, or mitral valve repair; this is described as valvular AF. The other 90</w:t>
      </w:r>
      <w:r w:rsidR="00C962A9">
        <w:t xml:space="preserve">% </w:t>
      </w:r>
      <w:r w:rsidRPr="00FE1E74">
        <w:t>of AF is described as</w:t>
      </w:r>
      <w:r w:rsidR="00F1195D">
        <w:t xml:space="preserve"> non-valvular atrial fibrillation</w:t>
      </w:r>
      <w:r w:rsidRPr="00FE1E74">
        <w:t xml:space="preserve"> </w:t>
      </w:r>
      <w:r w:rsidR="00F1195D">
        <w:t>(</w:t>
      </w:r>
      <w:r w:rsidRPr="00FE1E74">
        <w:t>NVAF</w:t>
      </w:r>
      <w:r w:rsidR="00F1195D">
        <w:t>)</w:t>
      </w:r>
      <w:bookmarkStart w:id="2" w:name="_Hlk23167432"/>
      <w:r w:rsidR="00FD587E">
        <w:t xml:space="preserve"> (Ang et al 1998)</w:t>
      </w:r>
      <w:r w:rsidRPr="00FE1E74">
        <w:t xml:space="preserve">. </w:t>
      </w:r>
      <w:bookmarkEnd w:id="2"/>
      <w:r w:rsidRPr="00FE1E74">
        <w:t>AF is associated with substantial morbidity and mortality from heart failure, stroke, and other thromboembolic complications</w:t>
      </w:r>
      <w:bookmarkStart w:id="3" w:name="_Hlk23167445"/>
      <w:r w:rsidR="00FD587E">
        <w:t xml:space="preserve"> (Lip 2003)</w:t>
      </w:r>
      <w:r w:rsidRPr="00FE1E74">
        <w:t xml:space="preserve">. </w:t>
      </w:r>
      <w:bookmarkEnd w:id="3"/>
      <w:r w:rsidRPr="00FE1E74">
        <w:t xml:space="preserve">AF affects quality of life across areas of physical, mental, social, and functional measures. Patients with asymptomatic AF have lower global life satisfaction compared with healthy </w:t>
      </w:r>
      <w:bookmarkStart w:id="4" w:name="_Hlk23167456"/>
      <w:r w:rsidR="00FD587E">
        <w:t>subjects (Savelieva 2001)</w:t>
      </w:r>
      <w:r w:rsidRPr="00FE1E74">
        <w:t xml:space="preserve">. </w:t>
      </w:r>
      <w:bookmarkEnd w:id="4"/>
    </w:p>
    <w:p w14:paraId="5FF85E08" w14:textId="1E1C25FB" w:rsidR="00FE1E74" w:rsidRPr="00FE1E74" w:rsidRDefault="00FE1E74" w:rsidP="00FE1E74">
      <w:r w:rsidRPr="00FE1E74">
        <w:t xml:space="preserve">The death rate </w:t>
      </w:r>
      <w:r w:rsidR="00796654">
        <w:t>from</w:t>
      </w:r>
      <w:r w:rsidRPr="00FE1E74">
        <w:t xml:space="preserve"> atrial fibrillation has seen a steady increase in the last decade with a total of 1552 Australians having lost their lives due to atrial fibrillation in 2009 increasing to a total of 2953 lives lost in 2018 (Australian Bureau of Statistics [ABS] 2018). These figures do not account for deaths caused by AF related conditions (</w:t>
      </w:r>
      <w:r w:rsidR="007E3325">
        <w:t xml:space="preserve">such as </w:t>
      </w:r>
      <w:r w:rsidRPr="00FE1E74">
        <w:t xml:space="preserve">stroke, heart failure), thus are likely to underestimate the </w:t>
      </w:r>
      <w:r w:rsidRPr="00FE1E74">
        <w:lastRenderedPageBreak/>
        <w:t xml:space="preserve">true numbers. Costs of AF to the Australian economy are at least $1.25 billion (AUD) per annum through medical costs, costs of long-term care for those with a disability, and lost productivity (Price Waterhouse Coopers 2010). </w:t>
      </w:r>
    </w:p>
    <w:p w14:paraId="563C38E3" w14:textId="77777777" w:rsidR="00FE1E74" w:rsidRPr="00FE1E74" w:rsidRDefault="00FE1E74" w:rsidP="00FE1E74">
      <w:r w:rsidRPr="00FE1E74">
        <w:t>In 2015, 1.7% of the Australian population (~397,000) had experienced a stroke at some time in their life (Australian Institute in Health of Health and Welfare [AIHW]: cardiovascular disease 2019). People disabled by stroke are more likely to need ongoing assistance with activities of daily living compared with people disabled by other diseases. For example, those disabled by stroke were twice as likely to need ongoing assistance with these activities as those whose disability was caused by coronary heart disease (42.1% compared with 21.6%) (AIHW: Heart, stroke and vascular diseases 2004).</w:t>
      </w:r>
    </w:p>
    <w:p w14:paraId="5F5F5074" w14:textId="44AAAD85" w:rsidR="00FE1E74" w:rsidRPr="00FE1E74" w:rsidRDefault="00FE1E74" w:rsidP="00FE1E74">
      <w:r w:rsidRPr="00FE1E74">
        <w:t>The symptoms of AF can include palpitations, dizziness, chest pain and shortness of breath, often noticed as an inability to tolerate exercis</w:t>
      </w:r>
      <w:r w:rsidR="00C962A9">
        <w:t xml:space="preserve">e. However, approximately 10–30% </w:t>
      </w:r>
      <w:r w:rsidRPr="00FE1E74">
        <w:t xml:space="preserve">of people with AF have no symptoms; many of these people are not diagnosed and thus do not receive appropriate treatment for stroke risk </w:t>
      </w:r>
      <w:bookmarkStart w:id="5" w:name="_Hlk23167476"/>
      <w:r w:rsidRPr="00FE1E74">
        <w:t xml:space="preserve">(Department of Health and </w:t>
      </w:r>
      <w:r w:rsidR="007E3325">
        <w:t>A</w:t>
      </w:r>
      <w:r w:rsidRPr="00FE1E74">
        <w:t>geing (DoHA): review of anticoagulation therapies in atrial fibrillation 2012).</w:t>
      </w:r>
      <w:bookmarkEnd w:id="5"/>
    </w:p>
    <w:p w14:paraId="4138EFD2" w14:textId="77777777" w:rsidR="005E656E" w:rsidRDefault="00FE1E74" w:rsidP="00FE1E74">
      <w:r w:rsidRPr="00FE1E74">
        <w:t xml:space="preserve">Based on </w:t>
      </w:r>
      <w:bookmarkStart w:id="6" w:name="_Hlk23167490"/>
      <w:r w:rsidRPr="00FE1E74">
        <w:t>the</w:t>
      </w:r>
      <w:r w:rsidR="003258DF">
        <w:t xml:space="preserve"> Australian</w:t>
      </w:r>
      <w:r w:rsidRPr="00FE1E74">
        <w:t xml:space="preserve"> National Hear</w:t>
      </w:r>
      <w:r w:rsidR="003258DF">
        <w:t xml:space="preserve">t Foundation (NHF) and </w:t>
      </w:r>
      <w:r w:rsidRPr="00FE1E74">
        <w:t xml:space="preserve">Cardiac Society of Australia and New Zealand (CSANZ) </w:t>
      </w:r>
      <w:r w:rsidR="005E656E">
        <w:t xml:space="preserve">clinical guidelines for </w:t>
      </w:r>
      <w:r w:rsidRPr="00FE1E74">
        <w:t>diagnosis and management of AF (2018)</w:t>
      </w:r>
      <w:bookmarkEnd w:id="6"/>
      <w:r w:rsidRPr="00FE1E74">
        <w:t>, the stroke risk of patients with NVAF in Australia is assessed using a modified version of the CHA</w:t>
      </w:r>
      <w:r w:rsidRPr="00FE1E74">
        <w:rPr>
          <w:vertAlign w:val="subscript"/>
        </w:rPr>
        <w:t>2</w:t>
      </w:r>
      <w:r w:rsidRPr="00FE1E74">
        <w:t>DS</w:t>
      </w:r>
      <w:r w:rsidRPr="00FE1E74">
        <w:rPr>
          <w:vertAlign w:val="subscript"/>
        </w:rPr>
        <w:t>2</w:t>
      </w:r>
      <w:r w:rsidRPr="00FE1E74">
        <w:t>-VAS</w:t>
      </w:r>
      <w:r w:rsidR="00F1195D">
        <w:t xml:space="preserve"> score</w:t>
      </w:r>
      <w:r w:rsidRPr="00FE1E74">
        <w:t>, namely CHA</w:t>
      </w:r>
      <w:r w:rsidRPr="00FE1E74">
        <w:rPr>
          <w:vertAlign w:val="subscript"/>
        </w:rPr>
        <w:t>2</w:t>
      </w:r>
      <w:r w:rsidRPr="00FE1E74">
        <w:t>DS</w:t>
      </w:r>
      <w:r w:rsidRPr="00FE1E74">
        <w:rPr>
          <w:vertAlign w:val="subscript"/>
        </w:rPr>
        <w:t>2</w:t>
      </w:r>
      <w:r w:rsidRPr="00FE1E74">
        <w:t>-VA</w:t>
      </w:r>
      <w:r w:rsidR="005E656E">
        <w:t xml:space="preserve">. This </w:t>
      </w:r>
      <w:r w:rsidRPr="00FE1E74">
        <w:t xml:space="preserve">does not take into account sex (the former gives one point for female sex). </w:t>
      </w:r>
    </w:p>
    <w:p w14:paraId="06F70481" w14:textId="2C367BD2" w:rsidR="00870120" w:rsidRDefault="00FE1E74" w:rsidP="00FE1E74">
      <w:r w:rsidRPr="00FE1E74">
        <w:t>The sexless score is recommended to avoid the cumbersome practice of selecting different thresholds for males and females when recommending anticoagulation. The definition and points in the CHA</w:t>
      </w:r>
      <w:r w:rsidRPr="00FE1E74">
        <w:rPr>
          <w:vertAlign w:val="subscript"/>
        </w:rPr>
        <w:t>2</w:t>
      </w:r>
      <w:r w:rsidRPr="00FE1E74">
        <w:t>DS</w:t>
      </w:r>
      <w:r w:rsidRPr="00FE1E74">
        <w:rPr>
          <w:vertAlign w:val="subscript"/>
        </w:rPr>
        <w:t>2</w:t>
      </w:r>
      <w:r w:rsidRPr="00FE1E74">
        <w:t xml:space="preserve">-VA </w:t>
      </w:r>
      <w:r w:rsidR="00F1195D">
        <w:t>are</w:t>
      </w:r>
      <w:r w:rsidRPr="00FE1E74">
        <w:t xml:space="preserve"> provided in</w:t>
      </w:r>
      <w:r w:rsidR="00F1195D">
        <w:t xml:space="preserve"> </w:t>
      </w:r>
      <w:r w:rsidR="00AE0B87">
        <w:fldChar w:fldCharType="begin"/>
      </w:r>
      <w:r w:rsidR="00AE0B87">
        <w:instrText xml:space="preserve"> REF _Ref34923013 \h </w:instrText>
      </w:r>
      <w:r w:rsidR="00AE0B87">
        <w:fldChar w:fldCharType="separate"/>
      </w:r>
      <w:r w:rsidR="00AE0B87">
        <w:t xml:space="preserve">Table </w:t>
      </w:r>
      <w:r w:rsidR="00AE0B87">
        <w:rPr>
          <w:noProof/>
        </w:rPr>
        <w:t>1</w:t>
      </w:r>
      <w:r w:rsidR="00AE0B87">
        <w:fldChar w:fldCharType="end"/>
      </w:r>
      <w:r w:rsidR="00F1195D">
        <w:t>.</w:t>
      </w:r>
    </w:p>
    <w:p w14:paraId="611BBC82" w14:textId="19C4AD77" w:rsidR="00F1195D" w:rsidRDefault="00AE0B87" w:rsidP="00AE0B87">
      <w:pPr>
        <w:pStyle w:val="Caption"/>
      </w:pPr>
      <w:bookmarkStart w:id="7" w:name="_Ref34923013"/>
      <w:r>
        <w:t xml:space="preserve">Table </w:t>
      </w:r>
      <w:r>
        <w:fldChar w:fldCharType="begin"/>
      </w:r>
      <w:r>
        <w:instrText xml:space="preserve"> SEQ Table \* ARABIC </w:instrText>
      </w:r>
      <w:r>
        <w:fldChar w:fldCharType="separate"/>
      </w:r>
      <w:r>
        <w:rPr>
          <w:noProof/>
        </w:rPr>
        <w:t>1</w:t>
      </w:r>
      <w:r>
        <w:fldChar w:fldCharType="end"/>
      </w:r>
      <w:bookmarkEnd w:id="7"/>
      <w:r>
        <w:tab/>
      </w:r>
      <w:r w:rsidR="00F1195D">
        <w:t>Definition and points in the CHA</w:t>
      </w:r>
      <w:r w:rsidR="00F1195D" w:rsidRPr="00F1195D">
        <w:rPr>
          <w:vertAlign w:val="subscript"/>
        </w:rPr>
        <w:t>2</w:t>
      </w:r>
      <w:r w:rsidR="00F1195D">
        <w:t>DS</w:t>
      </w:r>
      <w:r w:rsidR="00F1195D" w:rsidRPr="00F1195D">
        <w:rPr>
          <w:vertAlign w:val="subscript"/>
        </w:rPr>
        <w:t>2</w:t>
      </w:r>
      <w:r w:rsidR="00F1195D">
        <w:t>-VA score</w:t>
      </w:r>
    </w:p>
    <w:tbl>
      <w:tblPr>
        <w:tblStyle w:val="Summarybox1"/>
        <w:tblW w:w="0" w:type="auto"/>
        <w:tblLook w:val="04A0" w:firstRow="1" w:lastRow="0" w:firstColumn="1" w:lastColumn="0" w:noHBand="0" w:noVBand="1"/>
        <w:tblCaption w:val="Table 1"/>
        <w:tblDescription w:val="Table"/>
      </w:tblPr>
      <w:tblGrid>
        <w:gridCol w:w="704"/>
        <w:gridCol w:w="851"/>
        <w:gridCol w:w="7461"/>
      </w:tblGrid>
      <w:tr w:rsidR="00F1195D" w:rsidRPr="00F1195D" w14:paraId="048A9BD9" w14:textId="77777777" w:rsidTr="009C480E">
        <w:trPr>
          <w:tblHeader/>
        </w:trPr>
        <w:tc>
          <w:tcPr>
            <w:tcW w:w="704" w:type="dxa"/>
          </w:tcPr>
          <w:p w14:paraId="094A4134" w14:textId="77777777" w:rsidR="00F1195D" w:rsidRPr="00F1195D" w:rsidRDefault="00F1195D" w:rsidP="00F1195D">
            <w:pPr>
              <w:tabs>
                <w:tab w:val="left" w:pos="416"/>
                <w:tab w:val="left" w:pos="582"/>
              </w:tabs>
              <w:spacing w:before="20" w:after="20"/>
              <w:rPr>
                <w:rFonts w:eastAsia="Times New Roman"/>
                <w:b/>
                <w:sz w:val="18"/>
                <w:szCs w:val="18"/>
              </w:rPr>
            </w:pPr>
            <w:r w:rsidRPr="00F1195D">
              <w:rPr>
                <w:rFonts w:eastAsia="Times New Roman"/>
                <w:b/>
                <w:sz w:val="18"/>
                <w:szCs w:val="18"/>
              </w:rPr>
              <w:t>Score</w:t>
            </w:r>
          </w:p>
        </w:tc>
        <w:tc>
          <w:tcPr>
            <w:tcW w:w="851" w:type="dxa"/>
          </w:tcPr>
          <w:p w14:paraId="00B42BB4" w14:textId="77777777" w:rsidR="00F1195D" w:rsidRPr="00F1195D" w:rsidRDefault="00F1195D" w:rsidP="00F1195D">
            <w:pPr>
              <w:tabs>
                <w:tab w:val="left" w:pos="416"/>
                <w:tab w:val="left" w:pos="582"/>
              </w:tabs>
              <w:spacing w:before="20" w:after="20"/>
              <w:rPr>
                <w:rFonts w:eastAsia="Times New Roman"/>
                <w:b/>
                <w:sz w:val="18"/>
                <w:szCs w:val="18"/>
              </w:rPr>
            </w:pPr>
            <w:r w:rsidRPr="00F1195D">
              <w:rPr>
                <w:rFonts w:eastAsia="Times New Roman"/>
                <w:b/>
                <w:sz w:val="18"/>
                <w:szCs w:val="18"/>
              </w:rPr>
              <w:t>Points</w:t>
            </w:r>
          </w:p>
        </w:tc>
        <w:tc>
          <w:tcPr>
            <w:tcW w:w="7461" w:type="dxa"/>
          </w:tcPr>
          <w:p w14:paraId="1AFD5AA1" w14:textId="77777777" w:rsidR="00F1195D" w:rsidRPr="00F1195D" w:rsidRDefault="00F1195D" w:rsidP="00F1195D">
            <w:pPr>
              <w:tabs>
                <w:tab w:val="left" w:pos="416"/>
                <w:tab w:val="left" w:pos="582"/>
              </w:tabs>
              <w:spacing w:before="20" w:after="20"/>
              <w:rPr>
                <w:rFonts w:eastAsia="Times New Roman"/>
                <w:b/>
                <w:sz w:val="18"/>
                <w:szCs w:val="18"/>
              </w:rPr>
            </w:pPr>
            <w:r w:rsidRPr="00F1195D">
              <w:rPr>
                <w:rFonts w:eastAsia="Times New Roman"/>
                <w:b/>
                <w:sz w:val="18"/>
                <w:szCs w:val="18"/>
              </w:rPr>
              <w:t>Definition</w:t>
            </w:r>
          </w:p>
        </w:tc>
      </w:tr>
      <w:tr w:rsidR="00F1195D" w:rsidRPr="00F1195D" w14:paraId="3D6B3D28" w14:textId="77777777" w:rsidTr="009C480E">
        <w:tc>
          <w:tcPr>
            <w:tcW w:w="704" w:type="dxa"/>
          </w:tcPr>
          <w:p w14:paraId="54898C24"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C</w:t>
            </w:r>
          </w:p>
        </w:tc>
        <w:tc>
          <w:tcPr>
            <w:tcW w:w="851" w:type="dxa"/>
          </w:tcPr>
          <w:p w14:paraId="3BD21B08"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1</w:t>
            </w:r>
          </w:p>
        </w:tc>
        <w:tc>
          <w:tcPr>
            <w:tcW w:w="7461" w:type="dxa"/>
          </w:tcPr>
          <w:p w14:paraId="0663CAE4"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Congestive heart failure—recent signs, symptoms or admission for decompensated heart failure; this includes both HFrEF and HFpEF, or moderately to severely reduced systolic left ventricular function, whether or not there is a history of heart failure</w:t>
            </w:r>
          </w:p>
        </w:tc>
      </w:tr>
      <w:tr w:rsidR="00F1195D" w:rsidRPr="00F1195D" w14:paraId="561FDAE1" w14:textId="77777777" w:rsidTr="009C480E">
        <w:tc>
          <w:tcPr>
            <w:tcW w:w="704" w:type="dxa"/>
          </w:tcPr>
          <w:p w14:paraId="56160770"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H</w:t>
            </w:r>
          </w:p>
        </w:tc>
        <w:tc>
          <w:tcPr>
            <w:tcW w:w="851" w:type="dxa"/>
          </w:tcPr>
          <w:p w14:paraId="262840B6"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1</w:t>
            </w:r>
          </w:p>
        </w:tc>
        <w:tc>
          <w:tcPr>
            <w:tcW w:w="7461" w:type="dxa"/>
          </w:tcPr>
          <w:p w14:paraId="7147449B"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History of hypertension, whether or not BP is currently elevated</w:t>
            </w:r>
          </w:p>
        </w:tc>
      </w:tr>
      <w:tr w:rsidR="00F1195D" w:rsidRPr="00F1195D" w14:paraId="5DECA22C" w14:textId="77777777" w:rsidTr="009C480E">
        <w:tc>
          <w:tcPr>
            <w:tcW w:w="704" w:type="dxa"/>
          </w:tcPr>
          <w:p w14:paraId="1F1CCB39"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A2</w:t>
            </w:r>
          </w:p>
        </w:tc>
        <w:tc>
          <w:tcPr>
            <w:tcW w:w="851" w:type="dxa"/>
          </w:tcPr>
          <w:p w14:paraId="2EAD093F"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2</w:t>
            </w:r>
          </w:p>
        </w:tc>
        <w:tc>
          <w:tcPr>
            <w:tcW w:w="7461" w:type="dxa"/>
          </w:tcPr>
          <w:p w14:paraId="3F4890ED"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 xml:space="preserve">Age </w:t>
            </w:r>
            <w:r w:rsidRPr="00F1195D">
              <w:rPr>
                <w:rFonts w:eastAsia="Times New Roman" w:cstheme="minorHAnsi"/>
                <w:bCs/>
                <w:sz w:val="18"/>
                <w:szCs w:val="18"/>
              </w:rPr>
              <w:t xml:space="preserve">≥ </w:t>
            </w:r>
            <w:r w:rsidRPr="00F1195D">
              <w:rPr>
                <w:rFonts w:eastAsia="Times New Roman"/>
                <w:bCs/>
                <w:sz w:val="18"/>
                <w:szCs w:val="18"/>
              </w:rPr>
              <w:t>75 years</w:t>
            </w:r>
          </w:p>
        </w:tc>
      </w:tr>
      <w:tr w:rsidR="00F1195D" w:rsidRPr="00F1195D" w14:paraId="2DE5CAB4" w14:textId="77777777" w:rsidTr="009C480E">
        <w:tc>
          <w:tcPr>
            <w:tcW w:w="704" w:type="dxa"/>
          </w:tcPr>
          <w:p w14:paraId="5A16562A"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D</w:t>
            </w:r>
          </w:p>
        </w:tc>
        <w:tc>
          <w:tcPr>
            <w:tcW w:w="851" w:type="dxa"/>
          </w:tcPr>
          <w:p w14:paraId="25F45D7B"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1</w:t>
            </w:r>
          </w:p>
        </w:tc>
        <w:tc>
          <w:tcPr>
            <w:tcW w:w="7461" w:type="dxa"/>
          </w:tcPr>
          <w:p w14:paraId="2AB2F174"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Diabetes</w:t>
            </w:r>
          </w:p>
        </w:tc>
      </w:tr>
      <w:tr w:rsidR="00F1195D" w:rsidRPr="00F1195D" w14:paraId="4A1DBA1A" w14:textId="77777777" w:rsidTr="009C480E">
        <w:tc>
          <w:tcPr>
            <w:tcW w:w="704" w:type="dxa"/>
          </w:tcPr>
          <w:p w14:paraId="639E33E1"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S2</w:t>
            </w:r>
          </w:p>
        </w:tc>
        <w:tc>
          <w:tcPr>
            <w:tcW w:w="851" w:type="dxa"/>
          </w:tcPr>
          <w:p w14:paraId="47392C6F"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2</w:t>
            </w:r>
          </w:p>
        </w:tc>
        <w:tc>
          <w:tcPr>
            <w:tcW w:w="7461" w:type="dxa"/>
          </w:tcPr>
          <w:p w14:paraId="776A752A"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History of prior stroke or TIA or systemic thromboembolism</w:t>
            </w:r>
          </w:p>
        </w:tc>
      </w:tr>
      <w:tr w:rsidR="00F1195D" w:rsidRPr="00F1195D" w14:paraId="6B3D60B0" w14:textId="77777777" w:rsidTr="009C480E">
        <w:tc>
          <w:tcPr>
            <w:tcW w:w="704" w:type="dxa"/>
          </w:tcPr>
          <w:p w14:paraId="71795C5F"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V</w:t>
            </w:r>
          </w:p>
        </w:tc>
        <w:tc>
          <w:tcPr>
            <w:tcW w:w="851" w:type="dxa"/>
          </w:tcPr>
          <w:p w14:paraId="57D99C0D"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1</w:t>
            </w:r>
          </w:p>
        </w:tc>
        <w:tc>
          <w:tcPr>
            <w:tcW w:w="7461" w:type="dxa"/>
          </w:tcPr>
          <w:p w14:paraId="52447C28"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Vascular disease, defined as prior myocardial infarction or peripheral arterial disease or complex aortic atheroma</w:t>
            </w:r>
          </w:p>
          <w:p w14:paraId="285BF7C7"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or plaque on imaging (if performed)</w:t>
            </w:r>
          </w:p>
        </w:tc>
      </w:tr>
      <w:tr w:rsidR="00F1195D" w:rsidRPr="00F1195D" w14:paraId="4D2BD5DF" w14:textId="77777777" w:rsidTr="009C480E">
        <w:tc>
          <w:tcPr>
            <w:tcW w:w="704" w:type="dxa"/>
          </w:tcPr>
          <w:p w14:paraId="2CB32026"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A</w:t>
            </w:r>
          </w:p>
        </w:tc>
        <w:tc>
          <w:tcPr>
            <w:tcW w:w="851" w:type="dxa"/>
          </w:tcPr>
          <w:p w14:paraId="6EE50DF8"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1</w:t>
            </w:r>
          </w:p>
        </w:tc>
        <w:tc>
          <w:tcPr>
            <w:tcW w:w="7461" w:type="dxa"/>
          </w:tcPr>
          <w:p w14:paraId="6455DDD3" w14:textId="77777777" w:rsidR="00F1195D" w:rsidRPr="00F1195D" w:rsidRDefault="00F1195D" w:rsidP="00F1195D">
            <w:pPr>
              <w:tabs>
                <w:tab w:val="left" w:pos="416"/>
                <w:tab w:val="left" w:pos="582"/>
              </w:tabs>
              <w:spacing w:before="20" w:after="20"/>
              <w:rPr>
                <w:rFonts w:eastAsia="Times New Roman"/>
                <w:bCs/>
                <w:sz w:val="18"/>
                <w:szCs w:val="18"/>
              </w:rPr>
            </w:pPr>
            <w:r w:rsidRPr="00F1195D">
              <w:rPr>
                <w:rFonts w:eastAsia="Times New Roman"/>
                <w:bCs/>
                <w:sz w:val="18"/>
                <w:szCs w:val="18"/>
              </w:rPr>
              <w:t>Age 65–74 years</w:t>
            </w:r>
          </w:p>
        </w:tc>
      </w:tr>
    </w:tbl>
    <w:p w14:paraId="25B8AD45" w14:textId="77777777" w:rsidR="00F1195D" w:rsidRPr="00F1195D" w:rsidRDefault="00F1195D" w:rsidP="00F1195D">
      <w:pPr>
        <w:keepNext/>
        <w:keepLines/>
        <w:spacing w:after="0" w:line="240" w:lineRule="auto"/>
        <w:rPr>
          <w:rFonts w:ascii="Arial" w:hAnsi="Arial" w:cs="Arial"/>
          <w:sz w:val="16"/>
          <w:szCs w:val="16"/>
        </w:rPr>
      </w:pPr>
      <w:r w:rsidRPr="00F1195D">
        <w:rPr>
          <w:rFonts w:ascii="Arial" w:hAnsi="Arial" w:cs="Arial"/>
          <w:sz w:val="16"/>
          <w:szCs w:val="16"/>
        </w:rPr>
        <w:t>AF=atrial fibrillation; BP=blood pressure; HFpEF=heart failure with preserved ejection fraction; HFrEF=heart failure with reduced ejection fraction; TIA=transient ischaemic attack.</w:t>
      </w:r>
    </w:p>
    <w:p w14:paraId="38DC0111" w14:textId="3CBC8ADE" w:rsidR="00F1195D" w:rsidRPr="00F1195D" w:rsidRDefault="00F1195D" w:rsidP="00F1195D">
      <w:pPr>
        <w:keepNext/>
        <w:keepLines/>
        <w:spacing w:after="0" w:line="240" w:lineRule="auto"/>
        <w:rPr>
          <w:rFonts w:ascii="Arial" w:hAnsi="Arial" w:cs="Arial"/>
          <w:sz w:val="16"/>
          <w:szCs w:val="16"/>
        </w:rPr>
      </w:pPr>
      <w:r w:rsidRPr="00F1195D">
        <w:rPr>
          <w:rFonts w:ascii="Arial" w:hAnsi="Arial" w:cs="Arial"/>
          <w:sz w:val="16"/>
          <w:szCs w:val="16"/>
        </w:rPr>
        <w:t>Source: National Heart Founda</w:t>
      </w:r>
      <w:r w:rsidR="005E656E">
        <w:rPr>
          <w:rFonts w:ascii="Arial" w:hAnsi="Arial" w:cs="Arial"/>
          <w:sz w:val="16"/>
          <w:szCs w:val="16"/>
        </w:rPr>
        <w:t xml:space="preserve">tion (NHF) of Australia and </w:t>
      </w:r>
      <w:r w:rsidRPr="00F1195D">
        <w:rPr>
          <w:rFonts w:ascii="Arial" w:hAnsi="Arial" w:cs="Arial"/>
          <w:sz w:val="16"/>
          <w:szCs w:val="16"/>
        </w:rPr>
        <w:t>Cardiac Society of Australia and New Zealand (CSANZ)</w:t>
      </w:r>
      <w:r w:rsidR="005E656E">
        <w:rPr>
          <w:rFonts w:ascii="Arial" w:hAnsi="Arial" w:cs="Arial"/>
          <w:sz w:val="16"/>
          <w:szCs w:val="16"/>
        </w:rPr>
        <w:t xml:space="preserve"> Guidelines</w:t>
      </w:r>
      <w:r w:rsidRPr="00F1195D">
        <w:rPr>
          <w:rFonts w:ascii="Arial" w:hAnsi="Arial" w:cs="Arial"/>
          <w:sz w:val="16"/>
          <w:szCs w:val="16"/>
        </w:rPr>
        <w:t xml:space="preserve"> (2018) Table 3 pg. 1235.</w:t>
      </w:r>
    </w:p>
    <w:p w14:paraId="552B497E" w14:textId="64B7C3BD" w:rsidR="00F1195D" w:rsidRPr="005E656E" w:rsidRDefault="00F1195D" w:rsidP="0041425D">
      <w:pPr>
        <w:spacing w:after="0"/>
        <w:rPr>
          <w:sz w:val="16"/>
          <w:szCs w:val="16"/>
        </w:rPr>
      </w:pPr>
    </w:p>
    <w:p w14:paraId="78DD1ED8" w14:textId="19A3C35E" w:rsidR="003F4985" w:rsidRPr="00303AAD" w:rsidRDefault="003F4985" w:rsidP="00C821D8">
      <w:pPr>
        <w:pStyle w:val="Heading4"/>
      </w:pPr>
      <w:r w:rsidRPr="00303AAD">
        <w:t>Work-up of patients with NVAF</w:t>
      </w:r>
    </w:p>
    <w:p w14:paraId="3A8A9DA1" w14:textId="62D50D25" w:rsidR="003F4985" w:rsidRDefault="00570E2F" w:rsidP="00E61AD3">
      <w:r>
        <w:t xml:space="preserve">In the Australian </w:t>
      </w:r>
      <w:r w:rsidR="00E61AD3" w:rsidRPr="00E61AD3">
        <w:t>NHF</w:t>
      </w:r>
      <w:r w:rsidR="0041425D">
        <w:t xml:space="preserve"> and CSANZ </w:t>
      </w:r>
      <w:r>
        <w:t>G</w:t>
      </w:r>
      <w:r w:rsidR="00E61AD3" w:rsidRPr="00E61AD3">
        <w:t>uidelines for AF</w:t>
      </w:r>
      <w:r w:rsidR="0041425D">
        <w:t xml:space="preserve"> (2018)</w:t>
      </w:r>
      <w:r w:rsidR="00E61AD3">
        <w:t>,</w:t>
      </w:r>
      <w:r w:rsidR="00E61AD3" w:rsidRPr="00E61AD3">
        <w:t xml:space="preserve"> the CHA</w:t>
      </w:r>
      <w:r w:rsidR="00E61AD3" w:rsidRPr="00E61AD3">
        <w:rPr>
          <w:vertAlign w:val="subscript"/>
        </w:rPr>
        <w:t>2</w:t>
      </w:r>
      <w:r w:rsidR="00E61AD3" w:rsidRPr="00E61AD3">
        <w:t>DS</w:t>
      </w:r>
      <w:r w:rsidR="00E61AD3" w:rsidRPr="00E61AD3">
        <w:rPr>
          <w:vertAlign w:val="subscript"/>
        </w:rPr>
        <w:t>2</w:t>
      </w:r>
      <w:r w:rsidR="00E61AD3" w:rsidRPr="00E61AD3">
        <w:t>-VA score is recommended for predicting stroke risk in AF</w:t>
      </w:r>
      <w:r>
        <w:t xml:space="preserve">, which </w:t>
      </w:r>
      <w:r w:rsidR="00E61AD3" w:rsidRPr="00E61AD3">
        <w:t xml:space="preserve">determines </w:t>
      </w:r>
      <w:r>
        <w:t xml:space="preserve">the </w:t>
      </w:r>
      <w:r w:rsidR="00E61AD3" w:rsidRPr="00E61AD3">
        <w:t>management of patients. In patients with a score of zero, oral anticoagulation or ant</w:t>
      </w:r>
      <w:r w:rsidR="003E5E38">
        <w:t>iplatelet agents</w:t>
      </w:r>
      <w:r>
        <w:t xml:space="preserve"> are not recommended. R</w:t>
      </w:r>
      <w:r w:rsidR="00E61AD3" w:rsidRPr="00E61AD3">
        <w:t>ather</w:t>
      </w:r>
      <w:r>
        <w:t>,</w:t>
      </w:r>
      <w:r w:rsidR="00E61AD3" w:rsidRPr="00E61AD3">
        <w:t xml:space="preserve"> these patients will be re-evaluated annually</w:t>
      </w:r>
      <w:r>
        <w:t>,</w:t>
      </w:r>
      <w:r w:rsidR="00E61AD3" w:rsidRPr="00E61AD3">
        <w:t xml:space="preserve"> to review their score. Patients with a CHA</w:t>
      </w:r>
      <w:r w:rsidR="00E61AD3" w:rsidRPr="00E61AD3">
        <w:rPr>
          <w:vertAlign w:val="subscript"/>
        </w:rPr>
        <w:t>2</w:t>
      </w:r>
      <w:r w:rsidR="00E61AD3" w:rsidRPr="00E61AD3">
        <w:t>DS</w:t>
      </w:r>
      <w:r w:rsidR="00E61AD3" w:rsidRPr="00E61AD3">
        <w:rPr>
          <w:vertAlign w:val="subscript"/>
        </w:rPr>
        <w:t>2</w:t>
      </w:r>
      <w:r w:rsidR="00E61AD3" w:rsidRPr="00E61AD3">
        <w:t>-VA score of 1 are considered for OAT</w:t>
      </w:r>
      <w:r>
        <w:t>,</w:t>
      </w:r>
      <w:r w:rsidR="00E61AD3" w:rsidRPr="00E61AD3">
        <w:t xml:space="preserve"> to prevent stroke a</w:t>
      </w:r>
      <w:r>
        <w:t>nd systemic embolism (note the G</w:t>
      </w:r>
      <w:r w:rsidR="00E61AD3" w:rsidRPr="00E61AD3">
        <w:t xml:space="preserve">uidelines refer to oral </w:t>
      </w:r>
      <w:r w:rsidR="00E61AD3" w:rsidRPr="00E61AD3">
        <w:lastRenderedPageBreak/>
        <w:t>anticoagulant [OAC]</w:t>
      </w:r>
      <w:r w:rsidR="00373675">
        <w:t>,</w:t>
      </w:r>
      <w:r w:rsidR="00E61AD3" w:rsidRPr="00E61AD3">
        <w:t xml:space="preserve"> which is </w:t>
      </w:r>
      <w:r>
        <w:t>interchangeable with OAT). The G</w:t>
      </w:r>
      <w:r w:rsidR="00E61AD3" w:rsidRPr="00E61AD3">
        <w:t xml:space="preserve">uidelines specifically recommend that </w:t>
      </w:r>
      <w:r w:rsidR="00E61AD3" w:rsidRPr="007301DC">
        <w:rPr>
          <w:iCs/>
        </w:rPr>
        <w:t>“when oral anticoagulation is ini</w:t>
      </w:r>
      <w:r w:rsidRPr="007301DC">
        <w:rPr>
          <w:iCs/>
        </w:rPr>
        <w:t>tiated in patients with NVAF, a</w:t>
      </w:r>
      <w:r w:rsidR="008711CC">
        <w:rPr>
          <w:iCs/>
        </w:rPr>
        <w:t xml:space="preserve"> D</w:t>
      </w:r>
      <w:r w:rsidR="00E61AD3" w:rsidRPr="007301DC">
        <w:rPr>
          <w:iCs/>
        </w:rPr>
        <w:t>OAC – apixaban, dabigatran, or rivaroxaban – is recommended in preference to warfarin”</w:t>
      </w:r>
      <w:r w:rsidR="003E5E38">
        <w:t xml:space="preserve"> (p.1237). Antiplatelet agents</w:t>
      </w:r>
      <w:r w:rsidR="00E61AD3" w:rsidRPr="00E61AD3">
        <w:t xml:space="preserve"> are not recommended for stroke prevention of NVAF patients</w:t>
      </w:r>
      <w:r>
        <w:t>,</w:t>
      </w:r>
      <w:r w:rsidR="00E61AD3" w:rsidRPr="00E61AD3">
        <w:t xml:space="preserve"> irrespective of their CHA</w:t>
      </w:r>
      <w:r w:rsidR="00E61AD3" w:rsidRPr="00E61AD3">
        <w:rPr>
          <w:vertAlign w:val="subscript"/>
        </w:rPr>
        <w:t>2</w:t>
      </w:r>
      <w:r w:rsidR="00E61AD3" w:rsidRPr="00E61AD3">
        <w:t>DS</w:t>
      </w:r>
      <w:r w:rsidR="00E61AD3" w:rsidRPr="00E61AD3">
        <w:rPr>
          <w:vertAlign w:val="subscript"/>
        </w:rPr>
        <w:t>2</w:t>
      </w:r>
      <w:r w:rsidR="00E61AD3" w:rsidRPr="00E61AD3">
        <w:t>-VA score.</w:t>
      </w:r>
    </w:p>
    <w:p w14:paraId="4971C4AE" w14:textId="14938FB7" w:rsidR="00E61AD3" w:rsidRPr="003F4985" w:rsidRDefault="00E61AD3" w:rsidP="00E77853">
      <w:pPr>
        <w:spacing w:after="120"/>
      </w:pPr>
      <w:r w:rsidRPr="00E61AD3">
        <w:t>For patients with a CHA</w:t>
      </w:r>
      <w:r w:rsidRPr="00E61AD3">
        <w:rPr>
          <w:vertAlign w:val="subscript"/>
        </w:rPr>
        <w:t>2</w:t>
      </w:r>
      <w:r w:rsidRPr="00E61AD3">
        <w:t>DS</w:t>
      </w:r>
      <w:r w:rsidRPr="00E61AD3">
        <w:rPr>
          <w:vertAlign w:val="subscript"/>
        </w:rPr>
        <w:t>2</w:t>
      </w:r>
      <w:r w:rsidRPr="00E61AD3">
        <w:t>-VA score of ≥ 2 who are not contraindicated for anticoagulation, OAT is recommended</w:t>
      </w:r>
      <w:r>
        <w:t>,</w:t>
      </w:r>
      <w:r w:rsidRPr="00E61AD3">
        <w:t xml:space="preserve"> with</w:t>
      </w:r>
      <w:r>
        <w:t xml:space="preserve"> </w:t>
      </w:r>
      <w:r w:rsidR="008711CC">
        <w:t>direct</w:t>
      </w:r>
      <w:r>
        <w:t xml:space="preserve"> oral anticoagulants</w:t>
      </w:r>
      <w:r w:rsidRPr="00E61AD3">
        <w:t xml:space="preserve"> </w:t>
      </w:r>
      <w:r>
        <w:t>(</w:t>
      </w:r>
      <w:r w:rsidR="008711CC">
        <w:t>D</w:t>
      </w:r>
      <w:r w:rsidRPr="00E61AD3">
        <w:t>OACs</w:t>
      </w:r>
      <w:r>
        <w:t>)</w:t>
      </w:r>
      <w:r w:rsidRPr="00E61AD3">
        <w:t xml:space="preserve"> being preferred. For patients with clear contraindications to OAT, LAAC </w:t>
      </w:r>
      <w:r w:rsidR="006E5F5D">
        <w:t xml:space="preserve">may </w:t>
      </w:r>
      <w:r w:rsidRPr="00E61AD3">
        <w:t>be considered. This pathway is consistent with the MBS listing for LAAC</w:t>
      </w:r>
      <w:r w:rsidR="005E656E">
        <w:t>,</w:t>
      </w:r>
      <w:r w:rsidRPr="00E61AD3">
        <w:t xml:space="preserve"> with t</w:t>
      </w:r>
      <w:r w:rsidR="005E656E">
        <w:t>he G</w:t>
      </w:r>
      <w:r w:rsidRPr="00E61AD3">
        <w:t>uidelines citing MSAC Application 1347.1, with reference to effectiveness and cost-effectiveness of LAAC versus placebo</w:t>
      </w:r>
      <w:r w:rsidR="005E656E">
        <w:t>,</w:t>
      </w:r>
      <w:r w:rsidRPr="00E61AD3">
        <w:t xml:space="preserve"> to support this positioning of LAAC.</w:t>
      </w:r>
      <w:r>
        <w:t xml:space="preserve"> </w:t>
      </w:r>
    </w:p>
    <w:p w14:paraId="7A5B4EFA" w14:textId="5AA1FADB" w:rsidR="003F4985" w:rsidRPr="00303AAD" w:rsidRDefault="003F4985" w:rsidP="00E77853">
      <w:pPr>
        <w:spacing w:after="80"/>
        <w:rPr>
          <w:b/>
          <w:color w:val="00B0F0"/>
          <w:sz w:val="24"/>
          <w:szCs w:val="24"/>
          <w:u w:val="single"/>
        </w:rPr>
      </w:pPr>
      <w:r w:rsidRPr="00303AAD">
        <w:rPr>
          <w:b/>
          <w:color w:val="00B0F0"/>
          <w:sz w:val="24"/>
          <w:szCs w:val="24"/>
          <w:u w:val="single"/>
        </w:rPr>
        <w:t xml:space="preserve">Prevalence of NVAF </w:t>
      </w:r>
    </w:p>
    <w:p w14:paraId="61626527" w14:textId="18640EA0" w:rsidR="003F4985" w:rsidRPr="00FE1E74" w:rsidRDefault="008B46B0" w:rsidP="00FE1E74">
      <w:r w:rsidRPr="008B46B0">
        <w:t>The prevalence of NVAF and stroke risk distribution is substantiated by a relatively robust set of epidemiological inputs derived from Australian epidemiological studies. According to the report by the Department of Health and Ageing (DoHA) in 2012, the prevalence of AF in Australia is 1–2% (DoHA: review of anticoagulation therapies in atrial fibrillation 2012, Section 5.2; Go et al 2001; Miyasaka et al 2006; Sturm et al 2002), although prevalence estimates sharply increase with age</w:t>
      </w:r>
      <w:r>
        <w:t>,</w:t>
      </w:r>
      <w:r w:rsidRPr="008B46B0">
        <w:t xml:space="preserve"> and the number of people with stroke is also expected to increase significantly as the population ages.</w:t>
      </w:r>
    </w:p>
    <w:p w14:paraId="4D7486E7" w14:textId="77777777" w:rsidR="00E364F7" w:rsidRPr="00A6420B" w:rsidRDefault="002B3338" w:rsidP="00C821D8">
      <w:pPr>
        <w:pStyle w:val="Heading5"/>
      </w:pPr>
      <w:r w:rsidRPr="00C821D8">
        <w:t>Rationale</w:t>
      </w:r>
    </w:p>
    <w:p w14:paraId="12BE2843" w14:textId="2EE3C417" w:rsidR="00ED4947" w:rsidRDefault="00ED4947" w:rsidP="00953ED7">
      <w:r w:rsidRPr="00ED4947">
        <w:t>Currently, to be eligible for LAAC on the MBS, patients must have NVAF and be at increased risk of stroke (CHA</w:t>
      </w:r>
      <w:r w:rsidRPr="00ED4947">
        <w:rPr>
          <w:vertAlign w:val="subscript"/>
        </w:rPr>
        <w:t>2</w:t>
      </w:r>
      <w:r w:rsidRPr="00ED4947">
        <w:t>DS</w:t>
      </w:r>
      <w:r w:rsidRPr="00ED4947">
        <w:rPr>
          <w:vertAlign w:val="subscript"/>
        </w:rPr>
        <w:t>2</w:t>
      </w:r>
      <w:r w:rsidRPr="00ED4947">
        <w:t>-VA ≥ 2) and have a contraindication to lifelong oral anticoagulation</w:t>
      </w:r>
      <w:r w:rsidR="00655715">
        <w:t xml:space="preserve"> (OAT)</w:t>
      </w:r>
      <w:r w:rsidRPr="00ED4947">
        <w:t>, here referred to as ‘absolute’ contraindication to OAT. The proposed patient population in this application is the same as those who are currently eligible for LAAC on the MBS with the exception that patients have ‘</w:t>
      </w:r>
      <w:r w:rsidRPr="00373675">
        <w:rPr>
          <w:b/>
        </w:rPr>
        <w:t>relative’</w:t>
      </w:r>
      <w:r w:rsidRPr="00ED4947">
        <w:t xml:space="preserve"> contraindication to OAT, rather than ‘absolute’ contra</w:t>
      </w:r>
      <w:r w:rsidR="00064BD0">
        <w:t>indication to lifelong OAT. E</w:t>
      </w:r>
      <w:r w:rsidRPr="00ED4947">
        <w:t>ligibility criteria for MBS item 38276 is as follows</w:t>
      </w:r>
      <w:r w:rsidR="00064BD0">
        <w:t>,</w:t>
      </w:r>
      <w:r w:rsidRPr="00ED4947">
        <w:t xml:space="preserve"> with contraindications to life</w:t>
      </w:r>
      <w:r w:rsidR="00064BD0">
        <w:t>-</w:t>
      </w:r>
      <w:r w:rsidRPr="00ED4947">
        <w:t xml:space="preserve">long anticoagulation defined in </w:t>
      </w:r>
      <w:r w:rsidR="00064BD0">
        <w:t>E</w:t>
      </w:r>
      <w:r w:rsidRPr="00ED4947">
        <w:t>xp</w:t>
      </w:r>
      <w:r w:rsidR="00064BD0">
        <w:t>lanatory Note TN.8.132</w:t>
      </w:r>
      <w:r>
        <w:t>:</w:t>
      </w:r>
    </w:p>
    <w:p w14:paraId="3C6F50D6" w14:textId="77777777" w:rsidR="00ED4947" w:rsidRPr="00ED4947" w:rsidRDefault="00ED4947" w:rsidP="00ED4947">
      <w:pPr>
        <w:spacing w:after="0"/>
        <w:rPr>
          <w:bCs/>
        </w:rPr>
      </w:pPr>
      <w:r w:rsidRPr="00ED4947">
        <w:rPr>
          <w:bCs/>
        </w:rPr>
        <w:t>A contraindication to lifelong anticoagulation is defined as:</w:t>
      </w:r>
    </w:p>
    <w:p w14:paraId="6A16D635" w14:textId="60766D15" w:rsidR="006830A7" w:rsidRDefault="00ED4947" w:rsidP="00BB142F">
      <w:pPr>
        <w:pStyle w:val="ListParagraph"/>
        <w:numPr>
          <w:ilvl w:val="0"/>
          <w:numId w:val="9"/>
        </w:numPr>
        <w:spacing w:after="0"/>
        <w:rPr>
          <w:bCs/>
        </w:rPr>
      </w:pPr>
      <w:r w:rsidRPr="00ED4947">
        <w:rPr>
          <w:bCs/>
        </w:rPr>
        <w:t>a previous major bleeding complication experienced whilst undergoing treatment with oral anticoagulation therapy,</w:t>
      </w:r>
    </w:p>
    <w:p w14:paraId="78F23B05" w14:textId="77777777" w:rsidR="00ED4947" w:rsidRDefault="00ED4947" w:rsidP="00BB142F">
      <w:pPr>
        <w:pStyle w:val="ListParagraph"/>
        <w:numPr>
          <w:ilvl w:val="0"/>
          <w:numId w:val="9"/>
        </w:numPr>
        <w:spacing w:after="0"/>
        <w:rPr>
          <w:bCs/>
        </w:rPr>
      </w:pPr>
      <w:r w:rsidRPr="00ED4947">
        <w:rPr>
          <w:bCs/>
        </w:rPr>
        <w:t>a blood dyscrasia, or</w:t>
      </w:r>
    </w:p>
    <w:p w14:paraId="2DE1E887" w14:textId="7DF367FA" w:rsidR="00ED4947" w:rsidRPr="00ED4947" w:rsidRDefault="00ED4947" w:rsidP="00BB142F">
      <w:pPr>
        <w:pStyle w:val="ListParagraph"/>
        <w:numPr>
          <w:ilvl w:val="0"/>
          <w:numId w:val="9"/>
        </w:numPr>
        <w:rPr>
          <w:bCs/>
        </w:rPr>
      </w:pPr>
      <w:r w:rsidRPr="00ED4947">
        <w:rPr>
          <w:bCs/>
        </w:rPr>
        <w:t>a vascular abnormality predisposing to potentially life-threatening haemorrhage</w:t>
      </w:r>
      <w:r w:rsidR="003F4985">
        <w:rPr>
          <w:bCs/>
        </w:rPr>
        <w:t>.</w:t>
      </w:r>
      <w:r w:rsidRPr="00ED4947">
        <w:rPr>
          <w:bCs/>
        </w:rPr>
        <w:t xml:space="preserve"> </w:t>
      </w:r>
    </w:p>
    <w:p w14:paraId="6C44EC99" w14:textId="77777777" w:rsidR="00ED4947" w:rsidRPr="00ED4947" w:rsidRDefault="00ED4947" w:rsidP="00ED4947">
      <w:r w:rsidRPr="00ED4947">
        <w:t>The use of OAT for prevention of stroke in NVAF patients is based on a patient's stroke risk, relative to any comorbid conditions that might carry significant risk of bleeding. Such characteristics are referred to as relative contraindications. Relative contraindications represent patient characteristics that put them at higher risk for bleeding and may result in withholding OAT, given the balance of risk to benefit of treatment (Steinberg et al 2015).</w:t>
      </w:r>
    </w:p>
    <w:p w14:paraId="2B35A84A" w14:textId="4EA06199" w:rsidR="00ED4947" w:rsidRPr="00ED4947" w:rsidRDefault="00ED4947" w:rsidP="00ED4947">
      <w:r w:rsidRPr="00ED4947">
        <w:t xml:space="preserve">The ‘absolute’ contraindication to lifelong anticoagulation as per explanatory note (TN.8.132) were defined in the Stakeholder meeting for Application 1347 (MSAC Application 1347 Stakeholder meeting minutes 5 June 2015). This stakeholder meeting </w:t>
      </w:r>
      <w:r w:rsidRPr="007301DC">
        <w:rPr>
          <w:iCs/>
        </w:rPr>
        <w:t>“considered that relative contraindications were more difficult to establish particularly whether there was true intolerance to therapy or just reflected patient preference”</w:t>
      </w:r>
      <w:r w:rsidRPr="00ED4947">
        <w:t xml:space="preserve"> (p.2). To mitigate this, the Applicant has sought local expert advice to formulate a specific list of contraindications that do not reflect patient preference. </w:t>
      </w:r>
    </w:p>
    <w:p w14:paraId="5D70309A" w14:textId="5230E852" w:rsidR="00ED4947" w:rsidRDefault="00ED4947" w:rsidP="00ED4947">
      <w:r w:rsidRPr="00ED4947">
        <w:lastRenderedPageBreak/>
        <w:t>The study by Steinberg et al (2015) defines relative contraindications as advanced age (85 years or older), evidence of dementia, gastrointestinal haemorrhage, thrombocytopenia, anaemia, haematological malignancy and traumatic intracranial haemorrhage. Other sources are broadly similar, however also include recent history</w:t>
      </w:r>
      <w:r w:rsidR="00BE7B23">
        <w:t xml:space="preserve"> of</w:t>
      </w:r>
      <w:r w:rsidRPr="00ED4947">
        <w:t xml:space="preserve"> recurrent iatrogenic falls in patient at higher bleeding risk as a relative contraindication, whilst acknowledging that risk of fall is not a contraindication to OAT per se (Buckinghamshire Formulary NHS</w:t>
      </w:r>
      <w:r w:rsidRPr="00ED4947">
        <w:rPr>
          <w:vertAlign w:val="superscript"/>
        </w:rPr>
        <w:footnoteReference w:id="1"/>
      </w:r>
      <w:r w:rsidR="00BE7B23">
        <w:t>)</w:t>
      </w:r>
      <w:r w:rsidRPr="00ED4947">
        <w:t>. The definitions used by Steinberg et al (2015) were adapted based on local expert advice, to ensure only contraindications pertaining to patients bleeding risk were included. As such, age ≥ 85 years and dementia were not considered specific to patients bleeding risk per se and were not included in the list.</w:t>
      </w:r>
    </w:p>
    <w:p w14:paraId="53B717E8" w14:textId="5FF78A2E" w:rsidR="00E77853" w:rsidRDefault="00896845" w:rsidP="00781BAE">
      <w:pPr>
        <w:pStyle w:val="Heading3"/>
      </w:pPr>
      <w:r w:rsidRPr="00570E2F">
        <w:t>I</w:t>
      </w:r>
      <w:r w:rsidR="00E77853">
        <w:t>NTERVENTION</w:t>
      </w:r>
    </w:p>
    <w:p w14:paraId="20693100" w14:textId="4863ABEA" w:rsidR="003F4985" w:rsidRDefault="004574CD" w:rsidP="00E77853">
      <w:pPr>
        <w:spacing w:after="120"/>
      </w:pPr>
      <w:r>
        <w:t>The intervention for the proposed medical service is</w:t>
      </w:r>
      <w:r w:rsidRPr="004574CD">
        <w:rPr>
          <w:rFonts w:asciiTheme="minorHAnsi" w:eastAsiaTheme="minorHAnsi" w:hAnsiTheme="minorHAnsi" w:cstheme="minorBidi"/>
          <w:sz w:val="20"/>
        </w:rPr>
        <w:t xml:space="preserve"> </w:t>
      </w:r>
      <w:r w:rsidRPr="004574CD">
        <w:t>percutaneous insertion of a left atrial appendage closure (LAAC) device</w:t>
      </w:r>
      <w:r w:rsidR="00570E2F">
        <w:t>,</w:t>
      </w:r>
      <w:r w:rsidRPr="004574CD">
        <w:t xml:space="preserve"> to occlude the left atrial appendage (LAA) in patients with non-valvular atrial fibrillation (NVAF).</w:t>
      </w:r>
      <w:r w:rsidRPr="004574CD">
        <w:rPr>
          <w:rFonts w:asciiTheme="minorHAnsi" w:eastAsiaTheme="minorHAnsi" w:hAnsiTheme="minorHAnsi" w:cstheme="minorBidi"/>
          <w:sz w:val="20"/>
        </w:rPr>
        <w:t xml:space="preserve"> </w:t>
      </w:r>
      <w:r w:rsidR="003F4985" w:rsidRPr="003F4985">
        <w:t xml:space="preserve">The </w:t>
      </w:r>
      <w:r w:rsidR="003F4985">
        <w:t>left atrial appendage</w:t>
      </w:r>
      <w:r w:rsidR="003F4985" w:rsidRPr="003F4985">
        <w:t xml:space="preserve"> is the primary source for thromboembolism in patients with NVAF. The percutaneous insertion of an implantable device to occlude the LAA may be performed to reduce thromboembolism in patients with NVAF. The procedure aims at preventing stroke and systemic thromboembolism</w:t>
      </w:r>
      <w:r w:rsidR="00570E2F">
        <w:t>,</w:t>
      </w:r>
      <w:r w:rsidR="003F4985" w:rsidRPr="003F4985">
        <w:t xml:space="preserve"> by closing off t</w:t>
      </w:r>
      <w:r w:rsidR="00570E2F">
        <w:t xml:space="preserve">he LAA permanently to avoid </w:t>
      </w:r>
      <w:r w:rsidR="003F4985" w:rsidRPr="003F4985">
        <w:t>formation and migration of emboli to the brain.</w:t>
      </w:r>
    </w:p>
    <w:p w14:paraId="6FCFAEF1" w14:textId="77777777" w:rsidR="008D2B7D" w:rsidRPr="00E53EBE" w:rsidRDefault="008D2B7D" w:rsidP="008D2B7D">
      <w:pPr>
        <w:rPr>
          <w:i/>
        </w:rPr>
      </w:pPr>
      <w:r w:rsidRPr="00E53EBE">
        <w:rPr>
          <w:i/>
        </w:rPr>
        <w:t>PASC confirmed the intervention as stated in the PICO.</w:t>
      </w:r>
    </w:p>
    <w:p w14:paraId="788AB703" w14:textId="75B2FDE1" w:rsidR="00EB0B2F" w:rsidRPr="00303AAD" w:rsidRDefault="00EB0B2F" w:rsidP="00C821D8">
      <w:pPr>
        <w:pStyle w:val="Heading4"/>
      </w:pPr>
      <w:r w:rsidRPr="00303AAD">
        <w:t>Surgical procedure</w:t>
      </w:r>
    </w:p>
    <w:p w14:paraId="33E85717" w14:textId="77777777" w:rsidR="00EB0B2F" w:rsidRPr="00EB0B2F" w:rsidRDefault="00EB0B2F" w:rsidP="00E77853">
      <w:pPr>
        <w:spacing w:after="80"/>
      </w:pPr>
      <w:r w:rsidRPr="00EB0B2F">
        <w:t>Patients are pre-screened with transoesophageal echocardiogram (TOE) to ensure eligibility for the procedure (absence of thrombus and appendage size/morphology suitable for occlusion). Appendage measurements should be taken and the appropriate size device selected as per the directions for use (DFUs) of the respective devices.</w:t>
      </w:r>
    </w:p>
    <w:p w14:paraId="7361E817" w14:textId="22C29167" w:rsidR="00EB0B2F" w:rsidRPr="00EB0B2F" w:rsidRDefault="00EB0B2F" w:rsidP="00EB0B2F">
      <w:r w:rsidRPr="00EB0B2F">
        <w:t xml:space="preserve">The procedure is performed under local or general anaesthesia by an interventional cardiologist or cardiac electrophysiologist in a catheterisation laboratory under guidance of fluoroscopy and </w:t>
      </w:r>
      <w:r w:rsidR="00897B8F">
        <w:t>TOE</w:t>
      </w:r>
      <w:r w:rsidRPr="00EB0B2F">
        <w:t>. The procedure takes approximately 60 minutes, which includes pre-, intra- and post-service components</w:t>
      </w:r>
      <w:r>
        <w:t>:</w:t>
      </w:r>
    </w:p>
    <w:p w14:paraId="0E11B94A" w14:textId="689C4236" w:rsidR="00EB0B2F" w:rsidRPr="00EB0B2F" w:rsidRDefault="00EB0B2F" w:rsidP="00BB142F">
      <w:pPr>
        <w:numPr>
          <w:ilvl w:val="0"/>
          <w:numId w:val="10"/>
        </w:numPr>
        <w:spacing w:after="0"/>
      </w:pPr>
      <w:r w:rsidRPr="00EB0B2F">
        <w:t xml:space="preserve">Pre-service component: 5—10 min. The </w:t>
      </w:r>
      <w:r w:rsidR="00E1534A">
        <w:t>cardiologist</w:t>
      </w:r>
      <w:r w:rsidRPr="00EB0B2F">
        <w:t xml:space="preserve"> will review patient notes and acquire patient consent for the procedure.</w:t>
      </w:r>
    </w:p>
    <w:p w14:paraId="58FDF3F8" w14:textId="77777777" w:rsidR="00EB0B2F" w:rsidRPr="00EB0B2F" w:rsidRDefault="00EB0B2F" w:rsidP="00BB142F">
      <w:pPr>
        <w:numPr>
          <w:ilvl w:val="0"/>
          <w:numId w:val="10"/>
        </w:numPr>
        <w:spacing w:after="0"/>
      </w:pPr>
      <w:r w:rsidRPr="00EB0B2F">
        <w:t>Intra-service component: mean LAA occlusion procedure time is 51.5 ± 27.7 minutes (Reddy et al 2013).</w:t>
      </w:r>
    </w:p>
    <w:p w14:paraId="218551C1" w14:textId="77777777" w:rsidR="00EB0B2F" w:rsidRPr="00EB0B2F" w:rsidRDefault="00EB0B2F" w:rsidP="00BB142F">
      <w:pPr>
        <w:numPr>
          <w:ilvl w:val="0"/>
          <w:numId w:val="10"/>
        </w:numPr>
      </w:pPr>
      <w:r w:rsidRPr="00EB0B2F">
        <w:t>Post-service component: 5 minutes. This may include procedures notes.</w:t>
      </w:r>
    </w:p>
    <w:p w14:paraId="4A979999" w14:textId="77777777" w:rsidR="00897B8F" w:rsidRDefault="00EB0B2F" w:rsidP="00EB0B2F">
      <w:r w:rsidRPr="00EB0B2F">
        <w:t xml:space="preserve">The implantation procedure uses standard transseptal techniques. The access sheath and delivery catheter permit device placement in the LAA via femoral venous access and inter-atrial septum crossing into the left atrium. The device is unsheathed when in the appropriate position. Several criteria are assessed prior to final release of the device including position, seal and device stability. A </w:t>
      </w:r>
      <w:r w:rsidRPr="00EB0B2F">
        <w:lastRenderedPageBreak/>
        <w:t xml:space="preserve">device can be repositioned or removed prior to its final release if criteria for permanent placement are not met. </w:t>
      </w:r>
    </w:p>
    <w:p w14:paraId="3B852B72" w14:textId="404583AB" w:rsidR="00F368DA" w:rsidRPr="00303AAD" w:rsidRDefault="00F368DA" w:rsidP="00C821D8">
      <w:pPr>
        <w:pStyle w:val="Heading4"/>
      </w:pPr>
      <w:r w:rsidRPr="00303AAD">
        <w:t>Setting</w:t>
      </w:r>
    </w:p>
    <w:p w14:paraId="4FF01B79" w14:textId="3E03F7B5" w:rsidR="004D09EF" w:rsidRDefault="004D09EF" w:rsidP="004D09EF">
      <w:r w:rsidRPr="00EB0B2F">
        <w:t>The proposed medical service is provided in a public or private hospital. In general, patients stay overnight in the hospital after the procedure and are discharged the following day. Patients may also require additional pre-discharge imaging services (e.g. pre-discharge chest x-ray or transthoracic echocardiogram [TTE]).</w:t>
      </w:r>
      <w:r>
        <w:t xml:space="preserve"> </w:t>
      </w:r>
      <w:r w:rsidRPr="004D09EF">
        <w:t>Accessibility to the LAAC procedure is limited by referral to an interventional cardiologist</w:t>
      </w:r>
      <w:r w:rsidR="004509CA">
        <w:t xml:space="preserve"> or </w:t>
      </w:r>
      <w:r w:rsidR="004509CA" w:rsidRPr="00EB0B2F">
        <w:t>cardiac electrophysiologist</w:t>
      </w:r>
      <w:r w:rsidRPr="004D09EF">
        <w:t>, availability of an accredited operator and equipped facility including a catheterisation laboratory.</w:t>
      </w:r>
      <w:r>
        <w:t xml:space="preserve"> </w:t>
      </w:r>
    </w:p>
    <w:p w14:paraId="236B3942" w14:textId="45CC3E8B" w:rsidR="008002A5" w:rsidRPr="008002A5" w:rsidRDefault="008002A5" w:rsidP="008002A5">
      <w:pPr>
        <w:spacing w:after="0"/>
      </w:pPr>
      <w:r w:rsidRPr="008002A5">
        <w:t>Cardiologists who intend to perform transcatheter occlusion of</w:t>
      </w:r>
      <w:r w:rsidR="00E71EF9">
        <w:t xml:space="preserve"> the</w:t>
      </w:r>
      <w:r w:rsidRPr="008002A5">
        <w:t xml:space="preserve"> LAA using the device undergo a comprehensive training program, which is provided by the manufacturers. The requirements to participate in this program are as follows:</w:t>
      </w:r>
    </w:p>
    <w:p w14:paraId="63805119" w14:textId="77777777" w:rsidR="008002A5" w:rsidRPr="008002A5" w:rsidRDefault="008002A5" w:rsidP="00BB142F">
      <w:pPr>
        <w:numPr>
          <w:ilvl w:val="0"/>
          <w:numId w:val="10"/>
        </w:numPr>
        <w:spacing w:after="0"/>
      </w:pPr>
      <w:r w:rsidRPr="008002A5">
        <w:t>Proficiency in trans-septal skills and left sided procedures</w:t>
      </w:r>
    </w:p>
    <w:p w14:paraId="4CB407CB" w14:textId="77777777" w:rsidR="008002A5" w:rsidRPr="008002A5" w:rsidRDefault="008002A5" w:rsidP="00BB142F">
      <w:pPr>
        <w:numPr>
          <w:ilvl w:val="0"/>
          <w:numId w:val="10"/>
        </w:numPr>
        <w:spacing w:after="0"/>
      </w:pPr>
      <w:r w:rsidRPr="008002A5">
        <w:t>Access to surgical back-up</w:t>
      </w:r>
    </w:p>
    <w:p w14:paraId="319BDD2D" w14:textId="77777777" w:rsidR="008002A5" w:rsidRPr="008002A5" w:rsidRDefault="008002A5" w:rsidP="00BB142F">
      <w:pPr>
        <w:numPr>
          <w:ilvl w:val="0"/>
          <w:numId w:val="10"/>
        </w:numPr>
        <w:spacing w:after="0"/>
      </w:pPr>
      <w:r w:rsidRPr="008002A5">
        <w:t>Willingness to complete the LAA Closure Training Program</w:t>
      </w:r>
    </w:p>
    <w:p w14:paraId="4380C670" w14:textId="77777777" w:rsidR="008002A5" w:rsidRPr="008002A5" w:rsidRDefault="008002A5" w:rsidP="00BB142F">
      <w:pPr>
        <w:numPr>
          <w:ilvl w:val="0"/>
          <w:numId w:val="10"/>
        </w:numPr>
      </w:pPr>
      <w:r w:rsidRPr="008002A5">
        <w:t>Committed to routine implantations to maintain skill set.</w:t>
      </w:r>
    </w:p>
    <w:p w14:paraId="5EC2B982" w14:textId="10A89795" w:rsidR="008002A5" w:rsidRDefault="008002A5" w:rsidP="008002A5">
      <w:r w:rsidRPr="008002A5">
        <w:t xml:space="preserve">Initial proctoring is provided by a </w:t>
      </w:r>
      <w:r w:rsidR="00E1534A">
        <w:t>cardiologist</w:t>
      </w:r>
      <w:r w:rsidRPr="008002A5">
        <w:t xml:space="preserve"> experienced in LAAC and/or a clinical specialist. To be considered an independent treating cardiologist, both the trainee and proctor must agree that there is an appropriate level of skill in implanting the device which is normally achieved following the successful completion of 5-10 procedures under supervision pending skill set.</w:t>
      </w:r>
    </w:p>
    <w:p w14:paraId="6C131000" w14:textId="03AA25FE" w:rsidR="004D09EF" w:rsidRDefault="004D09EF" w:rsidP="004D09EF">
      <w:r w:rsidRPr="004D09EF">
        <w:t>The LAA occluder is designed to be implanted permanently into the heart. It is therefore expected that the majority of patients will only receive a single procedure in their lifetime. However, in rare circumstances (e.g. embolization or infection) device removal may be required. This is achieved as a peripheral transcatheter procedure or in an open cardiac procedure. If removal is needed, an interventional cardiologist and/or cardiac surgeon can perform the removal.</w:t>
      </w:r>
    </w:p>
    <w:p w14:paraId="52DCB97C" w14:textId="77777777" w:rsidR="00A3629B" w:rsidRPr="00303AAD" w:rsidRDefault="00A3629B" w:rsidP="00C821D8">
      <w:pPr>
        <w:pStyle w:val="Heading4"/>
      </w:pPr>
      <w:r w:rsidRPr="00303AAD">
        <w:t>Postoperative care</w:t>
      </w:r>
    </w:p>
    <w:p w14:paraId="78C4B4F7" w14:textId="257184CE" w:rsidR="00A3629B" w:rsidRDefault="00A3629B" w:rsidP="00A3629B">
      <w:r w:rsidRPr="00EB0B2F">
        <w:t xml:space="preserve">Postoperatively, patients should begin antiplatelet medication to achieve optimal results. The appropriate dose and duration of antiplatelet therapy post-procedure is manufacturer specific. In general terms, patients will be managed on dual antiplatelet therapy for a minimum of 3 months (aspirin and clopidogrel) and maintained on aspirin for at least 12 months. Follow up examination with </w:t>
      </w:r>
      <w:r w:rsidR="00E71EF9">
        <w:t xml:space="preserve">a </w:t>
      </w:r>
      <w:r w:rsidRPr="00EB0B2F">
        <w:t xml:space="preserve">TOE is performed at six weeks to evaluate the LAA seal. A </w:t>
      </w:r>
      <w:r w:rsidR="00E1534A">
        <w:t>cardiologist</w:t>
      </w:r>
      <w:r w:rsidRPr="00EB0B2F">
        <w:t xml:space="preserve"> may choose to perform additional TOE procedures if any complications are suspected.</w:t>
      </w:r>
    </w:p>
    <w:p w14:paraId="0E2659EC" w14:textId="62694280" w:rsidR="00EB0B2F" w:rsidRPr="00303AAD" w:rsidRDefault="00EB0B2F" w:rsidP="00C821D8">
      <w:pPr>
        <w:pStyle w:val="Heading4"/>
      </w:pPr>
      <w:r w:rsidRPr="00303AAD">
        <w:t>Devices</w:t>
      </w:r>
    </w:p>
    <w:p w14:paraId="7E899DFF" w14:textId="5023F2CC" w:rsidR="003F4985" w:rsidRPr="003F4985" w:rsidRDefault="003F4985" w:rsidP="003F4985">
      <w:r w:rsidRPr="003F4985">
        <w:t>There are currently four devices registered for use to perform the LAAC procedure in Australia, WATCHMAN</w:t>
      </w:r>
      <w:r w:rsidRPr="003F4985">
        <w:rPr>
          <w:vertAlign w:val="superscript"/>
        </w:rPr>
        <w:t>TM</w:t>
      </w:r>
      <w:r w:rsidRPr="003F4985">
        <w:t xml:space="preserve"> (Boston Scientific), the AMPLATZER</w:t>
      </w:r>
      <w:r w:rsidRPr="003F4985">
        <w:rPr>
          <w:vertAlign w:val="superscript"/>
        </w:rPr>
        <w:t>TM</w:t>
      </w:r>
      <w:r w:rsidRPr="003F4985">
        <w:t xml:space="preserve"> Cardiac Plug (</w:t>
      </w:r>
      <w:r w:rsidRPr="003F4985">
        <w:rPr>
          <w:lang w:val="en-US"/>
        </w:rPr>
        <w:t>St Jude Medical</w:t>
      </w:r>
      <w:r w:rsidRPr="003F4985">
        <w:t>), the AMPLATZER</w:t>
      </w:r>
      <w:r w:rsidRPr="003F4985">
        <w:rPr>
          <w:vertAlign w:val="superscript"/>
        </w:rPr>
        <w:t>TM</w:t>
      </w:r>
      <w:r w:rsidRPr="003F4985">
        <w:t xml:space="preserve"> Amulet (</w:t>
      </w:r>
      <w:r w:rsidRPr="003F4985">
        <w:rPr>
          <w:lang w:val="en-US"/>
        </w:rPr>
        <w:t>St Jude Medical</w:t>
      </w:r>
      <w:r w:rsidRPr="003F4985">
        <w:t>) and the Coherex WaveCrest™ (Johnson and Johnson).</w:t>
      </w:r>
    </w:p>
    <w:p w14:paraId="2C7BEFF5" w14:textId="77777777" w:rsidR="003F4985" w:rsidRPr="003F4985" w:rsidRDefault="003F4985" w:rsidP="003F4985">
      <w:pPr>
        <w:rPr>
          <w:i/>
        </w:rPr>
      </w:pPr>
      <w:r w:rsidRPr="003F4985">
        <w:t xml:space="preserve">The intervention for the purpose of this resubmission is transcatheter occlusion of the LAA. In the Final Protocol for MSAC Application 1347, PASC agreed that from a clinical perspective, all LAA occlusion devices are similar and for the purposes of the assessment report, it is appropriate to </w:t>
      </w:r>
      <w:r w:rsidRPr="003F4985">
        <w:lastRenderedPageBreak/>
        <w:t xml:space="preserve">group all technologies in a generic approach. Indeed, in the PSD, MSAC </w:t>
      </w:r>
      <w:r w:rsidRPr="007301DC">
        <w:t>“noted that there was insufficient basis to compare across available LAAC devices in terms of their comparative safety and comparative effectiveness</w:t>
      </w:r>
      <w:r w:rsidRPr="003F4985">
        <w:rPr>
          <w:i/>
        </w:rPr>
        <w:t xml:space="preserve"> </w:t>
      </w:r>
      <w:r w:rsidRPr="003F4985">
        <w:t>(</w:t>
      </w:r>
      <w:bookmarkStart w:id="8" w:name="_Hlk23165591"/>
      <w:r w:rsidRPr="003F4985">
        <w:t>MSAC Application 1347 PSD November 2014</w:t>
      </w:r>
      <w:bookmarkEnd w:id="8"/>
      <w:r w:rsidRPr="003F4985">
        <w:t>)</w:t>
      </w:r>
      <w:r w:rsidRPr="003F4985">
        <w:rPr>
          <w:i/>
        </w:rPr>
        <w:t>.</w:t>
      </w:r>
    </w:p>
    <w:p w14:paraId="6C088DD0" w14:textId="09115BBF" w:rsidR="003F4985" w:rsidRDefault="00E61AD3" w:rsidP="00303AAD">
      <w:pPr>
        <w:spacing w:after="120"/>
        <w:rPr>
          <w:iCs/>
        </w:rPr>
      </w:pPr>
      <w:r>
        <w:rPr>
          <w:iCs/>
        </w:rPr>
        <w:t>While</w:t>
      </w:r>
      <w:r w:rsidR="003F4985" w:rsidRPr="003F4985">
        <w:rPr>
          <w:iCs/>
        </w:rPr>
        <w:t xml:space="preserve"> the WATCHMAN, AMPLATZER Cardiac Plug</w:t>
      </w:r>
      <w:r w:rsidR="00570E2F">
        <w:rPr>
          <w:iCs/>
        </w:rPr>
        <w:t xml:space="preserve"> and</w:t>
      </w:r>
      <w:r w:rsidR="003F4985" w:rsidRPr="003F4985">
        <w:rPr>
          <w:iCs/>
        </w:rPr>
        <w:t xml:space="preserve"> AMPLATZER Amulet devices are listed on the </w:t>
      </w:r>
      <w:r w:rsidR="00570E2F">
        <w:rPr>
          <w:iCs/>
        </w:rPr>
        <w:t>Prostheses Li</w:t>
      </w:r>
      <w:r w:rsidR="003F4985" w:rsidRPr="003F4985">
        <w:rPr>
          <w:iCs/>
        </w:rPr>
        <w:t>st, the Coherex WaveCrest device is not. For completeness</w:t>
      </w:r>
      <w:r w:rsidR="00570E2F">
        <w:rPr>
          <w:iCs/>
        </w:rPr>
        <w:t>,</w:t>
      </w:r>
      <w:r w:rsidR="003F4985" w:rsidRPr="003F4985">
        <w:rPr>
          <w:iCs/>
        </w:rPr>
        <w:t xml:space="preserve"> details of all four devices are provided below.</w:t>
      </w:r>
    </w:p>
    <w:p w14:paraId="0FFEC39C" w14:textId="77777777" w:rsidR="00CE7D3E" w:rsidRPr="00303AAD" w:rsidRDefault="00CE7D3E" w:rsidP="00C821D8">
      <w:pPr>
        <w:pStyle w:val="Heading6"/>
      </w:pPr>
      <w:r w:rsidRPr="00C821D8">
        <w:t>WATCHMAN</w:t>
      </w:r>
      <w:r w:rsidRPr="00303AAD">
        <w:t>™</w:t>
      </w:r>
    </w:p>
    <w:p w14:paraId="458BA275" w14:textId="08FEDAC0" w:rsidR="000C680A" w:rsidRPr="000C680A" w:rsidRDefault="000C680A" w:rsidP="000C680A">
      <w:pPr>
        <w:rPr>
          <w:iCs/>
        </w:rPr>
      </w:pPr>
      <w:r w:rsidRPr="000C680A">
        <w:rPr>
          <w:iCs/>
        </w:rPr>
        <w:t>The WATCHMAN LAA Closure Technology consists of the Access System (Access Sheath and Dilator) and Delivery System (Delivery Catheter and LAA Closure Device). The Access System and Delivery System permit device placement in the LAA via femoral venous access and inter-atrial septum crossing into the left atrium. The WATCHMAN device is a self-expanding nitinol structure with a porous membrane on the proximal face (</w:t>
      </w:r>
      <w:r w:rsidRPr="000C680A">
        <w:rPr>
          <w:iCs/>
        </w:rPr>
        <w:fldChar w:fldCharType="begin"/>
      </w:r>
      <w:r w:rsidRPr="000C680A">
        <w:rPr>
          <w:iCs/>
        </w:rPr>
        <w:instrText xml:space="preserve"> REF _Ref22285551 \h </w:instrText>
      </w:r>
      <w:r w:rsidRPr="000C680A">
        <w:rPr>
          <w:iCs/>
        </w:rPr>
      </w:r>
      <w:r w:rsidRPr="000C680A">
        <w:rPr>
          <w:iCs/>
        </w:rPr>
        <w:fldChar w:fldCharType="separate"/>
      </w:r>
      <w:r w:rsidRPr="000C680A">
        <w:rPr>
          <w:iCs/>
        </w:rPr>
        <w:t xml:space="preserve">Figure </w:t>
      </w:r>
      <w:r w:rsidRPr="000C680A">
        <w:rPr>
          <w:iCs/>
        </w:rPr>
        <w:fldChar w:fldCharType="end"/>
      </w:r>
      <w:r w:rsidR="00A3629B">
        <w:rPr>
          <w:iCs/>
        </w:rPr>
        <w:t>1</w:t>
      </w:r>
      <w:r w:rsidRPr="000C680A">
        <w:rPr>
          <w:iCs/>
        </w:rPr>
        <w:t xml:space="preserve">). The device is constrained within the Delivery System until deployment in the LAA. The device is available in 5 sizes from 21 to 33 mm. </w:t>
      </w:r>
    </w:p>
    <w:p w14:paraId="1336A1D6" w14:textId="6A59A515" w:rsidR="000C680A" w:rsidRPr="008332BD" w:rsidRDefault="000C680A" w:rsidP="00A3629B">
      <w:r w:rsidRPr="000C680A">
        <w:rPr>
          <w:iCs/>
        </w:rPr>
        <w:t>The WATCHMAN LAA Closure device is designed to be permanently implanted at or slightly distal to the ostium (opening) of the LAA.</w:t>
      </w:r>
    </w:p>
    <w:p w14:paraId="31EB49F0" w14:textId="77777777" w:rsidR="000C680A" w:rsidRDefault="000C680A" w:rsidP="00190CAE">
      <w:pPr>
        <w:keepNext/>
        <w:keepLines/>
        <w:spacing w:after="0"/>
      </w:pPr>
      <w:r>
        <w:rPr>
          <w:noProof/>
          <w:lang w:eastAsia="en-AU"/>
        </w:rPr>
        <w:drawing>
          <wp:inline distT="0" distB="0" distL="0" distR="0" wp14:anchorId="235D8B95" wp14:editId="2B920FB2">
            <wp:extent cx="3062177" cy="1690577"/>
            <wp:effectExtent l="0" t="0" r="5080" b="5080"/>
            <wp:docPr id="4" name="Picture 4" descr="Photo of devi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65145" cy="1692216"/>
                    </a:xfrm>
                    <a:prstGeom prst="rect">
                      <a:avLst/>
                    </a:prstGeom>
                    <a:noFill/>
                    <a:ln>
                      <a:noFill/>
                    </a:ln>
                  </pic:spPr>
                </pic:pic>
              </a:graphicData>
            </a:graphic>
          </wp:inline>
        </w:drawing>
      </w:r>
    </w:p>
    <w:p w14:paraId="3A9358E7" w14:textId="6B7795B0" w:rsidR="00CE7D3E" w:rsidRPr="00CE7D3E" w:rsidRDefault="00AE0B87" w:rsidP="00AE0B87">
      <w:pPr>
        <w:pStyle w:val="Caption"/>
        <w:ind w:left="0" w:firstLine="0"/>
        <w:rPr>
          <w:i/>
          <w:iCs/>
        </w:rPr>
      </w:pPr>
      <w:bookmarkStart w:id="9" w:name="_Ref22285551"/>
      <w:r>
        <w:t xml:space="preserve">Figure </w:t>
      </w:r>
      <w:r>
        <w:fldChar w:fldCharType="begin"/>
      </w:r>
      <w:r>
        <w:instrText xml:space="preserve"> SEQ Figure \* ARABIC </w:instrText>
      </w:r>
      <w:r>
        <w:fldChar w:fldCharType="separate"/>
      </w:r>
      <w:r>
        <w:rPr>
          <w:noProof/>
        </w:rPr>
        <w:t>1</w:t>
      </w:r>
      <w:r>
        <w:fldChar w:fldCharType="end"/>
      </w:r>
      <w:bookmarkStart w:id="10" w:name="_Ref385418214"/>
      <w:bookmarkStart w:id="11" w:name="_Toc442872210"/>
      <w:bookmarkEnd w:id="9"/>
      <w:r>
        <w:tab/>
      </w:r>
      <w:r w:rsidR="00CE7D3E" w:rsidRPr="00AE0B87">
        <w:rPr>
          <w:iCs/>
        </w:rPr>
        <w:t>WATCHMAN™ LAA occluder</w:t>
      </w:r>
      <w:bookmarkEnd w:id="10"/>
      <w:bookmarkEnd w:id="11"/>
    </w:p>
    <w:p w14:paraId="41C674DA" w14:textId="77777777" w:rsidR="00CE7D3E" w:rsidRPr="00CE7D3E" w:rsidRDefault="00CE7D3E" w:rsidP="00CE7D3E">
      <w:pPr>
        <w:rPr>
          <w:b/>
          <w:i/>
          <w:iCs/>
        </w:rPr>
      </w:pPr>
      <w:r w:rsidRPr="007301DC">
        <w:rPr>
          <w:iCs/>
        </w:rPr>
        <w:t>Source: Cardiac Rhythm News &lt;</w:t>
      </w:r>
      <w:hyperlink r:id="rId10" w:tooltip="This link directs to cardiac rhythm news website " w:history="1">
        <w:r w:rsidRPr="007301DC">
          <w:rPr>
            <w:rStyle w:val="Hyperlink"/>
            <w:iCs/>
          </w:rPr>
          <w:t>www.CardiacRhythmNews.com</w:t>
        </w:r>
      </w:hyperlink>
      <w:r w:rsidRPr="00CE7D3E">
        <w:rPr>
          <w:i/>
          <w:iCs/>
        </w:rPr>
        <w:t>&gt;</w:t>
      </w:r>
    </w:p>
    <w:p w14:paraId="5D7D4ED8" w14:textId="77777777" w:rsidR="00CE7D3E" w:rsidRPr="00303AAD" w:rsidRDefault="00CE7D3E" w:rsidP="00C821D8">
      <w:pPr>
        <w:pStyle w:val="Heading6"/>
      </w:pPr>
      <w:r w:rsidRPr="00303AAD">
        <w:t>AMPLATZER Cardiac Plug™</w:t>
      </w:r>
    </w:p>
    <w:p w14:paraId="11824871" w14:textId="47687824" w:rsidR="00CE7D3E" w:rsidRPr="00CE7D3E" w:rsidRDefault="00CE7D3E" w:rsidP="00AE0B87">
      <w:pPr>
        <w:keepNext/>
        <w:rPr>
          <w:iCs/>
        </w:rPr>
      </w:pPr>
      <w:r w:rsidRPr="00CE7D3E">
        <w:rPr>
          <w:iCs/>
        </w:rPr>
        <w:t>The AMPLATZER Cardiac Plug™ (Abbott Australia Pty Ltd) is a transcatheter self-expanding nitinol device for use in cardiac structures. The AMPLATZER™ Cardiac Plug™ consists of a small proximal disc, a central polyester patch, and a larger disc with hooks to anchor the device in the LAA. (</w:t>
      </w:r>
      <w:r w:rsidRPr="00CE7D3E">
        <w:rPr>
          <w:iCs/>
        </w:rPr>
        <w:fldChar w:fldCharType="begin"/>
      </w:r>
      <w:r w:rsidRPr="00CE7D3E">
        <w:rPr>
          <w:iCs/>
        </w:rPr>
        <w:instrText xml:space="preserve"> REF _Ref22285632 \h </w:instrText>
      </w:r>
      <w:r w:rsidRPr="00CE7D3E">
        <w:rPr>
          <w:iCs/>
        </w:rPr>
      </w:r>
      <w:r w:rsidRPr="00CE7D3E">
        <w:rPr>
          <w:iCs/>
        </w:rPr>
        <w:fldChar w:fldCharType="separate"/>
      </w:r>
      <w:r w:rsidRPr="00CE7D3E">
        <w:rPr>
          <w:iCs/>
        </w:rPr>
        <w:t xml:space="preserve">Figure </w:t>
      </w:r>
      <w:r w:rsidRPr="00CE7D3E">
        <w:rPr>
          <w:iCs/>
          <w:lang w:val="en-GB"/>
        </w:rPr>
        <w:fldChar w:fldCharType="end"/>
      </w:r>
      <w:r w:rsidR="00A3629B">
        <w:rPr>
          <w:iCs/>
          <w:lang w:val="en-GB"/>
        </w:rPr>
        <w:t>2</w:t>
      </w:r>
      <w:r w:rsidRPr="00CE7D3E">
        <w:rPr>
          <w:iCs/>
        </w:rPr>
        <w:t>). The device is constrained within the Delivery System until deployment in the LAA.</w:t>
      </w:r>
    </w:p>
    <w:p w14:paraId="4E21DAC9" w14:textId="77777777" w:rsidR="00CE7D3E" w:rsidRPr="00CE7D3E" w:rsidRDefault="00CE7D3E" w:rsidP="00CE7D3E">
      <w:pPr>
        <w:rPr>
          <w:iCs/>
        </w:rPr>
      </w:pPr>
      <w:r w:rsidRPr="00CE7D3E">
        <w:rPr>
          <w:iCs/>
        </w:rPr>
        <w:t>The lobe has stabilising wires to improve device placement and retention. The device has threaded screw attachments at each end for connection to the delivery and loading cables. The device has radiopaque markers at each end and at the stabilising wires which permit visibility during fluoroscopy to facilitate accurate device placement.</w:t>
      </w:r>
    </w:p>
    <w:p w14:paraId="03D332A8" w14:textId="77777777" w:rsidR="00CE7D3E" w:rsidRPr="00CE7D3E" w:rsidRDefault="00CE7D3E" w:rsidP="00CE7D3E">
      <w:pPr>
        <w:rPr>
          <w:iCs/>
        </w:rPr>
      </w:pPr>
      <w:r w:rsidRPr="00CE7D3E">
        <w:rPr>
          <w:iCs/>
        </w:rPr>
        <w:t>It is designed to provide optimal occlusion with full cross-sectional orifice coverage of the LAA, regardless of the LAA anatomy and is delivered via AMPLATZER™ TORQVUE™ Delivery systems designed specifically for use with this device.</w:t>
      </w:r>
    </w:p>
    <w:p w14:paraId="5004A43D" w14:textId="2DADCA39" w:rsidR="00CE7D3E" w:rsidRPr="00CE7D3E" w:rsidRDefault="00CE7D3E" w:rsidP="00CE7D3E">
      <w:pPr>
        <w:rPr>
          <w:iCs/>
        </w:rPr>
      </w:pPr>
      <w:r w:rsidRPr="00CE7D3E">
        <w:rPr>
          <w:iCs/>
        </w:rPr>
        <w:t xml:space="preserve">The AMPLATZER Cardiac Plug™ device is available in eight different sizes (16mm to 30mm) to accommodate the size of the LAA. The AMPLATZER™ Cardiac Plug is intended for use in cardiac </w:t>
      </w:r>
      <w:r w:rsidRPr="00CE7D3E">
        <w:rPr>
          <w:iCs/>
        </w:rPr>
        <w:lastRenderedPageBreak/>
        <w:t>structures that do not involve the septal wall, but which require closure or occlusion. The AMPLATZER</w:t>
      </w:r>
      <w:r w:rsidRPr="00CE7D3E">
        <w:rPr>
          <w:iCs/>
          <w:vertAlign w:val="superscript"/>
        </w:rPr>
        <w:t>TM</w:t>
      </w:r>
      <w:r w:rsidRPr="00CE7D3E">
        <w:rPr>
          <w:iCs/>
        </w:rPr>
        <w:t xml:space="preserve"> Cardiac Plug is intended to prevent thrombus embolization from the LAA in patients with NVAF. </w:t>
      </w:r>
    </w:p>
    <w:p w14:paraId="5D1D86FC" w14:textId="77777777" w:rsidR="00CE7D3E" w:rsidRPr="00CE7D3E" w:rsidRDefault="00CE7D3E" w:rsidP="00CE7D3E">
      <w:pPr>
        <w:rPr>
          <w:i/>
          <w:iCs/>
        </w:rPr>
      </w:pPr>
      <w:r w:rsidRPr="00CE7D3E">
        <w:rPr>
          <w:i/>
          <w:iCs/>
          <w:noProof/>
          <w:lang w:eastAsia="en-AU"/>
        </w:rPr>
        <w:drawing>
          <wp:inline distT="0" distB="0" distL="0" distR="0" wp14:anchorId="32FF07CB" wp14:editId="1BD8D4C2">
            <wp:extent cx="2083435" cy="2083435"/>
            <wp:effectExtent l="0" t="0" r="0" b="0"/>
            <wp:docPr id="3" name="Picture 3" descr="Photo of devi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inline>
        </w:drawing>
      </w:r>
      <w:bookmarkStart w:id="12" w:name="_Ref385583203"/>
    </w:p>
    <w:p w14:paraId="50D04EAF" w14:textId="17BAA5E3" w:rsidR="00CE7D3E" w:rsidRPr="00AE0B87" w:rsidRDefault="00AE0B87" w:rsidP="00AE0B87">
      <w:pPr>
        <w:pStyle w:val="Caption"/>
        <w:rPr>
          <w:iCs/>
        </w:rPr>
      </w:pPr>
      <w:bookmarkStart w:id="13" w:name="_Ref22285632"/>
      <w:bookmarkStart w:id="14" w:name="_Toc442872211"/>
      <w:bookmarkEnd w:id="12"/>
      <w:r w:rsidRPr="00AE0B87">
        <w:t xml:space="preserve">Figure </w:t>
      </w:r>
      <w:r w:rsidRPr="00AE0B87">
        <w:fldChar w:fldCharType="begin"/>
      </w:r>
      <w:r w:rsidRPr="00AE0B87">
        <w:instrText xml:space="preserve"> SEQ Figure \* ARABIC </w:instrText>
      </w:r>
      <w:r w:rsidRPr="00AE0B87">
        <w:fldChar w:fldCharType="separate"/>
      </w:r>
      <w:r>
        <w:rPr>
          <w:noProof/>
        </w:rPr>
        <w:t>2</w:t>
      </w:r>
      <w:r w:rsidRPr="00AE0B87">
        <w:fldChar w:fldCharType="end"/>
      </w:r>
      <w:bookmarkEnd w:id="13"/>
      <w:r w:rsidRPr="00AE0B87">
        <w:tab/>
      </w:r>
      <w:r w:rsidR="00CE7D3E" w:rsidRPr="00AE0B87">
        <w:rPr>
          <w:iCs/>
        </w:rPr>
        <w:t>AMPLATZER Cardiac Plug™ LAA occluder</w:t>
      </w:r>
      <w:bookmarkEnd w:id="14"/>
    </w:p>
    <w:p w14:paraId="5CDFB6C1" w14:textId="626760F2" w:rsidR="000C680A" w:rsidRPr="00CE7D3E" w:rsidRDefault="00CE7D3E" w:rsidP="00CE7D3E">
      <w:pPr>
        <w:rPr>
          <w:i/>
          <w:iCs/>
          <w:lang w:val="en-GB"/>
        </w:rPr>
      </w:pPr>
      <w:r w:rsidRPr="007301DC">
        <w:rPr>
          <w:iCs/>
        </w:rPr>
        <w:t>Source: Cardiac Rhythm News &lt;</w:t>
      </w:r>
      <w:hyperlink r:id="rId12" w:tooltip="This link directs to cardiac rhythm news website " w:history="1">
        <w:r w:rsidRPr="00D10F83">
          <w:rPr>
            <w:rStyle w:val="Hyperlink"/>
            <w:iCs/>
          </w:rPr>
          <w:t>www.CardiacRhythmNews.com</w:t>
        </w:r>
      </w:hyperlink>
      <w:r w:rsidRPr="00CE7D3E">
        <w:rPr>
          <w:i/>
          <w:iCs/>
        </w:rPr>
        <w:t>&gt;</w:t>
      </w:r>
    </w:p>
    <w:p w14:paraId="1F55A019" w14:textId="77777777" w:rsidR="00CE7D3E" w:rsidRPr="00303AAD" w:rsidRDefault="00CE7D3E" w:rsidP="00C821D8">
      <w:pPr>
        <w:pStyle w:val="Heading6"/>
      </w:pPr>
      <w:r w:rsidRPr="00303AAD">
        <w:t>AMPLATZER Amulet™</w:t>
      </w:r>
    </w:p>
    <w:p w14:paraId="32EBB2A1" w14:textId="77777777" w:rsidR="00CE7D3E" w:rsidRPr="00CE7D3E" w:rsidRDefault="00CE7D3E" w:rsidP="00CE7D3E">
      <w:pPr>
        <w:rPr>
          <w:iCs/>
        </w:rPr>
      </w:pPr>
      <w:r w:rsidRPr="00CE7D3E">
        <w:rPr>
          <w:iCs/>
        </w:rPr>
        <w:t>The AMPLATZER Amulet™ Left Atrial Appendage Occluder is a percutaneous transcatheter device intended to prevent thrombus embolization from the LAA in patients who have NVAF.</w:t>
      </w:r>
    </w:p>
    <w:p w14:paraId="17309246" w14:textId="77777777" w:rsidR="00CE7D3E" w:rsidRPr="00CE7D3E" w:rsidRDefault="00CE7D3E" w:rsidP="00CE7D3E">
      <w:pPr>
        <w:rPr>
          <w:iCs/>
        </w:rPr>
      </w:pPr>
      <w:r w:rsidRPr="00CE7D3E">
        <w:rPr>
          <w:iCs/>
        </w:rPr>
        <w:t>The device is constructed from a nitinol mesh and consists of a lobe and a disc connected by a central waist. Polyester patches are sewn into both the lobe and disc to facilitate occlusion. The lobe has stabilising wires to improve device placement and retention. The device has threaded screw attachments at each end for connection to the delivery and loading cables. The device has radiopaque markers at each end and at the stabilising wires that permit visibility during fluoroscopy to facilitate accurate device placement. The device is constrained within the Delivery System until deployment in the LAA.</w:t>
      </w:r>
    </w:p>
    <w:p w14:paraId="3D683B5B" w14:textId="77777777" w:rsidR="00CE7D3E" w:rsidRPr="00CE7D3E" w:rsidRDefault="00CE7D3E" w:rsidP="00CE7D3E">
      <w:pPr>
        <w:rPr>
          <w:iCs/>
        </w:rPr>
      </w:pPr>
      <w:r w:rsidRPr="00CE7D3E">
        <w:rPr>
          <w:iCs/>
        </w:rPr>
        <w:t xml:space="preserve">It is designed to provide optimal occlusion with full cross-sectional orifice coverage of the LAA, regardless of the LAA anatomy and is delivered via AMPLATZER™ TORQVUE™ Delivery systems designed specifically for use with this device. The AMPLATZER Amulet™ device is available in eight different sizes (16mm to 34mm) to accommodate the size of the LAA. </w:t>
      </w:r>
    </w:p>
    <w:p w14:paraId="62B9E72D" w14:textId="77777777" w:rsidR="00CE7D3E" w:rsidRPr="00303AAD" w:rsidRDefault="00CE7D3E" w:rsidP="00C821D8">
      <w:pPr>
        <w:pStyle w:val="Heading6"/>
      </w:pPr>
      <w:r w:rsidRPr="00303AAD">
        <w:t>Coherex WaveCrest™</w:t>
      </w:r>
    </w:p>
    <w:p w14:paraId="10E69061" w14:textId="77CDBB4D" w:rsidR="00CE7D3E" w:rsidRPr="00CE7D3E" w:rsidRDefault="00CE7D3E" w:rsidP="00CE7D3E">
      <w:pPr>
        <w:rPr>
          <w:iCs/>
        </w:rPr>
      </w:pPr>
      <w:r w:rsidRPr="00CE7D3E">
        <w:rPr>
          <w:iCs/>
        </w:rPr>
        <w:t>The Coherex WaveCrest Left Atrial Appendage Occlusion System (Johnston and Johnston) is intended to be used for occlusion of the left atrial appendage in patients who have all of the following: non-valvular paroxysmal, persistent, or permanent AF, LAA anatomy amenable to treatment by percutaneous techniques, and risk factors for potential thrombus formation in the LAA (</w:t>
      </w:r>
      <w:r w:rsidRPr="00CE7D3E">
        <w:rPr>
          <w:iCs/>
        </w:rPr>
        <w:fldChar w:fldCharType="begin"/>
      </w:r>
      <w:r w:rsidRPr="00CE7D3E">
        <w:rPr>
          <w:iCs/>
        </w:rPr>
        <w:instrText xml:space="preserve"> REF _Ref22285732 \h  \* MERGEFORMAT </w:instrText>
      </w:r>
      <w:r w:rsidRPr="00CE7D3E">
        <w:rPr>
          <w:iCs/>
        </w:rPr>
      </w:r>
      <w:r w:rsidRPr="00CE7D3E">
        <w:rPr>
          <w:iCs/>
        </w:rPr>
        <w:fldChar w:fldCharType="separate"/>
      </w:r>
      <w:r w:rsidRPr="00CE7D3E">
        <w:rPr>
          <w:iCs/>
        </w:rPr>
        <w:t xml:space="preserve">Figure </w:t>
      </w:r>
      <w:r w:rsidR="00A3629B">
        <w:rPr>
          <w:iCs/>
        </w:rPr>
        <w:t>3</w:t>
      </w:r>
      <w:r w:rsidRPr="00CE7D3E">
        <w:rPr>
          <w:iCs/>
        </w:rPr>
        <w:fldChar w:fldCharType="end"/>
      </w:r>
      <w:r w:rsidRPr="00CE7D3E">
        <w:rPr>
          <w:iCs/>
        </w:rPr>
        <w:t>).</w:t>
      </w:r>
    </w:p>
    <w:p w14:paraId="783D8358" w14:textId="77777777" w:rsidR="00CE7D3E" w:rsidRPr="00CE7D3E" w:rsidRDefault="00CE7D3E" w:rsidP="00CE7D3E">
      <w:pPr>
        <w:rPr>
          <w:iCs/>
        </w:rPr>
      </w:pPr>
      <w:r w:rsidRPr="00CE7D3E">
        <w:rPr>
          <w:iCs/>
        </w:rPr>
        <w:t xml:space="preserve">The system consists of the following components: 1) the occluder, 2) the anchors, and 3) the delivery system. The system is designed to be used exclusively with the Coherex WaveCrest Left Atrial Appendage Occlusion System Delivery Sheath, which is packaged and delivered separately. The occluder and anchors comprise the implantable components of the system and together for the </w:t>
      </w:r>
      <w:r w:rsidRPr="00CE7D3E">
        <w:rPr>
          <w:iCs/>
        </w:rPr>
        <w:lastRenderedPageBreak/>
        <w:t>Coherex WaveCrest Implant. The delivery system for the implant consists of a delivery catheter with a loading device and a proximal control handle. The control handle is designed to actuate the anchors through the catheter and to detach the implant from the system.</w:t>
      </w:r>
    </w:p>
    <w:p w14:paraId="6BC300D0" w14:textId="77777777" w:rsidR="00CE7D3E" w:rsidRPr="00CE7D3E" w:rsidRDefault="00CE7D3E" w:rsidP="00CE7D3E">
      <w:pPr>
        <w:rPr>
          <w:iCs/>
        </w:rPr>
      </w:pPr>
    </w:p>
    <w:p w14:paraId="33032E8A" w14:textId="77777777" w:rsidR="00CE7D3E" w:rsidRPr="00CE7D3E" w:rsidRDefault="00CE7D3E" w:rsidP="00CE7D3E">
      <w:pPr>
        <w:rPr>
          <w:iCs/>
        </w:rPr>
      </w:pPr>
      <w:r w:rsidRPr="00CE7D3E">
        <w:rPr>
          <w:iCs/>
          <w:noProof/>
          <w:lang w:eastAsia="en-AU"/>
        </w:rPr>
        <w:drawing>
          <wp:inline distT="0" distB="0" distL="0" distR="0" wp14:anchorId="260AEBB9" wp14:editId="597EDFD9">
            <wp:extent cx="3539154" cy="1990725"/>
            <wp:effectExtent l="0" t="0" r="4445" b="0"/>
            <wp:docPr id="13" name="Picture 13" descr="Pictur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herex_LAA_ClosureAnimFINAL_Stills_v06-0024005.png"/>
                    <pic:cNvPicPr/>
                  </pic:nvPicPr>
                  <pic:blipFill>
                    <a:blip r:embed="rId13">
                      <a:extLst>
                        <a:ext uri="{28A0092B-C50C-407E-A947-70E740481C1C}">
                          <a14:useLocalDpi xmlns:a14="http://schemas.microsoft.com/office/drawing/2010/main" val="0"/>
                        </a:ext>
                      </a:extLst>
                    </a:blip>
                    <a:stretch>
                      <a:fillRect/>
                    </a:stretch>
                  </pic:blipFill>
                  <pic:spPr>
                    <a:xfrm>
                      <a:off x="0" y="0"/>
                      <a:ext cx="3542299" cy="1992494"/>
                    </a:xfrm>
                    <a:prstGeom prst="rect">
                      <a:avLst/>
                    </a:prstGeom>
                  </pic:spPr>
                </pic:pic>
              </a:graphicData>
            </a:graphic>
          </wp:inline>
        </w:drawing>
      </w:r>
    </w:p>
    <w:p w14:paraId="1C1D2B18" w14:textId="6196379B" w:rsidR="00CE7D3E" w:rsidRPr="00CE7D3E" w:rsidRDefault="00AE0B87" w:rsidP="00AE0B87">
      <w:pPr>
        <w:pStyle w:val="Caption"/>
        <w:rPr>
          <w:i/>
          <w:iCs/>
        </w:rPr>
      </w:pPr>
      <w:bookmarkStart w:id="15" w:name="_Ref22285732"/>
      <w:bookmarkStart w:id="16" w:name="_Toc442872212"/>
      <w:r>
        <w:t xml:space="preserve">Figure </w:t>
      </w:r>
      <w:r>
        <w:fldChar w:fldCharType="begin"/>
      </w:r>
      <w:r>
        <w:instrText xml:space="preserve"> SEQ Figure \* ARABIC </w:instrText>
      </w:r>
      <w:r>
        <w:fldChar w:fldCharType="separate"/>
      </w:r>
      <w:r>
        <w:rPr>
          <w:noProof/>
        </w:rPr>
        <w:t>3</w:t>
      </w:r>
      <w:r>
        <w:fldChar w:fldCharType="end"/>
      </w:r>
      <w:bookmarkEnd w:id="15"/>
      <w:r>
        <w:tab/>
      </w:r>
      <w:r w:rsidR="00CE7D3E" w:rsidRPr="00AE0B87">
        <w:rPr>
          <w:iCs/>
        </w:rPr>
        <w:t>Coherex WaveCrest ™ LAA occluder</w:t>
      </w:r>
      <w:bookmarkEnd w:id="16"/>
    </w:p>
    <w:p w14:paraId="14D9C26A" w14:textId="3273F6DD" w:rsidR="00CE7D3E" w:rsidRPr="00E77853" w:rsidRDefault="00CE7D3E" w:rsidP="00570E2F">
      <w:pPr>
        <w:spacing w:after="0"/>
        <w:rPr>
          <w:iCs/>
          <w:sz w:val="16"/>
          <w:szCs w:val="16"/>
        </w:rPr>
      </w:pPr>
    </w:p>
    <w:p w14:paraId="25D23FA6" w14:textId="0CC9BCD7" w:rsidR="004D09EF" w:rsidRPr="00A6420B" w:rsidRDefault="004D09EF" w:rsidP="00C821D8">
      <w:pPr>
        <w:pStyle w:val="Heading4"/>
      </w:pPr>
      <w:r w:rsidRPr="00A6420B">
        <w:t>Current use and reimbursement of LAA occluder prostheses</w:t>
      </w:r>
    </w:p>
    <w:p w14:paraId="325E40F3" w14:textId="0B5FEFF5" w:rsidR="004D09EF" w:rsidRDefault="004D09EF" w:rsidP="003F4985">
      <w:pPr>
        <w:rPr>
          <w:iCs/>
        </w:rPr>
      </w:pPr>
      <w:r w:rsidRPr="004D09EF">
        <w:rPr>
          <w:iCs/>
        </w:rPr>
        <w:t>The proposed medical service, LAAC, using LAA occluder prostheses, is currently used and reimbursed for patients with NVAF on the MBS. Thus, the procedure does not represent a new approach towards managing patients with NVAF as such, however, the proposal for funding would allow a subgroup of patients who currently don’t have access to the procedure to undergo LAAC. That is, it is proposed that patients with relative contraindications to OAT who are currently not eligible for LAAC will be able to access the procedure.</w:t>
      </w:r>
    </w:p>
    <w:p w14:paraId="4F60E563" w14:textId="77777777" w:rsidR="002B3338" w:rsidRPr="00303AAD" w:rsidRDefault="002B3338" w:rsidP="00C821D8">
      <w:pPr>
        <w:pStyle w:val="Heading5"/>
      </w:pPr>
      <w:r w:rsidRPr="00303AAD">
        <w:t>Rationale</w:t>
      </w:r>
    </w:p>
    <w:p w14:paraId="7EA5F949" w14:textId="35231189" w:rsidR="003F4985" w:rsidRDefault="003F4985" w:rsidP="003F4985">
      <w:r w:rsidRPr="003F4985">
        <w:t>Devices such as AtriClip (Australian Register of Therapeutic Goods (ARTG) 175070) are also used for LAA exclusion. However, the procedures associated with these devices are not comparable with the transcatheter LAA occlusion devices, as AtriClip is implanted under direct visualisation in conjunction with other open cardiac surgical procedures. AtriClip and similar devices are excluded from this resubmission, as specified in the Final Protocol for Application 1347 and consistent with Application 1347.1.</w:t>
      </w:r>
    </w:p>
    <w:p w14:paraId="5B10721B" w14:textId="77777777" w:rsidR="00E53EBE" w:rsidRPr="00E53EBE" w:rsidRDefault="00E53EBE" w:rsidP="00E53EBE">
      <w:pPr>
        <w:rPr>
          <w:i/>
        </w:rPr>
      </w:pPr>
      <w:r w:rsidRPr="00E53EBE">
        <w:rPr>
          <w:i/>
        </w:rPr>
        <w:t>PASC noted that there are four medical devices listed on the Australian Register of Therapeutic Goods (ARTG) relevant to this medical procedure and that these cost approximately $11,400.</w:t>
      </w:r>
    </w:p>
    <w:p w14:paraId="1D649488" w14:textId="14D4CE86" w:rsidR="00E53EBE" w:rsidRDefault="00E53EBE" w:rsidP="00E53EBE">
      <w:pPr>
        <w:rPr>
          <w:i/>
        </w:rPr>
      </w:pPr>
      <w:r w:rsidRPr="00E53EBE">
        <w:rPr>
          <w:i/>
        </w:rPr>
        <w:t>PASC noted that the actual utilisation of the intervention under the current MBS item 38276 for patients with NVAF who have an ‘absolute’ contraindication to OAT is lower than was originally predicted but is increasing. PASC noted that the application estimated the utilisation of the intervention will increase approximately 10-fold with the proposed addition of the ‘relative’ contraindications to OAT. PASC advised that robust estimates of population size with sensitivity analyses will be required as part of the evaluation.</w:t>
      </w:r>
    </w:p>
    <w:p w14:paraId="43039CF5" w14:textId="77777777" w:rsidR="00337956" w:rsidRPr="00E53EBE" w:rsidRDefault="00337956" w:rsidP="00E53EBE">
      <w:pPr>
        <w:rPr>
          <w:i/>
        </w:rPr>
      </w:pPr>
    </w:p>
    <w:p w14:paraId="60688B74" w14:textId="64F6FA67" w:rsidR="00E77853" w:rsidRDefault="00896845" w:rsidP="00781BAE">
      <w:pPr>
        <w:pStyle w:val="Heading3"/>
      </w:pPr>
      <w:r w:rsidRPr="00033C05">
        <w:lastRenderedPageBreak/>
        <w:t>C</w:t>
      </w:r>
      <w:r w:rsidR="00E77853">
        <w:t>OMPARATOR</w:t>
      </w:r>
    </w:p>
    <w:p w14:paraId="1A1E8809" w14:textId="35BDF401" w:rsidR="008002A5" w:rsidRPr="008002A5" w:rsidRDefault="008002A5" w:rsidP="008002A5">
      <w:r w:rsidRPr="008002A5">
        <w:t xml:space="preserve">The proposed main comparator for LAAC in patients with NVAF with relative contraindication to OAT is </w:t>
      </w:r>
      <w:r w:rsidR="008711CC">
        <w:t>direct oral anticoagulants (D</w:t>
      </w:r>
      <w:r w:rsidRPr="008002A5">
        <w:t>OAC) as these agents are the preferred treatment option in the proposed patient population. Warfarin is an alternate treatment option in these patients, thus is included as an additional comparator.</w:t>
      </w:r>
    </w:p>
    <w:p w14:paraId="408B8CC1" w14:textId="3A095E09" w:rsidR="008002A5" w:rsidRDefault="008002A5" w:rsidP="008002A5">
      <w:r w:rsidRPr="008002A5">
        <w:t>Warfarin has a general listing on the pharmaceutical ben</w:t>
      </w:r>
      <w:r w:rsidR="008711CC">
        <w:t>efits scheme (PBS) whereas the D</w:t>
      </w:r>
      <w:r w:rsidRPr="008002A5">
        <w:t>OACs are restricted to stroke prevention in NVAF patients with CHA</w:t>
      </w:r>
      <w:r w:rsidRPr="008002A5">
        <w:rPr>
          <w:vertAlign w:val="subscript"/>
        </w:rPr>
        <w:t>2</w:t>
      </w:r>
      <w:r w:rsidRPr="008002A5">
        <w:t>DS</w:t>
      </w:r>
      <w:r w:rsidRPr="008002A5">
        <w:rPr>
          <w:vertAlign w:val="subscript"/>
        </w:rPr>
        <w:t>2</w:t>
      </w:r>
      <w:r w:rsidR="008711CC">
        <w:t>-VA ≥ 1. There are three D</w:t>
      </w:r>
      <w:r w:rsidRPr="008002A5">
        <w:t xml:space="preserve">OACs listed on the PBS for stroke prevention in NVAF: apixaban, dabigatran and rivaroxaban, restriction provided in </w:t>
      </w:r>
      <w:r w:rsidR="00AE0B87">
        <w:fldChar w:fldCharType="begin"/>
      </w:r>
      <w:r w:rsidR="00AE0B87">
        <w:instrText xml:space="preserve"> REF _Ref11159696 \h </w:instrText>
      </w:r>
      <w:r w:rsidR="00AE0B87">
        <w:fldChar w:fldCharType="separate"/>
      </w:r>
      <w:r w:rsidR="00AE0B87">
        <w:t xml:space="preserve">Table </w:t>
      </w:r>
      <w:r w:rsidR="00AE0B87">
        <w:rPr>
          <w:noProof/>
        </w:rPr>
        <w:t>2</w:t>
      </w:r>
      <w:r w:rsidR="00AE0B87">
        <w:fldChar w:fldCharType="end"/>
      </w:r>
      <w:r w:rsidRPr="008002A5">
        <w:t>. Rivaroxaban was listed on a cost-effectiveness basis versus warfarin, with apixaban and dabigatran cost-minimised to rivaroxaban.</w:t>
      </w:r>
      <w:r>
        <w:t xml:space="preserve"> </w:t>
      </w:r>
    </w:p>
    <w:p w14:paraId="40A72B30" w14:textId="77777777" w:rsidR="003D46D5" w:rsidRPr="003D46D5" w:rsidRDefault="003D46D5" w:rsidP="003D46D5">
      <w:pPr>
        <w:rPr>
          <w:i/>
        </w:rPr>
      </w:pPr>
      <w:r w:rsidRPr="003D46D5">
        <w:rPr>
          <w:i/>
        </w:rPr>
        <w:t>PASC confirmed the following comparators for Population 2:</w:t>
      </w:r>
    </w:p>
    <w:p w14:paraId="6D71B919" w14:textId="77777777" w:rsidR="003D46D5" w:rsidRPr="003D46D5" w:rsidRDefault="003D46D5" w:rsidP="00BB142F">
      <w:pPr>
        <w:pStyle w:val="ListParagraph"/>
        <w:numPr>
          <w:ilvl w:val="0"/>
          <w:numId w:val="25"/>
        </w:numPr>
        <w:rPr>
          <w:i/>
        </w:rPr>
      </w:pPr>
      <w:r w:rsidRPr="003D46D5">
        <w:rPr>
          <w:i/>
        </w:rPr>
        <w:t>Direct oral anticoagulants (DOACs) e.g. apixaban, dabigatran, rivaroxaban</w:t>
      </w:r>
    </w:p>
    <w:p w14:paraId="063A0E1A" w14:textId="0113BE21" w:rsidR="003D46D5" w:rsidRPr="003D46D5" w:rsidRDefault="003D46D5" w:rsidP="00BB142F">
      <w:pPr>
        <w:pStyle w:val="ListParagraph"/>
        <w:numPr>
          <w:ilvl w:val="0"/>
          <w:numId w:val="25"/>
        </w:numPr>
        <w:rPr>
          <w:i/>
        </w:rPr>
      </w:pPr>
      <w:r w:rsidRPr="003D46D5">
        <w:rPr>
          <w:i/>
        </w:rPr>
        <w:t>Additional comparator: Warfarin (general listing).</w:t>
      </w:r>
    </w:p>
    <w:p w14:paraId="135B9BC0" w14:textId="59022CA4" w:rsidR="008F5BA8" w:rsidRPr="008002A5" w:rsidRDefault="00AE0B87" w:rsidP="00AE0B87">
      <w:pPr>
        <w:pStyle w:val="Caption"/>
      </w:pPr>
      <w:bookmarkStart w:id="17" w:name="_Ref11159696"/>
      <w:r>
        <w:t xml:space="preserve">Table </w:t>
      </w:r>
      <w:r>
        <w:fldChar w:fldCharType="begin"/>
      </w:r>
      <w:r>
        <w:instrText xml:space="preserve"> SEQ Table \* ARABIC </w:instrText>
      </w:r>
      <w:r>
        <w:fldChar w:fldCharType="separate"/>
      </w:r>
      <w:r>
        <w:rPr>
          <w:noProof/>
        </w:rPr>
        <w:t>2</w:t>
      </w:r>
      <w:r>
        <w:fldChar w:fldCharType="end"/>
      </w:r>
      <w:bookmarkEnd w:id="17"/>
      <w:r>
        <w:tab/>
      </w:r>
      <w:r w:rsidR="008711CC">
        <w:t>PBS restriction for D</w:t>
      </w:r>
      <w:r w:rsidR="008F5BA8">
        <w:t>OACs for prevention of stroke</w:t>
      </w:r>
    </w:p>
    <w:tbl>
      <w:tblPr>
        <w:tblStyle w:val="TableGrid"/>
        <w:tblW w:w="9209" w:type="dxa"/>
        <w:tblLook w:val="04A0" w:firstRow="1" w:lastRow="0" w:firstColumn="1" w:lastColumn="0" w:noHBand="0" w:noVBand="1"/>
        <w:tblCaption w:val="Table 2"/>
        <w:tblDescription w:val="Table"/>
      </w:tblPr>
      <w:tblGrid>
        <w:gridCol w:w="9209"/>
      </w:tblGrid>
      <w:tr w:rsidR="008F5BA8" w:rsidRPr="00D5183B" w14:paraId="50350E56" w14:textId="77777777" w:rsidTr="00190CAE">
        <w:trPr>
          <w:tblHeader/>
        </w:trPr>
        <w:tc>
          <w:tcPr>
            <w:tcW w:w="9209" w:type="dxa"/>
            <w:tcBorders>
              <w:bottom w:val="single" w:sz="4" w:space="0" w:color="000000"/>
            </w:tcBorders>
          </w:tcPr>
          <w:p w14:paraId="47C44919" w14:textId="03A236C4" w:rsidR="008F5BA8" w:rsidRPr="00D5183B" w:rsidRDefault="008711CC" w:rsidP="009C480E">
            <w:pPr>
              <w:pStyle w:val="Tabletext"/>
              <w:keepNext/>
              <w:keepLines/>
              <w:widowControl w:val="0"/>
            </w:pPr>
            <w:r>
              <w:t>PBS restriction for D</w:t>
            </w:r>
            <w:r w:rsidR="008F5BA8">
              <w:t>OACs</w:t>
            </w:r>
          </w:p>
        </w:tc>
      </w:tr>
      <w:tr w:rsidR="008F5BA8" w14:paraId="721A0708" w14:textId="77777777" w:rsidTr="009C480E">
        <w:tc>
          <w:tcPr>
            <w:tcW w:w="9209" w:type="dxa"/>
            <w:tcBorders>
              <w:bottom w:val="nil"/>
            </w:tcBorders>
          </w:tcPr>
          <w:p w14:paraId="1E73D34F" w14:textId="77777777" w:rsidR="008F5BA8" w:rsidRPr="00A534DF" w:rsidRDefault="008F5BA8" w:rsidP="009C480E">
            <w:pPr>
              <w:pStyle w:val="Tabletext"/>
              <w:keepNext/>
              <w:keepLines/>
              <w:widowControl w:val="0"/>
              <w:rPr>
                <w:color w:val="222222"/>
                <w:szCs w:val="20"/>
                <w:lang w:eastAsia="en-AU"/>
              </w:rPr>
            </w:pPr>
            <w:r w:rsidRPr="00A534DF">
              <w:rPr>
                <w:color w:val="222222"/>
                <w:szCs w:val="20"/>
                <w:lang w:eastAsia="en-AU"/>
              </w:rPr>
              <w:t>Prevention of stroke or systemic embolism</w:t>
            </w:r>
          </w:p>
          <w:p w14:paraId="5C7E3DE9" w14:textId="77777777" w:rsidR="008F5BA8" w:rsidRPr="002E0DAC" w:rsidRDefault="008F5BA8" w:rsidP="009C480E">
            <w:pPr>
              <w:pStyle w:val="Tabletext"/>
              <w:keepNext/>
              <w:keepLines/>
              <w:widowControl w:val="0"/>
              <w:rPr>
                <w:color w:val="222222"/>
                <w:szCs w:val="20"/>
                <w:lang w:eastAsia="en-AU"/>
              </w:rPr>
            </w:pPr>
            <w:r w:rsidRPr="00A534DF">
              <w:rPr>
                <w:color w:val="222222"/>
                <w:szCs w:val="20"/>
                <w:lang w:eastAsia="en-AU"/>
              </w:rPr>
              <w:t>Patient must have non-valvular atrial fibrillation</w:t>
            </w:r>
          </w:p>
        </w:tc>
      </w:tr>
      <w:tr w:rsidR="008F5BA8" w:rsidRPr="00D5183B" w14:paraId="1B425DA2" w14:textId="77777777" w:rsidTr="009C480E">
        <w:tc>
          <w:tcPr>
            <w:tcW w:w="9209" w:type="dxa"/>
            <w:tcBorders>
              <w:top w:val="nil"/>
            </w:tcBorders>
          </w:tcPr>
          <w:p w14:paraId="6B8CB39E" w14:textId="77777777" w:rsidR="008F5BA8" w:rsidRDefault="008F5BA8" w:rsidP="009C480E">
            <w:pPr>
              <w:pStyle w:val="Tabletext"/>
              <w:keepNext/>
              <w:keepLines/>
              <w:widowControl w:val="0"/>
              <w:rPr>
                <w:color w:val="222222"/>
                <w:szCs w:val="20"/>
                <w:lang w:eastAsia="en-AU"/>
              </w:rPr>
            </w:pPr>
            <w:r w:rsidRPr="00A534DF">
              <w:rPr>
                <w:color w:val="222222"/>
                <w:szCs w:val="20"/>
                <w:lang w:eastAsia="en-AU"/>
              </w:rPr>
              <w:t>Patient must have one or more risk factors for developing stroke or systemic embolism</w:t>
            </w:r>
            <w:r>
              <w:rPr>
                <w:color w:val="222222"/>
                <w:szCs w:val="20"/>
                <w:lang w:eastAsia="en-AU"/>
              </w:rPr>
              <w:t>:</w:t>
            </w:r>
          </w:p>
          <w:p w14:paraId="1E0CBDB4" w14:textId="77777777" w:rsidR="008F5BA8" w:rsidRDefault="008F5BA8" w:rsidP="00BB142F">
            <w:pPr>
              <w:pStyle w:val="Tabletext"/>
              <w:keepNext/>
              <w:keepLines/>
              <w:widowControl w:val="0"/>
              <w:numPr>
                <w:ilvl w:val="0"/>
                <w:numId w:val="11"/>
              </w:numPr>
            </w:pPr>
            <w:r w:rsidRPr="007E6838">
              <w:t xml:space="preserve">Prior stroke (ischaemic or unknown type), transient ischaemic attack or non-central nervous system (CNS) systemic embolism; </w:t>
            </w:r>
          </w:p>
          <w:p w14:paraId="604B3858" w14:textId="77777777" w:rsidR="008F5BA8" w:rsidRDefault="008F5BA8" w:rsidP="00BB142F">
            <w:pPr>
              <w:pStyle w:val="Tabletext"/>
              <w:keepNext/>
              <w:keepLines/>
              <w:widowControl w:val="0"/>
              <w:numPr>
                <w:ilvl w:val="0"/>
                <w:numId w:val="11"/>
              </w:numPr>
            </w:pPr>
            <w:r w:rsidRPr="007E6838">
              <w:t>age 75 years or older;</w:t>
            </w:r>
          </w:p>
          <w:p w14:paraId="2F252944" w14:textId="77777777" w:rsidR="008F5BA8" w:rsidRDefault="008F5BA8" w:rsidP="00BB142F">
            <w:pPr>
              <w:pStyle w:val="Tabletext"/>
              <w:keepNext/>
              <w:keepLines/>
              <w:widowControl w:val="0"/>
              <w:numPr>
                <w:ilvl w:val="0"/>
                <w:numId w:val="11"/>
              </w:numPr>
            </w:pPr>
            <w:r w:rsidRPr="008F5BA8">
              <w:rPr>
                <w:lang w:val="de-CH"/>
              </w:rPr>
              <w:t>hypertension;</w:t>
            </w:r>
          </w:p>
          <w:p w14:paraId="788D2C29" w14:textId="77777777" w:rsidR="008F5BA8" w:rsidRDefault="008F5BA8" w:rsidP="00BB142F">
            <w:pPr>
              <w:pStyle w:val="Tabletext"/>
              <w:keepNext/>
              <w:keepLines/>
              <w:widowControl w:val="0"/>
              <w:numPr>
                <w:ilvl w:val="0"/>
                <w:numId w:val="11"/>
              </w:numPr>
            </w:pPr>
            <w:r w:rsidRPr="008F5BA8">
              <w:rPr>
                <w:lang w:val="de-CH"/>
              </w:rPr>
              <w:t>diabetes mellitus;</w:t>
            </w:r>
          </w:p>
          <w:p w14:paraId="0F4D159A" w14:textId="437B9EF0" w:rsidR="008F5BA8" w:rsidRPr="008F5BA8" w:rsidRDefault="008F5BA8" w:rsidP="00BB142F">
            <w:pPr>
              <w:pStyle w:val="Tabletext"/>
              <w:keepNext/>
              <w:keepLines/>
              <w:widowControl w:val="0"/>
              <w:numPr>
                <w:ilvl w:val="0"/>
                <w:numId w:val="11"/>
              </w:numPr>
            </w:pPr>
            <w:r w:rsidRPr="007E6838">
              <w:t>heart failure and/or left ventricular ejection fraction 35% or less.</w:t>
            </w:r>
          </w:p>
        </w:tc>
      </w:tr>
    </w:tbl>
    <w:p w14:paraId="63AE7711" w14:textId="4E7F7B4F" w:rsidR="008002A5" w:rsidRPr="00033C05" w:rsidRDefault="008002A5" w:rsidP="00033C05">
      <w:pPr>
        <w:spacing w:after="0"/>
        <w:rPr>
          <w:sz w:val="16"/>
          <w:szCs w:val="16"/>
        </w:rPr>
      </w:pPr>
    </w:p>
    <w:p w14:paraId="35E17018" w14:textId="0BF74D62" w:rsidR="00896845" w:rsidRPr="00033C05" w:rsidRDefault="00896845" w:rsidP="00C821D8">
      <w:pPr>
        <w:pStyle w:val="Heading3"/>
      </w:pPr>
      <w:r w:rsidRPr="00033C05">
        <w:t>O</w:t>
      </w:r>
      <w:r w:rsidR="00E77853">
        <w:t>UTCOMES</w:t>
      </w:r>
    </w:p>
    <w:p w14:paraId="56459F1A" w14:textId="09310C4F" w:rsidR="00C26F8F" w:rsidRDefault="00C26F8F">
      <w:r>
        <w:t>The applicant claims that</w:t>
      </w:r>
      <w:r w:rsidR="00033C05">
        <w:t>,</w:t>
      </w:r>
      <w:r>
        <w:t xml:space="preserve"> r</w:t>
      </w:r>
      <w:r w:rsidR="008711CC">
        <w:t>elative to the comparators, D</w:t>
      </w:r>
      <w:r w:rsidRPr="00C26F8F">
        <w:t>OACs and warfarin, LAAC is associated with superior safety (in terms of bleeding)</w:t>
      </w:r>
      <w:r w:rsidR="00033C05">
        <w:t>,</w:t>
      </w:r>
      <w:r w:rsidRPr="00C26F8F">
        <w:t xml:space="preserve"> and superior effectiveness in terms of cardiovascular mortality.</w:t>
      </w:r>
    </w:p>
    <w:p w14:paraId="2CB2949C" w14:textId="19D6CB30" w:rsidR="00BC120F" w:rsidRPr="004F25EF" w:rsidRDefault="00605DD7" w:rsidP="00E77853">
      <w:pPr>
        <w:spacing w:after="120"/>
        <w:rPr>
          <w:i/>
        </w:rPr>
      </w:pPr>
      <w:r w:rsidRPr="004F25EF">
        <w:rPr>
          <w:i/>
        </w:rPr>
        <w:t>PASC confirmed the</w:t>
      </w:r>
      <w:r>
        <w:rPr>
          <w:i/>
        </w:rPr>
        <w:t xml:space="preserve"> following</w:t>
      </w:r>
      <w:r w:rsidRPr="004F25EF">
        <w:rPr>
          <w:i/>
        </w:rPr>
        <w:t xml:space="preserve"> outcomes were relevant to the applicatio</w:t>
      </w:r>
      <w:r>
        <w:rPr>
          <w:i/>
        </w:rPr>
        <w:t>n and rec</w:t>
      </w:r>
      <w:r w:rsidR="00781BAE">
        <w:rPr>
          <w:i/>
        </w:rPr>
        <w:t xml:space="preserve">ommended the addition of </w:t>
      </w:r>
      <w:r w:rsidR="00337956">
        <w:rPr>
          <w:i/>
        </w:rPr>
        <w:t>further</w:t>
      </w:r>
      <w:r>
        <w:rPr>
          <w:i/>
        </w:rPr>
        <w:t xml:space="preserve"> outcomes, included in italics below</w:t>
      </w:r>
      <w:r w:rsidRPr="004F25EF">
        <w:rPr>
          <w:i/>
        </w:rPr>
        <w:t>.</w:t>
      </w:r>
    </w:p>
    <w:p w14:paraId="4524E808" w14:textId="77777777" w:rsidR="00BC120F" w:rsidRPr="00033C05" w:rsidRDefault="00BC120F" w:rsidP="00033C05">
      <w:pPr>
        <w:keepNext/>
        <w:spacing w:after="120"/>
        <w:rPr>
          <w:color w:val="00B0F0"/>
          <w:sz w:val="24"/>
          <w:szCs w:val="24"/>
          <w:u w:val="single"/>
        </w:rPr>
      </w:pPr>
      <w:r w:rsidRPr="00033C05">
        <w:rPr>
          <w:color w:val="00B0F0"/>
          <w:sz w:val="24"/>
          <w:szCs w:val="24"/>
          <w:u w:val="single"/>
        </w:rPr>
        <w:t>Primary effectiveness</w:t>
      </w:r>
    </w:p>
    <w:p w14:paraId="33E65E69" w14:textId="51C6B5F9" w:rsidR="00BC120F" w:rsidRDefault="00BC120F" w:rsidP="00BB142F">
      <w:pPr>
        <w:keepNext/>
        <w:numPr>
          <w:ilvl w:val="0"/>
          <w:numId w:val="5"/>
        </w:numPr>
        <w:spacing w:after="0"/>
      </w:pPr>
      <w:r w:rsidRPr="00BC120F">
        <w:t xml:space="preserve">Stroke </w:t>
      </w:r>
      <w:r w:rsidR="00796654">
        <w:t xml:space="preserve">incidence </w:t>
      </w:r>
      <w:r w:rsidRPr="00BC120F">
        <w:t>rate (ischaemic stroke and haemorrhagic stroke)</w:t>
      </w:r>
    </w:p>
    <w:p w14:paraId="64B5E9B0" w14:textId="4C2C09A6" w:rsidR="00303AAD" w:rsidRPr="00303AAD" w:rsidRDefault="006830A7" w:rsidP="00BB142F">
      <w:pPr>
        <w:keepNext/>
        <w:numPr>
          <w:ilvl w:val="0"/>
          <w:numId w:val="5"/>
        </w:numPr>
        <w:spacing w:after="0"/>
      </w:pPr>
      <w:r>
        <w:t>Visceral or Limb embolism</w:t>
      </w:r>
      <w:r w:rsidR="00303AAD" w:rsidRPr="00303AAD">
        <w:t xml:space="preserve"> </w:t>
      </w:r>
      <w:r w:rsidR="00303AAD">
        <w:t>(</w:t>
      </w:r>
      <w:r w:rsidR="00303AAD" w:rsidRPr="00303AAD">
        <w:t xml:space="preserve">noting not all emboli will end up in cerebral circulation </w:t>
      </w:r>
    </w:p>
    <w:p w14:paraId="27C0C461" w14:textId="2905F5DD" w:rsidR="00BC120F" w:rsidRPr="00BC120F" w:rsidRDefault="00BC120F" w:rsidP="00BB142F">
      <w:pPr>
        <w:keepNext/>
        <w:numPr>
          <w:ilvl w:val="0"/>
          <w:numId w:val="5"/>
        </w:numPr>
        <w:spacing w:after="0"/>
      </w:pPr>
      <w:r w:rsidRPr="00BC120F">
        <w:t xml:space="preserve">All-cause mortality </w:t>
      </w:r>
    </w:p>
    <w:p w14:paraId="293A75BC" w14:textId="77777777" w:rsidR="00BC120F" w:rsidRPr="00BC120F" w:rsidRDefault="00BC120F" w:rsidP="00BB142F">
      <w:pPr>
        <w:numPr>
          <w:ilvl w:val="0"/>
          <w:numId w:val="5"/>
        </w:numPr>
        <w:spacing w:after="0"/>
      </w:pPr>
      <w:r w:rsidRPr="00BC120F">
        <w:t>Cardiovascular mortality</w:t>
      </w:r>
    </w:p>
    <w:p w14:paraId="42C3857D" w14:textId="77777777" w:rsidR="00BC120F" w:rsidRPr="00BC120F" w:rsidRDefault="00BC120F" w:rsidP="00BB142F">
      <w:pPr>
        <w:numPr>
          <w:ilvl w:val="0"/>
          <w:numId w:val="5"/>
        </w:numPr>
        <w:spacing w:after="120"/>
      </w:pPr>
      <w:r w:rsidRPr="00BC120F">
        <w:t>Health-related quality of life (HRQoL)</w:t>
      </w:r>
    </w:p>
    <w:p w14:paraId="61E4DE3B" w14:textId="77777777" w:rsidR="00BC120F" w:rsidRPr="00033C05" w:rsidRDefault="00BC120F" w:rsidP="00033C05">
      <w:pPr>
        <w:spacing w:after="120"/>
        <w:rPr>
          <w:color w:val="00B0F0"/>
          <w:sz w:val="24"/>
          <w:szCs w:val="24"/>
          <w:u w:val="single"/>
        </w:rPr>
      </w:pPr>
      <w:r w:rsidRPr="00033C05">
        <w:rPr>
          <w:color w:val="00B0F0"/>
          <w:sz w:val="24"/>
          <w:szCs w:val="24"/>
          <w:u w:val="single"/>
        </w:rPr>
        <w:t>Secondary effectiveness</w:t>
      </w:r>
    </w:p>
    <w:p w14:paraId="242E64C3" w14:textId="1B10A088" w:rsidR="00BC120F" w:rsidRPr="004F25EF" w:rsidRDefault="00BC120F" w:rsidP="00BB142F">
      <w:pPr>
        <w:numPr>
          <w:ilvl w:val="0"/>
          <w:numId w:val="6"/>
        </w:numPr>
        <w:rPr>
          <w:b/>
        </w:rPr>
      </w:pPr>
      <w:r w:rsidRPr="00BC120F">
        <w:t>Procedure success i.e. successful transcatheter occlusion of LAA</w:t>
      </w:r>
    </w:p>
    <w:p w14:paraId="67EB333B" w14:textId="339E1852" w:rsidR="00F01DBD" w:rsidRPr="004F25EF" w:rsidRDefault="00F01DBD" w:rsidP="00BB142F">
      <w:pPr>
        <w:numPr>
          <w:ilvl w:val="0"/>
          <w:numId w:val="6"/>
        </w:numPr>
        <w:rPr>
          <w:b/>
          <w:i/>
        </w:rPr>
      </w:pPr>
      <w:r w:rsidRPr="004F25EF">
        <w:rPr>
          <w:i/>
        </w:rPr>
        <w:t>Discontinuation of therapy</w:t>
      </w:r>
    </w:p>
    <w:p w14:paraId="22DC52D3" w14:textId="77777777" w:rsidR="00BC120F" w:rsidRPr="00033C05" w:rsidRDefault="00BC120F" w:rsidP="00033C05">
      <w:pPr>
        <w:spacing w:after="120"/>
        <w:rPr>
          <w:color w:val="00B0F0"/>
          <w:sz w:val="24"/>
          <w:szCs w:val="24"/>
          <w:u w:val="single"/>
        </w:rPr>
      </w:pPr>
      <w:r w:rsidRPr="00033C05">
        <w:rPr>
          <w:color w:val="00B0F0"/>
          <w:sz w:val="24"/>
          <w:szCs w:val="24"/>
          <w:u w:val="single"/>
        </w:rPr>
        <w:lastRenderedPageBreak/>
        <w:t xml:space="preserve">Safety </w:t>
      </w:r>
    </w:p>
    <w:p w14:paraId="79623527" w14:textId="77777777" w:rsidR="00BC120F" w:rsidRPr="00BC120F" w:rsidRDefault="00BC120F" w:rsidP="00BB142F">
      <w:pPr>
        <w:numPr>
          <w:ilvl w:val="0"/>
          <w:numId w:val="6"/>
        </w:numPr>
        <w:spacing w:after="0"/>
      </w:pPr>
      <w:r w:rsidRPr="00BC120F">
        <w:t>Major bleeding events (procedural and post-procedural)</w:t>
      </w:r>
    </w:p>
    <w:p w14:paraId="479E0477" w14:textId="77777777" w:rsidR="00BC120F" w:rsidRPr="00BC120F" w:rsidRDefault="00BC120F" w:rsidP="00BB142F">
      <w:pPr>
        <w:numPr>
          <w:ilvl w:val="0"/>
          <w:numId w:val="6"/>
        </w:numPr>
        <w:spacing w:after="0"/>
      </w:pPr>
      <w:r w:rsidRPr="00BC120F">
        <w:t>Procedural adverse events with LAAC</w:t>
      </w:r>
    </w:p>
    <w:p w14:paraId="141E2745" w14:textId="77777777" w:rsidR="00BC120F" w:rsidRPr="00BC120F" w:rsidRDefault="00BC120F" w:rsidP="00BB142F">
      <w:pPr>
        <w:numPr>
          <w:ilvl w:val="0"/>
          <w:numId w:val="6"/>
        </w:numPr>
      </w:pPr>
      <w:r w:rsidRPr="00BC120F">
        <w:t xml:space="preserve">Post procedural adverse events with LAAC vs comparators </w:t>
      </w:r>
    </w:p>
    <w:p w14:paraId="63D533F7" w14:textId="77777777" w:rsidR="00BC120F" w:rsidRPr="00033C05" w:rsidRDefault="00BC120F" w:rsidP="00033C05">
      <w:pPr>
        <w:spacing w:after="120"/>
        <w:rPr>
          <w:color w:val="00B0F0"/>
          <w:sz w:val="24"/>
          <w:szCs w:val="24"/>
          <w:u w:val="single"/>
        </w:rPr>
      </w:pPr>
      <w:r w:rsidRPr="00033C05">
        <w:rPr>
          <w:color w:val="00B0F0"/>
          <w:sz w:val="24"/>
          <w:szCs w:val="24"/>
          <w:u w:val="single"/>
        </w:rPr>
        <w:t>Healthcare resources</w:t>
      </w:r>
    </w:p>
    <w:p w14:paraId="475A8182" w14:textId="77777777" w:rsidR="00F01DBD" w:rsidRPr="004F25EF" w:rsidRDefault="00BC120F" w:rsidP="004F25EF">
      <w:pPr>
        <w:numPr>
          <w:ilvl w:val="0"/>
          <w:numId w:val="3"/>
        </w:numPr>
        <w:rPr>
          <w:i/>
        </w:rPr>
      </w:pPr>
      <w:r w:rsidRPr="004F25EF">
        <w:t>Cost to deliver intervention</w:t>
      </w:r>
      <w:r w:rsidR="00F01DBD" w:rsidRPr="004F25EF">
        <w:rPr>
          <w:i/>
        </w:rPr>
        <w:t xml:space="preserve"> (including follow up/monitoring for both intervention and comparator arms)</w:t>
      </w:r>
    </w:p>
    <w:p w14:paraId="053789E3" w14:textId="4B25A1E5" w:rsidR="00BC120F" w:rsidRPr="004F25EF" w:rsidRDefault="00F01DBD" w:rsidP="00BB142F">
      <w:pPr>
        <w:numPr>
          <w:ilvl w:val="0"/>
          <w:numId w:val="3"/>
        </w:numPr>
        <w:rPr>
          <w:i/>
        </w:rPr>
      </w:pPr>
      <w:r w:rsidRPr="004F25EF">
        <w:rPr>
          <w:i/>
        </w:rPr>
        <w:t>PBS costs</w:t>
      </w:r>
    </w:p>
    <w:p w14:paraId="3EB1864F" w14:textId="77777777" w:rsidR="00BC120F" w:rsidRPr="00033C05" w:rsidRDefault="00BC120F" w:rsidP="00033C05">
      <w:pPr>
        <w:spacing w:after="120"/>
        <w:rPr>
          <w:color w:val="00B0F0"/>
          <w:sz w:val="24"/>
          <w:szCs w:val="24"/>
          <w:u w:val="single"/>
        </w:rPr>
      </w:pPr>
      <w:r w:rsidRPr="00033C05">
        <w:rPr>
          <w:color w:val="00B0F0"/>
          <w:sz w:val="24"/>
          <w:szCs w:val="24"/>
          <w:u w:val="single"/>
        </w:rPr>
        <w:t>Total Australian Government Healthcare costs</w:t>
      </w:r>
    </w:p>
    <w:p w14:paraId="4706CA44" w14:textId="77777777" w:rsidR="00BC120F" w:rsidRDefault="00BC120F" w:rsidP="00BB142F">
      <w:pPr>
        <w:numPr>
          <w:ilvl w:val="0"/>
          <w:numId w:val="4"/>
        </w:numPr>
        <w:spacing w:after="0"/>
      </w:pPr>
      <w:r w:rsidRPr="00BC120F">
        <w:t>Total cost to the Medicare Benefits Schedule (MBS)</w:t>
      </w:r>
    </w:p>
    <w:p w14:paraId="73C4F365" w14:textId="41E300F1" w:rsidR="00BC120F" w:rsidRDefault="00BC120F" w:rsidP="00BB142F">
      <w:pPr>
        <w:numPr>
          <w:ilvl w:val="0"/>
          <w:numId w:val="4"/>
        </w:numPr>
      </w:pPr>
      <w:r w:rsidRPr="00BC120F">
        <w:t>Total cost to other healthcare services</w:t>
      </w:r>
      <w:r w:rsidR="00F01DBD">
        <w:t xml:space="preserve"> </w:t>
      </w:r>
      <w:r w:rsidR="00F01DBD" w:rsidRPr="004F25EF">
        <w:rPr>
          <w:i/>
        </w:rPr>
        <w:t>(including cost of prostheses)</w:t>
      </w:r>
    </w:p>
    <w:p w14:paraId="0D01EA49" w14:textId="2630D099" w:rsidR="00896845" w:rsidRDefault="00896845" w:rsidP="004847E1">
      <w:pPr>
        <w:pStyle w:val="Heading2"/>
      </w:pPr>
      <w:r w:rsidRPr="00033C05">
        <w:t xml:space="preserve">Current </w:t>
      </w:r>
      <w:r w:rsidR="00A6420B">
        <w:t xml:space="preserve">and proposed </w:t>
      </w:r>
      <w:r w:rsidRPr="00033C05">
        <w:t>clinical management algorithm</w:t>
      </w:r>
      <w:r w:rsidR="00A6420B">
        <w:t>s</w:t>
      </w:r>
      <w:r w:rsidR="002B3338" w:rsidRPr="00033C05">
        <w:t xml:space="preserve"> for </w:t>
      </w:r>
      <w:r w:rsidR="002923C8">
        <w:t xml:space="preserve">the </w:t>
      </w:r>
      <w:r w:rsidR="002B3338" w:rsidRPr="00033C05">
        <w:t>identified population</w:t>
      </w:r>
    </w:p>
    <w:p w14:paraId="025D3FF1" w14:textId="77777777" w:rsidR="001353CD" w:rsidRPr="001353CD" w:rsidRDefault="00605DD7" w:rsidP="001353CD">
      <w:pPr>
        <w:rPr>
          <w:i/>
        </w:rPr>
      </w:pPr>
      <w:r w:rsidRPr="001353CD">
        <w:rPr>
          <w:i/>
        </w:rPr>
        <w:t>PASC advised that updated current and proposed clinical algorithms need to be provided that reflect Population 2 and the updated relative contraindications.</w:t>
      </w:r>
      <w:r w:rsidR="004F25EF" w:rsidRPr="001353CD">
        <w:rPr>
          <w:i/>
        </w:rPr>
        <w:t xml:space="preserve"> </w:t>
      </w:r>
    </w:p>
    <w:p w14:paraId="6320139D" w14:textId="69447584" w:rsidR="00A6420B" w:rsidRPr="00A6420B" w:rsidRDefault="00A6420B" w:rsidP="004847E1">
      <w:pPr>
        <w:pStyle w:val="Heading2"/>
      </w:pPr>
      <w:r w:rsidRPr="002923C8">
        <w:t>Current</w:t>
      </w:r>
      <w:r w:rsidRPr="00A6420B">
        <w:t xml:space="preserve"> clinical management algorithm</w:t>
      </w:r>
    </w:p>
    <w:p w14:paraId="45C25AA4" w14:textId="77D78138" w:rsidR="00BC120F" w:rsidRPr="00BC120F" w:rsidRDefault="00BC120F" w:rsidP="00BC120F">
      <w:r w:rsidRPr="00BC120F">
        <w:t xml:space="preserve">The current clinical management pathways that patients follow after they receive the comparator treatments is provided in </w:t>
      </w:r>
      <w:r w:rsidRPr="00BC120F">
        <w:fldChar w:fldCharType="begin"/>
      </w:r>
      <w:r w:rsidRPr="00BC120F">
        <w:instrText xml:space="preserve"> REF _Ref23163148 \h </w:instrText>
      </w:r>
      <w:r w:rsidRPr="00BC120F">
        <w:fldChar w:fldCharType="separate"/>
      </w:r>
      <w:r w:rsidRPr="00BC120F">
        <w:t xml:space="preserve">Figure </w:t>
      </w:r>
      <w:r>
        <w:t>4</w:t>
      </w:r>
      <w:r w:rsidRPr="00BC120F">
        <w:fldChar w:fldCharType="end"/>
      </w:r>
      <w:r w:rsidRPr="00BC120F">
        <w:t xml:space="preserve">. The main health care resources consumed from the point of receiving the comparator is monitoring of bleeding risk and treatment adherences. </w:t>
      </w:r>
    </w:p>
    <w:p w14:paraId="4C1C1B85" w14:textId="47E9C265" w:rsidR="00BC120F" w:rsidRPr="00BC120F" w:rsidRDefault="00BC120F" w:rsidP="00BC120F">
      <w:r w:rsidRPr="00BC120F">
        <w:t>According to the</w:t>
      </w:r>
      <w:r w:rsidR="005E656E">
        <w:t xml:space="preserve"> Australian </w:t>
      </w:r>
      <w:r w:rsidRPr="00BC120F">
        <w:t xml:space="preserve">NHF </w:t>
      </w:r>
      <w:r w:rsidR="005E656E">
        <w:t>and CSANZ G</w:t>
      </w:r>
      <w:r w:rsidRPr="00BC120F">
        <w:t>uidelines for AF</w:t>
      </w:r>
      <w:r w:rsidR="005E656E">
        <w:t xml:space="preserve"> (2018)</w:t>
      </w:r>
      <w:r w:rsidRPr="00BC120F">
        <w:t xml:space="preserve">, patients prescribed pharmacotherapy including OAT should have their treatment adherence and persistence regularly monitored, although the </w:t>
      </w:r>
      <w:r w:rsidR="005E656E">
        <w:t>G</w:t>
      </w:r>
      <w:r w:rsidRPr="00BC120F">
        <w:t xml:space="preserve">uidelines do not specify the time interval at which patients should be </w:t>
      </w:r>
      <w:r w:rsidR="008711CC">
        <w:t>monitored. Non-compliance with D</w:t>
      </w:r>
      <w:r w:rsidRPr="00BC120F">
        <w:t>OACs is a particular concern given the rapid offset of action, thus potentially increasing the risk of stroke in these patients (</w:t>
      </w:r>
      <w:r w:rsidR="005E656E">
        <w:t xml:space="preserve">Australian </w:t>
      </w:r>
      <w:r w:rsidRPr="00BC120F">
        <w:t xml:space="preserve">NHF and CSANZ </w:t>
      </w:r>
      <w:r w:rsidR="005E656E">
        <w:t xml:space="preserve">Guidelines </w:t>
      </w:r>
      <w:r w:rsidRPr="00BC120F">
        <w:t xml:space="preserve">2018). </w:t>
      </w:r>
    </w:p>
    <w:p w14:paraId="6D58A444" w14:textId="5B8FFDDF" w:rsidR="00BC120F" w:rsidRPr="00BC120F" w:rsidRDefault="00BA3D89" w:rsidP="00BC120F">
      <w:r>
        <w:t>While</w:t>
      </w:r>
      <w:r w:rsidR="008711CC">
        <w:t xml:space="preserve"> patients treated with D</w:t>
      </w:r>
      <w:r w:rsidR="00BC120F" w:rsidRPr="00BC120F">
        <w:t xml:space="preserve">OACs do not require specific monitoring in terms of bleeding risk, patients treated with warfarin require regular monitoring of their international normalised ratio (INR) to ensure adequate anticoagulation whilst balancing the risk of bleeding. </w:t>
      </w:r>
    </w:p>
    <w:p w14:paraId="7CA2B491" w14:textId="02059764" w:rsidR="00BC120F" w:rsidRPr="00BC120F" w:rsidRDefault="00BC120F" w:rsidP="00BC120F">
      <w:r w:rsidRPr="00BC120F">
        <w:t>Patients with relative contra</w:t>
      </w:r>
      <w:r w:rsidR="008711CC">
        <w:t>indication to OAT treated with D</w:t>
      </w:r>
      <w:r w:rsidRPr="00BC120F">
        <w:t xml:space="preserve">OACs or warfarin may experience a major bleeding complication, a blood dyscrasia or develop a vascular abnormality predisposing them to potentially life-threatening haemorrhage, thus becoming eligible for LAAC based on the current MBS reimbursement). </w:t>
      </w:r>
    </w:p>
    <w:p w14:paraId="5FCA5C10" w14:textId="77777777" w:rsidR="009B70A9" w:rsidRDefault="009B70A9" w:rsidP="00BF1B2B"/>
    <w:p w14:paraId="0116BC9C" w14:textId="1D50E6C0" w:rsidR="00BC120F" w:rsidRDefault="00BC120F" w:rsidP="00BF1B2B"/>
    <w:p w14:paraId="0FE60CC3" w14:textId="4DC7053D" w:rsidR="009B70A9" w:rsidRDefault="009B70A9" w:rsidP="00AE0B87">
      <w:pPr>
        <w:pStyle w:val="Caption"/>
      </w:pPr>
      <w:bookmarkStart w:id="18" w:name="_Ref23163148"/>
      <w:r>
        <w:rPr>
          <w:noProof/>
          <w:lang w:val="en-AU" w:eastAsia="en-AU"/>
        </w:rPr>
        <w:lastRenderedPageBreak/>
        <mc:AlternateContent>
          <mc:Choice Requires="wpc">
            <w:drawing>
              <wp:inline distT="0" distB="0" distL="0" distR="0" wp14:anchorId="6720DCC9" wp14:editId="52EE1169">
                <wp:extent cx="5486400" cy="6570921"/>
                <wp:effectExtent l="0" t="0" r="0" b="0"/>
                <wp:docPr id="220" name="Canvas 220" descr="Flow chart" title="Figure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 name="Text Box 175"/>
                        <wps:cNvSpPr txBox="1"/>
                        <wps:spPr>
                          <a:xfrm>
                            <a:off x="2449773" y="36018"/>
                            <a:ext cx="600501" cy="245660"/>
                          </a:xfrm>
                          <a:prstGeom prst="rect">
                            <a:avLst/>
                          </a:prstGeom>
                          <a:solidFill>
                            <a:schemeClr val="lt1"/>
                          </a:solidFill>
                          <a:ln w="6350">
                            <a:solidFill>
                              <a:prstClr val="black"/>
                            </a:solidFill>
                          </a:ln>
                        </wps:spPr>
                        <wps:txbx>
                          <w:txbxContent>
                            <w:p w14:paraId="293806B8" w14:textId="77777777" w:rsidR="00C962A9" w:rsidRDefault="00C962A9" w:rsidP="009B70A9">
                              <w:pPr>
                                <w:jc w:val="center"/>
                              </w:pPr>
                              <w:r>
                                <w:t>NVAF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2"/>
                        <wps:cNvSpPr txBox="1"/>
                        <wps:spPr>
                          <a:xfrm>
                            <a:off x="1973523" y="502620"/>
                            <a:ext cx="1560252" cy="245110"/>
                          </a:xfrm>
                          <a:prstGeom prst="rect">
                            <a:avLst/>
                          </a:prstGeom>
                          <a:solidFill>
                            <a:schemeClr val="lt1"/>
                          </a:solidFill>
                          <a:ln w="6350">
                            <a:solidFill>
                              <a:prstClr val="black"/>
                            </a:solidFill>
                          </a:ln>
                        </wps:spPr>
                        <wps:txbx>
                          <w:txbxContent>
                            <w:p w14:paraId="65669CC7"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Stroke risk estimation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2"/>
                        <wps:cNvSpPr txBox="1"/>
                        <wps:spPr>
                          <a:xfrm>
                            <a:off x="170475" y="1024599"/>
                            <a:ext cx="1560195" cy="305775"/>
                          </a:xfrm>
                          <a:prstGeom prst="rect">
                            <a:avLst/>
                          </a:prstGeom>
                          <a:solidFill>
                            <a:schemeClr val="lt1"/>
                          </a:solidFill>
                          <a:ln w="6350">
                            <a:solidFill>
                              <a:prstClr val="black"/>
                            </a:solidFill>
                          </a:ln>
                        </wps:spPr>
                        <wps:txbx>
                          <w:txbxContent>
                            <w:p w14:paraId="2C9979A0" w14:textId="77777777" w:rsidR="00C962A9" w:rsidRDefault="00C962A9" w:rsidP="009B70A9">
                              <w:pPr>
                                <w:pStyle w:val="NormalWeb"/>
                                <w:spacing w:before="0" w:beforeAutospacing="0" w:after="160" w:afterAutospacing="0" w:line="254" w:lineRule="auto"/>
                                <w:jc w:val="center"/>
                              </w:pPr>
                              <w:r w:rsidRPr="00DE03B0">
                                <w:rPr>
                                  <w:rFonts w:ascii="Calibri" w:eastAsia="Calibri" w:hAnsi="Calibri"/>
                                  <w:sz w:val="22"/>
                                  <w:szCs w:val="22"/>
                                </w:rPr>
                                <w:t>CHA</w:t>
                              </w:r>
                              <w:r w:rsidRPr="00DE03B0">
                                <w:rPr>
                                  <w:rFonts w:ascii="Calibri" w:eastAsia="Calibri" w:hAnsi="Calibri"/>
                                  <w:sz w:val="22"/>
                                  <w:szCs w:val="22"/>
                                  <w:vertAlign w:val="subscript"/>
                                </w:rPr>
                                <w:t>2</w:t>
                              </w:r>
                              <w:r w:rsidRPr="00DE03B0">
                                <w:rPr>
                                  <w:rFonts w:ascii="Calibri" w:eastAsia="Calibri" w:hAnsi="Calibri"/>
                                  <w:sz w:val="22"/>
                                  <w:szCs w:val="22"/>
                                </w:rPr>
                                <w:t>DS</w:t>
                              </w:r>
                              <w:r w:rsidRPr="00DE03B0">
                                <w:rPr>
                                  <w:rFonts w:ascii="Calibri" w:eastAsia="Calibri" w:hAnsi="Calibri"/>
                                  <w:sz w:val="22"/>
                                  <w:szCs w:val="22"/>
                                  <w:vertAlign w:val="subscript"/>
                                </w:rPr>
                                <w:t>2</w:t>
                              </w:r>
                              <w:r w:rsidRPr="00DE03B0">
                                <w:rPr>
                                  <w:rFonts w:ascii="Calibri" w:eastAsia="Calibri" w:hAnsi="Calibri"/>
                                  <w:sz w:val="22"/>
                                  <w:szCs w:val="22"/>
                                </w:rPr>
                                <w:t xml:space="preserve">-VA </w:t>
                              </w:r>
                              <w:r>
                                <w:rPr>
                                  <w:rFonts w:ascii="Calibri" w:eastAsia="Calibri" w:hAnsi="Calibri"/>
                                  <w:sz w:val="22"/>
                                  <w:szCs w:val="22"/>
                                </w:rPr>
                                <w:t>score = 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Text Box 2"/>
                        <wps:cNvSpPr txBox="1"/>
                        <wps:spPr>
                          <a:xfrm>
                            <a:off x="1973523" y="1024599"/>
                            <a:ext cx="1560195" cy="315300"/>
                          </a:xfrm>
                          <a:prstGeom prst="rect">
                            <a:avLst/>
                          </a:prstGeom>
                          <a:solidFill>
                            <a:schemeClr val="lt1"/>
                          </a:solidFill>
                          <a:ln w="6350">
                            <a:solidFill>
                              <a:prstClr val="black"/>
                            </a:solidFill>
                          </a:ln>
                        </wps:spPr>
                        <wps:txbx>
                          <w:txbxContent>
                            <w:p w14:paraId="16DBC838"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-VA score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Text Box 2"/>
                        <wps:cNvSpPr txBox="1"/>
                        <wps:spPr>
                          <a:xfrm>
                            <a:off x="3723300" y="1024598"/>
                            <a:ext cx="1560195" cy="324825"/>
                          </a:xfrm>
                          <a:prstGeom prst="rect">
                            <a:avLst/>
                          </a:prstGeom>
                          <a:solidFill>
                            <a:schemeClr val="lt1"/>
                          </a:solidFill>
                          <a:ln w="6350">
                            <a:solidFill>
                              <a:prstClr val="black"/>
                            </a:solidFill>
                          </a:ln>
                        </wps:spPr>
                        <wps:txbx>
                          <w:txbxContent>
                            <w:p w14:paraId="089CBEB3"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 xml:space="preserve">-VA score </w:t>
                              </w:r>
                              <w:r w:rsidRPr="00DE03B0">
                                <w:rPr>
                                  <w:rFonts w:ascii="Calibri" w:eastAsia="Calibri" w:hAnsi="Calibri"/>
                                  <w:sz w:val="22"/>
                                  <w:szCs w:val="22"/>
                                </w:rPr>
                                <w:t>≥ 2</w:t>
                              </w:r>
                              <w:r>
                                <w:rPr>
                                  <w:rFonts w:ascii="Calibri" w:eastAsia="Calibri" w:hAnsi="Calibri"/>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238125" y="1536749"/>
                            <a:ext cx="1428750" cy="295275"/>
                          </a:xfrm>
                          <a:prstGeom prst="rect">
                            <a:avLst/>
                          </a:prstGeom>
                          <a:solidFill>
                            <a:schemeClr val="lt1"/>
                          </a:solidFill>
                          <a:ln w="6350">
                            <a:solidFill>
                              <a:prstClr val="black"/>
                            </a:solidFill>
                          </a:ln>
                        </wps:spPr>
                        <wps:txbx>
                          <w:txbxContent>
                            <w:p w14:paraId="004C8EE8" w14:textId="77777777" w:rsidR="00C962A9" w:rsidRDefault="00C962A9" w:rsidP="009B70A9">
                              <w:pPr>
                                <w:jc w:val="center"/>
                              </w:pPr>
                              <w:r>
                                <w:t>Re-evaluate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2040550" y="1536749"/>
                            <a:ext cx="1428750" cy="285750"/>
                          </a:xfrm>
                          <a:prstGeom prst="rect">
                            <a:avLst/>
                          </a:prstGeom>
                          <a:solidFill>
                            <a:schemeClr val="lt1"/>
                          </a:solidFill>
                          <a:ln w="6350">
                            <a:solidFill>
                              <a:prstClr val="black"/>
                            </a:solidFill>
                          </a:ln>
                        </wps:spPr>
                        <wps:txbx>
                          <w:txbxContent>
                            <w:p w14:paraId="1412FE66"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Consider OAT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789340" y="1536749"/>
                            <a:ext cx="1428750" cy="285750"/>
                          </a:xfrm>
                          <a:prstGeom prst="rect">
                            <a:avLst/>
                          </a:prstGeom>
                          <a:solidFill>
                            <a:schemeClr val="lt1"/>
                          </a:solidFill>
                          <a:ln w="6350">
                            <a:solidFill>
                              <a:prstClr val="black"/>
                            </a:solidFill>
                          </a:ln>
                        </wps:spPr>
                        <wps:txbx>
                          <w:txbxContent>
                            <w:p w14:paraId="37B657AA"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OAT recommended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3832225" y="2193974"/>
                            <a:ext cx="1342050" cy="314325"/>
                          </a:xfrm>
                          <a:prstGeom prst="rect">
                            <a:avLst/>
                          </a:prstGeom>
                          <a:solidFill>
                            <a:schemeClr val="lt1"/>
                          </a:solidFill>
                          <a:ln w="6350">
                            <a:solidFill>
                              <a:prstClr val="black"/>
                            </a:solidFill>
                          </a:ln>
                        </wps:spPr>
                        <wps:txbx>
                          <w:txbxContent>
                            <w:p w14:paraId="694DD6F9" w14:textId="77777777" w:rsidR="00C962A9" w:rsidRDefault="00C962A9" w:rsidP="009B70A9">
                              <w:pPr>
                                <w:jc w:val="center"/>
                              </w:pPr>
                              <w:r>
                                <w:t>No contraindication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0"/>
                        <wps:cNvSpPr txBox="1"/>
                        <wps:spPr>
                          <a:xfrm>
                            <a:off x="43876" y="2185024"/>
                            <a:ext cx="3489842" cy="322998"/>
                          </a:xfrm>
                          <a:prstGeom prst="rect">
                            <a:avLst/>
                          </a:prstGeom>
                          <a:solidFill>
                            <a:schemeClr val="lt1"/>
                          </a:solidFill>
                          <a:ln w="6350">
                            <a:solidFill>
                              <a:prstClr val="black"/>
                            </a:solidFill>
                          </a:ln>
                        </wps:spPr>
                        <wps:txbx>
                          <w:txbxContent>
                            <w:p w14:paraId="6A3D060A" w14:textId="77777777" w:rsidR="00C962A9" w:rsidRDefault="00C962A9" w:rsidP="009B70A9">
                              <w:pPr>
                                <w:pStyle w:val="NormalWeb"/>
                                <w:spacing w:before="0" w:beforeAutospacing="0" w:after="0" w:afterAutospacing="0" w:line="256" w:lineRule="auto"/>
                                <w:jc w:val="center"/>
                                <w:rPr>
                                  <w:rFonts w:ascii="Calibri" w:eastAsia="Calibri" w:hAnsi="Calibri"/>
                                  <w:sz w:val="22"/>
                                  <w:szCs w:val="22"/>
                                </w:rPr>
                              </w:pPr>
                              <w:r>
                                <w:rPr>
                                  <w:rFonts w:ascii="Calibri" w:eastAsia="Calibri" w:hAnsi="Calibri"/>
                                  <w:sz w:val="22"/>
                                  <w:szCs w:val="22"/>
                                </w:rPr>
                                <w:t>Contraindication to lifelong OAT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223640" y="5304640"/>
                            <a:ext cx="838200" cy="276225"/>
                          </a:xfrm>
                          <a:prstGeom prst="rect">
                            <a:avLst/>
                          </a:prstGeom>
                          <a:solidFill>
                            <a:schemeClr val="lt1"/>
                          </a:solidFill>
                          <a:ln w="6350">
                            <a:solidFill>
                              <a:prstClr val="black"/>
                            </a:solidFill>
                          </a:ln>
                        </wps:spPr>
                        <wps:txbx>
                          <w:txbxContent>
                            <w:p w14:paraId="421DA9F0" w14:textId="77777777" w:rsidR="00C962A9" w:rsidRDefault="00C962A9" w:rsidP="009B70A9">
                              <w:pPr>
                                <w:jc w:val="center"/>
                              </w:pPr>
                              <w:r>
                                <w:t>LAAC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2"/>
                        <wps:cNvSpPr txBox="1"/>
                        <wps:spPr>
                          <a:xfrm>
                            <a:off x="1301386" y="5304599"/>
                            <a:ext cx="546190" cy="276225"/>
                          </a:xfrm>
                          <a:prstGeom prst="rect">
                            <a:avLst/>
                          </a:prstGeom>
                          <a:solidFill>
                            <a:schemeClr val="lt1"/>
                          </a:solidFill>
                          <a:ln w="6350">
                            <a:solidFill>
                              <a:prstClr val="black"/>
                            </a:solidFill>
                          </a:ln>
                        </wps:spPr>
                        <wps:txbx>
                          <w:txbxContent>
                            <w:p w14:paraId="070D4325"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SoC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2"/>
                        <wps:cNvSpPr txBox="1"/>
                        <wps:spPr>
                          <a:xfrm>
                            <a:off x="3593805" y="2830881"/>
                            <a:ext cx="685460" cy="276225"/>
                          </a:xfrm>
                          <a:prstGeom prst="rect">
                            <a:avLst/>
                          </a:prstGeom>
                          <a:solidFill>
                            <a:schemeClr val="lt1"/>
                          </a:solidFill>
                          <a:ln w="6350">
                            <a:solidFill>
                              <a:prstClr val="black"/>
                            </a:solidFill>
                          </a:ln>
                        </wps:spPr>
                        <wps:txbx>
                          <w:txbxContent>
                            <w:p w14:paraId="22D58596" w14:textId="5C2C5D82"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DOACs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2"/>
                        <wps:cNvSpPr txBox="1"/>
                        <wps:spPr>
                          <a:xfrm>
                            <a:off x="4445295" y="2831174"/>
                            <a:ext cx="838200" cy="276225"/>
                          </a:xfrm>
                          <a:prstGeom prst="rect">
                            <a:avLst/>
                          </a:prstGeom>
                          <a:solidFill>
                            <a:schemeClr val="lt1"/>
                          </a:solidFill>
                          <a:ln w="6350">
                            <a:solidFill>
                              <a:prstClr val="black"/>
                            </a:solidFill>
                          </a:ln>
                        </wps:spPr>
                        <wps:txbx>
                          <w:txbxContent>
                            <w:p w14:paraId="7472863C"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Warfarin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43876" y="6225136"/>
                            <a:ext cx="5293667" cy="276225"/>
                          </a:xfrm>
                          <a:prstGeom prst="rect">
                            <a:avLst/>
                          </a:prstGeom>
                          <a:solidFill>
                            <a:schemeClr val="lt1"/>
                          </a:solidFill>
                          <a:ln w="6350">
                            <a:solidFill>
                              <a:prstClr val="black"/>
                            </a:solidFill>
                          </a:ln>
                        </wps:spPr>
                        <wps:txbx>
                          <w:txbxContent>
                            <w:p w14:paraId="68949538" w14:textId="77777777" w:rsidR="00C962A9" w:rsidRDefault="00C962A9" w:rsidP="009B70A9">
                              <w:pPr>
                                <w:jc w:val="center"/>
                              </w:pPr>
                              <w: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Straight Arrow Connector 190"/>
                        <wps:cNvCnPr/>
                        <wps:spPr>
                          <a:xfrm>
                            <a:off x="2750024" y="281678"/>
                            <a:ext cx="3625" cy="2209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flipH="1">
                            <a:off x="2753621" y="747730"/>
                            <a:ext cx="28" cy="276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Elbow Connector 192"/>
                        <wps:cNvCnPr/>
                        <wps:spPr>
                          <a:xfrm rot="5400000">
                            <a:off x="1713677" y="-15374"/>
                            <a:ext cx="276869" cy="180307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Elbow Connector 193"/>
                        <wps:cNvCnPr/>
                        <wps:spPr>
                          <a:xfrm rot="16200000" flipH="1">
                            <a:off x="3490089" y="11289"/>
                            <a:ext cx="276868" cy="1749749"/>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950573" y="1330374"/>
                            <a:ext cx="1927" cy="206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2753621" y="1339899"/>
                            <a:ext cx="1304" cy="196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4503398" y="1349423"/>
                            <a:ext cx="317" cy="187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H="1">
                            <a:off x="4503250" y="1822499"/>
                            <a:ext cx="465"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Elbow Connector 198"/>
                        <wps:cNvCnPr/>
                        <wps:spPr>
                          <a:xfrm rot="10800000" flipV="1">
                            <a:off x="1788798" y="2005678"/>
                            <a:ext cx="2714429" cy="17934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Elbow Connector 199"/>
                        <wps:cNvCnPr/>
                        <wps:spPr>
                          <a:xfrm rot="16200000" flipH="1">
                            <a:off x="4522385" y="2489163"/>
                            <a:ext cx="322875" cy="36114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Elbow Connector 200"/>
                        <wps:cNvCnPr/>
                        <wps:spPr>
                          <a:xfrm rot="5400000">
                            <a:off x="4020271" y="2348194"/>
                            <a:ext cx="322875" cy="643085"/>
                          </a:xfrm>
                          <a:prstGeom prst="bentConnector3">
                            <a:avLst>
                              <a:gd name="adj1" fmla="val 497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Elbow Connector 201"/>
                        <wps:cNvCnPr/>
                        <wps:spPr>
                          <a:xfrm rot="16200000" flipH="1">
                            <a:off x="831081" y="4560733"/>
                            <a:ext cx="775873" cy="710928"/>
                          </a:xfrm>
                          <a:prstGeom prst="bentConnector3">
                            <a:avLst>
                              <a:gd name="adj1" fmla="val -70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642740" y="5580376"/>
                            <a:ext cx="0" cy="6442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1574481" y="5580335"/>
                            <a:ext cx="0" cy="6427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3860194" y="3106514"/>
                            <a:ext cx="23176" cy="31160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a:off x="4864379" y="3106242"/>
                            <a:ext cx="0" cy="31157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Text Box 206"/>
                        <wps:cNvSpPr txBox="1"/>
                        <wps:spPr>
                          <a:xfrm>
                            <a:off x="43876" y="4648398"/>
                            <a:ext cx="1178868" cy="518200"/>
                          </a:xfrm>
                          <a:prstGeom prst="rect">
                            <a:avLst/>
                          </a:prstGeom>
                          <a:solidFill>
                            <a:schemeClr val="lt1"/>
                          </a:solidFill>
                          <a:ln w="6350">
                            <a:solidFill>
                              <a:prstClr val="black"/>
                            </a:solidFill>
                          </a:ln>
                        </wps:spPr>
                        <wps:txbx>
                          <w:txbxContent>
                            <w:p w14:paraId="272D7510" w14:textId="77777777" w:rsidR="00C962A9" w:rsidRDefault="00C962A9" w:rsidP="009B70A9">
                              <w:r>
                                <w:t>Eligibility testing (i.e.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Elbow Connector 207"/>
                        <wps:cNvCnPr/>
                        <wps:spPr>
                          <a:xfrm rot="5400000">
                            <a:off x="629165" y="4421765"/>
                            <a:ext cx="230347" cy="22205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633310" y="5166598"/>
                            <a:ext cx="9430" cy="1380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Text Box 10"/>
                        <wps:cNvSpPr txBox="1"/>
                        <wps:spPr>
                          <a:xfrm>
                            <a:off x="1847576" y="2834870"/>
                            <a:ext cx="1686199" cy="1960171"/>
                          </a:xfrm>
                          <a:prstGeom prst="rect">
                            <a:avLst/>
                          </a:prstGeom>
                          <a:solidFill>
                            <a:schemeClr val="lt1"/>
                          </a:solidFill>
                          <a:ln w="6350">
                            <a:solidFill>
                              <a:prstClr val="black"/>
                            </a:solidFill>
                          </a:ln>
                        </wps:spPr>
                        <wps:txbx>
                          <w:txbxContent>
                            <w:p w14:paraId="15F0B9FC" w14:textId="77777777" w:rsidR="00C962A9" w:rsidRPr="00F37CC7" w:rsidRDefault="00C962A9" w:rsidP="009B70A9">
                              <w:pPr>
                                <w:pStyle w:val="NormalWeb"/>
                                <w:spacing w:before="0" w:beforeAutospacing="0" w:after="0" w:afterAutospacing="0"/>
                                <w:rPr>
                                  <w:sz w:val="18"/>
                                  <w:szCs w:val="18"/>
                                </w:rPr>
                              </w:pPr>
                              <w:r>
                                <w:rPr>
                                  <w:rFonts w:ascii="Calibri" w:eastAsia="Calibri" w:hAnsi="Calibri"/>
                                  <w:sz w:val="18"/>
                                  <w:szCs w:val="18"/>
                                </w:rPr>
                                <w:t>Other r</w:t>
                              </w:r>
                              <w:r w:rsidRPr="00F37CC7">
                                <w:rPr>
                                  <w:rFonts w:ascii="Calibri" w:eastAsia="Calibri" w:hAnsi="Calibri"/>
                                  <w:sz w:val="18"/>
                                  <w:szCs w:val="18"/>
                                </w:rPr>
                                <w:t xml:space="preserve">elative </w:t>
                              </w:r>
                              <w:r>
                                <w:rPr>
                                  <w:rFonts w:ascii="Calibri" w:eastAsia="Calibri" w:hAnsi="Calibri"/>
                                  <w:sz w:val="18"/>
                                  <w:szCs w:val="18"/>
                                </w:rPr>
                                <w:t>contraindications:</w:t>
                              </w:r>
                            </w:p>
                            <w:p w14:paraId="4F1BC3D9"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previous major bleeding complication</w:t>
                              </w:r>
                            </w:p>
                            <w:p w14:paraId="77354AB9"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bleeding diathesis</w:t>
                              </w:r>
                            </w:p>
                            <w:p w14:paraId="528094D1"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anaemia</w:t>
                              </w:r>
                            </w:p>
                            <w:p w14:paraId="29D9E846"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prior gastrointestinal bleed</w:t>
                              </w:r>
                            </w:p>
                            <w:p w14:paraId="27B090CF"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thrombocytopenia</w:t>
                              </w:r>
                            </w:p>
                            <w:p w14:paraId="3BB024B3"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haematological malignancy</w:t>
                              </w:r>
                            </w:p>
                            <w:p w14:paraId="6F7CB626"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traumatic intracranial haemorrhage</w:t>
                              </w:r>
                            </w:p>
                            <w:p w14:paraId="1E64C8D1" w14:textId="77777777" w:rsidR="00C962A9" w:rsidRPr="00F37CC7" w:rsidRDefault="00C962A9" w:rsidP="00BB142F">
                              <w:pPr>
                                <w:pStyle w:val="NormalWeb"/>
                                <w:numPr>
                                  <w:ilvl w:val="0"/>
                                  <w:numId w:val="17"/>
                                </w:numPr>
                                <w:spacing w:before="0" w:beforeAutospacing="0" w:after="0" w:afterAutospacing="0"/>
                                <w:ind w:left="142" w:hanging="142"/>
                                <w:rPr>
                                  <w:sz w:val="18"/>
                                  <w:szCs w:val="18"/>
                                </w:rPr>
                              </w:pPr>
                              <w:r w:rsidRPr="00F37CC7">
                                <w:rPr>
                                  <w:rFonts w:ascii="Calibri" w:eastAsia="Calibri" w:hAnsi="Calibri"/>
                                  <w:sz w:val="18"/>
                                  <w:szCs w:val="18"/>
                                </w:rPr>
                                <w:t>hypersensitivity to Australian-registered therapies</w:t>
                              </w:r>
                              <w:r w:rsidRPr="00F37CC7">
                                <w:rPr>
                                  <w:rFonts w:eastAsia="Times New Roman"/>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43876" y="2835120"/>
                            <a:ext cx="1686794" cy="1572400"/>
                          </a:xfrm>
                          <a:prstGeom prst="rect">
                            <a:avLst/>
                          </a:prstGeom>
                          <a:solidFill>
                            <a:schemeClr val="lt1"/>
                          </a:solidFill>
                          <a:ln w="6350">
                            <a:solidFill>
                              <a:prstClr val="black"/>
                            </a:solidFill>
                          </a:ln>
                        </wps:spPr>
                        <wps:txbx>
                          <w:txbxContent>
                            <w:p w14:paraId="1B78BAE4" w14:textId="77777777" w:rsidR="00C962A9" w:rsidRDefault="00C962A9" w:rsidP="009B70A9">
                              <w:pPr>
                                <w:spacing w:after="0" w:line="240" w:lineRule="auto"/>
                                <w:rPr>
                                  <w:sz w:val="18"/>
                                  <w:szCs w:val="18"/>
                                </w:rPr>
                              </w:pPr>
                              <w:r>
                                <w:rPr>
                                  <w:sz w:val="18"/>
                                  <w:szCs w:val="18"/>
                                </w:rPr>
                                <w:t>Absolute contraindications:</w:t>
                              </w:r>
                            </w:p>
                            <w:p w14:paraId="01A682D1"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previous major bleeding complication experienced whilst undergoing treatment with oral anticoagulation therapy</w:t>
                              </w:r>
                            </w:p>
                            <w:p w14:paraId="6BF53210"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blood dyscrasia</w:t>
                              </w:r>
                            </w:p>
                            <w:p w14:paraId="388E7B1D"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vascular abnormality predisposing to potentially life-threatening haemorrhage</w:t>
                              </w:r>
                            </w:p>
                            <w:p w14:paraId="4D15CABF" w14:textId="77777777" w:rsidR="00C962A9" w:rsidRPr="00F37CC7" w:rsidRDefault="00C962A9" w:rsidP="009B70A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Elbow Connector 211"/>
                        <wps:cNvCnPr/>
                        <wps:spPr>
                          <a:xfrm rot="5400000">
                            <a:off x="1306198" y="2348002"/>
                            <a:ext cx="322580" cy="642620"/>
                          </a:xfrm>
                          <a:prstGeom prst="bentConnector3">
                            <a:avLst>
                              <a:gd name="adj1" fmla="val 497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Elbow Connector 212"/>
                        <wps:cNvCnPr/>
                        <wps:spPr>
                          <a:xfrm rot="16200000" flipH="1">
                            <a:off x="1807848" y="2489544"/>
                            <a:ext cx="322580" cy="36068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Elbow Connector 213"/>
                        <wps:cNvCnPr/>
                        <wps:spPr>
                          <a:xfrm rot="16200000" flipH="1">
                            <a:off x="2737035" y="4807025"/>
                            <a:ext cx="520129" cy="494117"/>
                          </a:xfrm>
                          <a:prstGeom prst="bentConnector3">
                            <a:avLst>
                              <a:gd name="adj1" fmla="val 2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Elbow Connector 214"/>
                        <wps:cNvCnPr/>
                        <wps:spPr>
                          <a:xfrm rot="5400000">
                            <a:off x="2278431" y="4821507"/>
                            <a:ext cx="509224" cy="433874"/>
                          </a:xfrm>
                          <a:prstGeom prst="bentConnector3">
                            <a:avLst>
                              <a:gd name="adj1" fmla="val 3329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Text Box 12"/>
                        <wps:cNvSpPr txBox="1"/>
                        <wps:spPr>
                          <a:xfrm>
                            <a:off x="1973523" y="5304154"/>
                            <a:ext cx="685165" cy="275590"/>
                          </a:xfrm>
                          <a:prstGeom prst="rect">
                            <a:avLst/>
                          </a:prstGeom>
                          <a:solidFill>
                            <a:schemeClr val="lt1"/>
                          </a:solidFill>
                          <a:ln w="6350">
                            <a:solidFill>
                              <a:prstClr val="black"/>
                            </a:solidFill>
                          </a:ln>
                        </wps:spPr>
                        <wps:txbx>
                          <w:txbxContent>
                            <w:p w14:paraId="580FD89A" w14:textId="07310C1A"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DOACs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2"/>
                        <wps:cNvSpPr txBox="1"/>
                        <wps:spPr>
                          <a:xfrm>
                            <a:off x="2825058" y="5314615"/>
                            <a:ext cx="838200" cy="275590"/>
                          </a:xfrm>
                          <a:prstGeom prst="rect">
                            <a:avLst/>
                          </a:prstGeom>
                          <a:solidFill>
                            <a:schemeClr val="lt1"/>
                          </a:solidFill>
                          <a:ln w="6350">
                            <a:solidFill>
                              <a:prstClr val="black"/>
                            </a:solidFill>
                          </a:ln>
                        </wps:spPr>
                        <wps:txbx>
                          <w:txbxContent>
                            <w:p w14:paraId="72F57644"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Warfarin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Straight Arrow Connector 217"/>
                        <wps:cNvCnPr/>
                        <wps:spPr>
                          <a:xfrm>
                            <a:off x="2316125" y="5579760"/>
                            <a:ext cx="0" cy="643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a:off x="3244137" y="5590220"/>
                            <a:ext cx="0" cy="643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Elbow Connector 219"/>
                        <wps:cNvCnPr/>
                        <wps:spPr>
                          <a:xfrm rot="10800000" flipV="1">
                            <a:off x="1666877" y="4953005"/>
                            <a:ext cx="649248" cy="349775"/>
                          </a:xfrm>
                          <a:prstGeom prst="bentConnector3">
                            <a:avLst>
                              <a:gd name="adj1" fmla="val 9913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20DCC9" id="Canvas 220" o:spid="_x0000_s1026" editas="canvas" alt="Title: Figure 4 - Description: Flow chart" style="width:6in;height:517.4pt;mso-position-horizontal-relative:char;mso-position-vertical-relative:line" coordsize="54864,6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&#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low chart" style="position:absolute;width:54864;height:65703;visibility:visible;mso-wrap-style:square">
                  <v:fill o:detectmouseclick="t"/>
                  <v:path o:connecttype="none"/>
                </v:shape>
                <v:shapetype id="_x0000_t202" coordsize="21600,21600" o:spt="202" path="m,l,21600r21600,l21600,xe">
                  <v:stroke joinstyle="miter"/>
                  <v:path gradientshapeok="t" o:connecttype="rect"/>
                </v:shapetype>
                <v:shape id="Text Box 175" o:spid="_x0000_s1028" type="#_x0000_t202" style="position:absolute;left:24497;top:360;width:6005;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0wQAAANwAAAAPAAAAZHJzL2Rvd25yZXYueG1sRE9NSwMx&#10;EL0L/ocwgjebVWh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Fd2X7TBAAAA3AAAAA8AAAAA&#10;AAAAAAAAAAAABwIAAGRycy9kb3ducmV2LnhtbFBLBQYAAAAAAwADALcAAAD1AgAAAAA=&#10;" fillcolor="white [3201]" strokeweight=".5pt">
                  <v:textbox>
                    <w:txbxContent>
                      <w:p w14:paraId="293806B8" w14:textId="77777777" w:rsidR="00C962A9" w:rsidRDefault="00C962A9" w:rsidP="009B70A9">
                        <w:pPr>
                          <w:jc w:val="center"/>
                        </w:pPr>
                        <w:r>
                          <w:t>NVAF</w:t>
                        </w:r>
                      </w:p>
                    </w:txbxContent>
                  </v:textbox>
                </v:shape>
                <v:shape id="Text Box 2" o:spid="_x0000_s1029" type="#_x0000_t202" style="position:absolute;left:19735;top:5026;width:1560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" fillcolor="white [3201]" strokeweight=".5pt">
                  <v:textbox>
                    <w:txbxContent>
                      <w:p w14:paraId="65669CC7"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Stroke risk estimation</w:t>
                        </w:r>
                      </w:p>
                    </w:txbxContent>
                  </v:textbox>
                </v:shape>
                <v:shape id="Text Box 2" o:spid="_x0000_s1030" type="#_x0000_t202" style="position:absolute;left:1704;top:10245;width:15602;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" fillcolor="white [3201]" strokeweight=".5pt">
                  <v:textbox>
                    <w:txbxContent>
                      <w:p w14:paraId="2C9979A0" w14:textId="77777777" w:rsidR="00C962A9" w:rsidRDefault="00C962A9" w:rsidP="009B70A9">
                        <w:pPr>
                          <w:pStyle w:val="NormalWeb"/>
                          <w:spacing w:before="0" w:beforeAutospacing="0" w:after="160" w:afterAutospacing="0" w:line="254" w:lineRule="auto"/>
                          <w:jc w:val="center"/>
                        </w:pPr>
                        <w:r w:rsidRPr="00DE03B0">
                          <w:rPr>
                            <w:rFonts w:ascii="Calibri" w:eastAsia="Calibri" w:hAnsi="Calibri"/>
                            <w:sz w:val="22"/>
                            <w:szCs w:val="22"/>
                          </w:rPr>
                          <w:t>CHA</w:t>
                        </w:r>
                        <w:r w:rsidRPr="00DE03B0">
                          <w:rPr>
                            <w:rFonts w:ascii="Calibri" w:eastAsia="Calibri" w:hAnsi="Calibri"/>
                            <w:sz w:val="22"/>
                            <w:szCs w:val="22"/>
                            <w:vertAlign w:val="subscript"/>
                          </w:rPr>
                          <w:t>2</w:t>
                        </w:r>
                        <w:r w:rsidRPr="00DE03B0">
                          <w:rPr>
                            <w:rFonts w:ascii="Calibri" w:eastAsia="Calibri" w:hAnsi="Calibri"/>
                            <w:sz w:val="22"/>
                            <w:szCs w:val="22"/>
                          </w:rPr>
                          <w:t>DS</w:t>
                        </w:r>
                        <w:r w:rsidRPr="00DE03B0">
                          <w:rPr>
                            <w:rFonts w:ascii="Calibri" w:eastAsia="Calibri" w:hAnsi="Calibri"/>
                            <w:sz w:val="22"/>
                            <w:szCs w:val="22"/>
                            <w:vertAlign w:val="subscript"/>
                          </w:rPr>
                          <w:t>2</w:t>
                        </w:r>
                        <w:r w:rsidRPr="00DE03B0">
                          <w:rPr>
                            <w:rFonts w:ascii="Calibri" w:eastAsia="Calibri" w:hAnsi="Calibri"/>
                            <w:sz w:val="22"/>
                            <w:szCs w:val="22"/>
                          </w:rPr>
                          <w:t xml:space="preserve">-VA </w:t>
                        </w:r>
                        <w:r>
                          <w:rPr>
                            <w:rFonts w:ascii="Calibri" w:eastAsia="Calibri" w:hAnsi="Calibri"/>
                            <w:sz w:val="22"/>
                            <w:szCs w:val="22"/>
                          </w:rPr>
                          <w:t>score = 0</w:t>
                        </w:r>
                      </w:p>
                    </w:txbxContent>
                  </v:textbox>
                </v:shape>
                <v:shape id="Text Box 2" o:spid="_x0000_s1031" type="#_x0000_t202" style="position:absolute;left:19735;top:10245;width:15602;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" fillcolor="white [3201]" strokeweight=".5pt">
                  <v:textbox>
                    <w:txbxContent>
                      <w:p w14:paraId="16DBC838"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-VA score = 1</w:t>
                        </w:r>
                      </w:p>
                    </w:txbxContent>
                  </v:textbox>
                </v:shape>
                <v:shape id="Text Box 2" o:spid="_x0000_s1032" type="#_x0000_t202" style="position:absolute;left:37233;top:10245;width:15601;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089CBEB3"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 xml:space="preserve">-VA score </w:t>
                        </w:r>
                        <w:r w:rsidRPr="00DE03B0">
                          <w:rPr>
                            <w:rFonts w:ascii="Calibri" w:eastAsia="Calibri" w:hAnsi="Calibri"/>
                            <w:sz w:val="22"/>
                            <w:szCs w:val="22"/>
                          </w:rPr>
                          <w:t>≥ 2</w:t>
                        </w:r>
                        <w:r>
                          <w:rPr>
                            <w:rFonts w:ascii="Calibri" w:eastAsia="Calibri" w:hAnsi="Calibri"/>
                            <w:sz w:val="22"/>
                            <w:szCs w:val="22"/>
                          </w:rPr>
                          <w:t xml:space="preserve"> </w:t>
                        </w:r>
                      </w:p>
                    </w:txbxContent>
                  </v:textbox>
                </v:shape>
                <v:shape id="Text Box 180" o:spid="_x0000_s1033" type="#_x0000_t202" style="position:absolute;left:2381;top:15367;width:14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004C8EE8" w14:textId="77777777" w:rsidR="00C962A9" w:rsidRDefault="00C962A9" w:rsidP="009B70A9">
                        <w:pPr>
                          <w:jc w:val="center"/>
                        </w:pPr>
                        <w:r>
                          <w:t>Re-evaluate annually</w:t>
                        </w:r>
                      </w:p>
                    </w:txbxContent>
                  </v:textbox>
                </v:shape>
                <v:shape id="Text Box 7" o:spid="_x0000_s1034" type="#_x0000_t202" style="position:absolute;left:20405;top:15367;width:14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" fillcolor="white [3201]" strokeweight=".5pt">
                  <v:textbox>
                    <w:txbxContent>
                      <w:p w14:paraId="1412FE66"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Consider OAT</w:t>
                        </w:r>
                      </w:p>
                    </w:txbxContent>
                  </v:textbox>
                </v:shape>
                <v:shape id="Text Box 7" o:spid="_x0000_s1035" type="#_x0000_t202" style="position:absolute;left:37893;top:15367;width:142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37B657AA"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OAT recommended</w:t>
                        </w:r>
                      </w:p>
                    </w:txbxContent>
                  </v:textbox>
                </v:shape>
                <v:shape id="Text Box 183" o:spid="_x0000_s1036" type="#_x0000_t202" style="position:absolute;left:38322;top:21939;width:134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J8wAAAANwAAAAPAAAAZHJzL2Rvd25yZXYueG1sRE9NawIx&#10;EL0X+h/CFHqr2bYg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ggYSfMAAAADcAAAADwAAAAAA&#10;AAAAAAAAAAAHAgAAZHJzL2Rvd25yZXYueG1sUEsFBgAAAAADAAMAtwAAAPQCAAAAAA==&#10;" fillcolor="white [3201]" strokeweight=".5pt">
                  <v:textbox>
                    <w:txbxContent>
                      <w:p w14:paraId="694DD6F9" w14:textId="77777777" w:rsidR="00C962A9" w:rsidRDefault="00C962A9" w:rsidP="009B70A9">
                        <w:pPr>
                          <w:jc w:val="center"/>
                        </w:pPr>
                        <w:r>
                          <w:t>No contraindication</w:t>
                        </w:r>
                      </w:p>
                    </w:txbxContent>
                  </v:textbox>
                </v:shape>
                <v:shape id="Text Box 10" o:spid="_x0000_s1037" type="#_x0000_t202" style="position:absolute;left:438;top:21850;width:3489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IwAAAANwAAAAPAAAAZHJzL2Rvd25yZXYueG1sRE9NawIx&#10;EL0X+h/CFHqr2ZYi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De+KCMAAAADcAAAADwAAAAAA&#10;AAAAAAAAAAAHAgAAZHJzL2Rvd25yZXYueG1sUEsFBgAAAAADAAMAtwAAAPQCAAAAAA==&#10;" fillcolor="white [3201]" strokeweight=".5pt">
                  <v:textbox>
                    <w:txbxContent>
                      <w:p w14:paraId="6A3D060A" w14:textId="77777777" w:rsidR="00C962A9" w:rsidRDefault="00C962A9" w:rsidP="009B70A9">
                        <w:pPr>
                          <w:pStyle w:val="NormalWeb"/>
                          <w:spacing w:before="0" w:beforeAutospacing="0" w:after="0" w:afterAutospacing="0" w:line="256" w:lineRule="auto"/>
                          <w:jc w:val="center"/>
                          <w:rPr>
                            <w:rFonts w:ascii="Calibri" w:eastAsia="Calibri" w:hAnsi="Calibri"/>
                            <w:sz w:val="22"/>
                            <w:szCs w:val="22"/>
                          </w:rPr>
                        </w:pPr>
                        <w:r>
                          <w:rPr>
                            <w:rFonts w:ascii="Calibri" w:eastAsia="Calibri" w:hAnsi="Calibri"/>
                            <w:sz w:val="22"/>
                            <w:szCs w:val="22"/>
                          </w:rPr>
                          <w:t>Contraindication to lifelong OAT</w:t>
                        </w:r>
                      </w:p>
                    </w:txbxContent>
                  </v:textbox>
                </v:shape>
                <v:shape id="Text Box 185" o:spid="_x0000_s1038" type="#_x0000_t202" style="position:absolute;left:2236;top:53046;width:83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wAAAANwAAAAPAAAAZHJzL2Rvd25yZXYueG1sRE9NawIx&#10;EL0X+h/CFHqr2RYq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YqMvk8AAAADcAAAADwAAAAAA&#10;AAAAAAAAAAAHAgAAZHJzL2Rvd25yZXYueG1sUEsFBgAAAAADAAMAtwAAAPQCAAAAAA==&#10;" fillcolor="white [3201]" strokeweight=".5pt">
                  <v:textbox>
                    <w:txbxContent>
                      <w:p w14:paraId="421DA9F0" w14:textId="77777777" w:rsidR="00C962A9" w:rsidRDefault="00C962A9" w:rsidP="009B70A9">
                        <w:pPr>
                          <w:jc w:val="center"/>
                        </w:pPr>
                        <w:r>
                          <w:t>LAAC</w:t>
                        </w:r>
                      </w:p>
                    </w:txbxContent>
                  </v:textbox>
                </v:shape>
                <v:shape id="Text Box 12" o:spid="_x0000_s1039" type="#_x0000_t202" style="position:absolute;left:13013;top:53045;width:54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" fillcolor="white [3201]" strokeweight=".5pt">
                  <v:textbox>
                    <w:txbxContent>
                      <w:p w14:paraId="070D4325"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SoC</w:t>
                        </w:r>
                      </w:p>
                    </w:txbxContent>
                  </v:textbox>
                </v:shape>
                <v:shape id="Text Box 12" o:spid="_x0000_s1040" type="#_x0000_t202" style="position:absolute;left:35938;top:28308;width:685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" fillcolor="white [3201]" strokeweight=".5pt">
                  <v:textbox>
                    <w:txbxContent>
                      <w:p w14:paraId="22D58596" w14:textId="5C2C5D82"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DOACs</w:t>
                        </w:r>
                      </w:p>
                    </w:txbxContent>
                  </v:textbox>
                </v:shape>
                <v:shape id="Text Box 12" o:spid="_x0000_s1041" type="#_x0000_t202" style="position:absolute;left:44452;top:28311;width:83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" fillcolor="white [3201]" strokeweight=".5pt">
                  <v:textbox>
                    <w:txbxContent>
                      <w:p w14:paraId="7472863C"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Warfarin</w:t>
                        </w:r>
                      </w:p>
                    </w:txbxContent>
                  </v:textbox>
                </v:shape>
                <v:shape id="Text Box 189" o:spid="_x0000_s1042" type="#_x0000_t202" style="position:absolute;left:438;top:62251;width:5293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" fillcolor="white [3201]" strokeweight=".5pt">
                  <v:textbox>
                    <w:txbxContent>
                      <w:p w14:paraId="68949538" w14:textId="77777777" w:rsidR="00C962A9" w:rsidRDefault="00C962A9" w:rsidP="009B70A9">
                        <w:pPr>
                          <w:jc w:val="center"/>
                        </w:pPr>
                        <w:r>
                          <w:t>Outcomes</w:t>
                        </w:r>
                      </w:p>
                    </w:txbxContent>
                  </v:textbox>
                </v:shape>
                <v:shapetype id="_x0000_t32" coordsize="21600,21600" o:spt="32" o:oned="t" path="m,l21600,21600e" filled="f">
                  <v:path arrowok="t" fillok="f" o:connecttype="none"/>
                  <o:lock v:ext="edit" shapetype="t"/>
                </v:shapetype>
                <v:shape id="Straight Arrow Connector 190" o:spid="_x0000_s1043" type="#_x0000_t32" style="position:absolute;left:27500;top:2816;width:36;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" strokecolor="black [3213]">
                  <v:stroke endarrow="block"/>
                </v:shape>
                <v:shape id="Straight Arrow Connector 191" o:spid="_x0000_s1044" type="#_x0000_t32" style="position:absolute;left:27536;top:7477;width:0;height:2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2" o:spid="_x0000_s1045" type="#_x0000_t34" style="position:absolute;left:17137;top:-155;width:2768;height:180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" strokecolor="black [3213]">
                  <v:stroke endarrow="block"/>
                </v:shape>
                <v:shape id="Elbow Connector 193" o:spid="_x0000_s1046" type="#_x0000_t34" style="position:absolute;left:34901;top:112;width:2768;height:174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" strokecolor="black [3213]">
                  <v:stroke endarrow="block"/>
                </v:shape>
                <v:shape id="Straight Arrow Connector 194" o:spid="_x0000_s1047" type="#_x0000_t32" style="position:absolute;left:9505;top:13303;width:20;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" strokecolor="black [3213]">
                  <v:stroke endarrow="block"/>
                </v:shape>
                <v:shape id="Straight Arrow Connector 195" o:spid="_x0000_s1048" type="#_x0000_t32" style="position:absolute;left:27536;top:13398;width:13;height:1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" strokecolor="black [3213]">
                  <v:stroke endarrow="block"/>
                </v:shape>
                <v:shape id="Straight Arrow Connector 196" o:spid="_x0000_s1049" type="#_x0000_t32" style="position:absolute;left:45033;top:13494;width:4;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" strokecolor="black [3213]">
                  <v:stroke endarrow="block"/>
                </v:shape>
                <v:shape id="Straight Arrow Connector 197" o:spid="_x0000_s1050" type="#_x0000_t32" style="position:absolute;left:45032;top:18224;width:5;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" strokecolor="black [3213]">
                  <v:stroke endarrow="block"/>
                </v:shape>
                <v:shapetype id="_x0000_t33" coordsize="21600,21600" o:spt="33" o:oned="t" path="m,l21600,r,21600e" filled="f">
                  <v:stroke joinstyle="miter"/>
                  <v:path arrowok="t" fillok="f" o:connecttype="none"/>
                  <o:lock v:ext="edit" shapetype="t"/>
                </v:shapetype>
                <v:shape id="Elbow Connector 198" o:spid="_x0000_s1051" type="#_x0000_t33" style="position:absolute;left:17887;top:20056;width:27145;height:17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" strokecolor="black [3213]">
                  <v:stroke endarrow="block"/>
                </v:shape>
                <v:shape id="Elbow Connector 199" o:spid="_x0000_s1052" type="#_x0000_t34" style="position:absolute;left:45223;top:24891;width:3229;height:36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" strokecolor="black [3213]">
                  <v:stroke endarrow="block"/>
                </v:shape>
                <v:shape id="Elbow Connector 200" o:spid="_x0000_s1053" type="#_x0000_t34" style="position:absolute;left:40202;top:23481;width:3229;height:6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" adj="10751" strokecolor="black [3213]">
                  <v:stroke endarrow="block"/>
                </v:shape>
                <v:shape id="Elbow Connector 201" o:spid="_x0000_s1054" type="#_x0000_t34" style="position:absolute;left:8310;top:45607;width:7759;height:71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" adj="-152" strokecolor="black [3213]">
                  <v:stroke endarrow="block"/>
                </v:shape>
                <v:shape id="Straight Arrow Connector 202" o:spid="_x0000_s1055" type="#_x0000_t32" style="position:absolute;left:6427;top:55803;width:0;height:6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" strokecolor="black [3213]">
                  <v:stroke endarrow="block"/>
                </v:shape>
                <v:shape id="Straight Arrow Connector 203" o:spid="_x0000_s1056" type="#_x0000_t32" style="position:absolute;left:15744;top:55803;width:0;height:6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" strokecolor="black [3213]">
                  <v:stroke endarrow="block"/>
                </v:shape>
                <v:shape id="Straight Arrow Connector 204" o:spid="_x0000_s1057" type="#_x0000_t32" style="position:absolute;left:38601;top:31065;width:232;height:31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" strokecolor="black [3213]">
                  <v:stroke endarrow="block"/>
                </v:shape>
                <v:shape id="Straight Arrow Connector 205" o:spid="_x0000_s1058" type="#_x0000_t32" style="position:absolute;left:48643;top:31062;width:0;height:31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" strokecolor="black [3213]">
                  <v:stroke endarrow="block"/>
                </v:shape>
                <v:shape id="Text Box 206" o:spid="_x0000_s1059" type="#_x0000_t202" style="position:absolute;left:438;top:46483;width:11789;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" fillcolor="white [3201]" strokeweight=".5pt">
                  <v:textbox>
                    <w:txbxContent>
                      <w:p w14:paraId="272D7510" w14:textId="77777777" w:rsidR="00C962A9" w:rsidRDefault="00C962A9" w:rsidP="009B70A9">
                        <w:r>
                          <w:t>Eligibility testing (i.e. TOE)</w:t>
                        </w:r>
                      </w:p>
                    </w:txbxContent>
                  </v:textbox>
                </v:shape>
                <v:shape id="Elbow Connector 207" o:spid="_x0000_s1060" type="#_x0000_t34" style="position:absolute;left:6291;top:44218;width:2303;height:22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" strokecolor="black [3213]">
                  <v:stroke endarrow="block"/>
                </v:shape>
                <v:shape id="Straight Arrow Connector 208" o:spid="_x0000_s1061" type="#_x0000_t32" style="position:absolute;left:6333;top:51665;width:94;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" strokecolor="black [3213]">
                  <v:stroke endarrow="block"/>
                </v:shape>
                <v:shape id="Text Box 10" o:spid="_x0000_s1062" type="#_x0000_t202" style="position:absolute;left:18475;top:28348;width:16862;height:1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" fillcolor="white [3201]" strokeweight=".5pt">
                  <v:textbox>
                    <w:txbxContent>
                      <w:p w14:paraId="15F0B9FC" w14:textId="77777777" w:rsidR="00C962A9" w:rsidRPr="00F37CC7" w:rsidRDefault="00C962A9" w:rsidP="009B70A9">
                        <w:pPr>
                          <w:pStyle w:val="NormalWeb"/>
                          <w:spacing w:before="0" w:beforeAutospacing="0" w:after="0" w:afterAutospacing="0"/>
                          <w:rPr>
                            <w:sz w:val="18"/>
                            <w:szCs w:val="18"/>
                          </w:rPr>
                        </w:pPr>
                        <w:r>
                          <w:rPr>
                            <w:rFonts w:ascii="Calibri" w:eastAsia="Calibri" w:hAnsi="Calibri"/>
                            <w:sz w:val="18"/>
                            <w:szCs w:val="18"/>
                          </w:rPr>
                          <w:t>Other r</w:t>
                        </w:r>
                        <w:r w:rsidRPr="00F37CC7">
                          <w:rPr>
                            <w:rFonts w:ascii="Calibri" w:eastAsia="Calibri" w:hAnsi="Calibri"/>
                            <w:sz w:val="18"/>
                            <w:szCs w:val="18"/>
                          </w:rPr>
                          <w:t xml:space="preserve">elative </w:t>
                        </w:r>
                        <w:r>
                          <w:rPr>
                            <w:rFonts w:ascii="Calibri" w:eastAsia="Calibri" w:hAnsi="Calibri"/>
                            <w:sz w:val="18"/>
                            <w:szCs w:val="18"/>
                          </w:rPr>
                          <w:t>contraindications:</w:t>
                        </w:r>
                      </w:p>
                      <w:p w14:paraId="4F1BC3D9"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previous major bleeding complication</w:t>
                        </w:r>
                      </w:p>
                      <w:p w14:paraId="77354AB9"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bleeding diathesis</w:t>
                        </w:r>
                      </w:p>
                      <w:p w14:paraId="528094D1"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anaemia</w:t>
                        </w:r>
                      </w:p>
                      <w:p w14:paraId="29D9E846"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prior gastrointestinal bleed</w:t>
                        </w:r>
                      </w:p>
                      <w:p w14:paraId="27B090CF"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thrombocytopenia</w:t>
                        </w:r>
                      </w:p>
                      <w:p w14:paraId="3BB024B3"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haematological malignancy</w:t>
                        </w:r>
                      </w:p>
                      <w:p w14:paraId="6F7CB626" w14:textId="77777777" w:rsidR="00C962A9" w:rsidRPr="00F37CC7" w:rsidRDefault="00C962A9" w:rsidP="00BB142F">
                        <w:pPr>
                          <w:pStyle w:val="NormalWeb"/>
                          <w:numPr>
                            <w:ilvl w:val="0"/>
                            <w:numId w:val="17"/>
                          </w:numPr>
                          <w:spacing w:before="0" w:beforeAutospacing="0" w:after="0" w:afterAutospacing="0"/>
                          <w:ind w:left="142" w:hanging="142"/>
                          <w:rPr>
                            <w:rFonts w:ascii="Calibri" w:eastAsia="Calibri" w:hAnsi="Calibri"/>
                            <w:sz w:val="18"/>
                            <w:szCs w:val="18"/>
                          </w:rPr>
                        </w:pPr>
                        <w:r w:rsidRPr="00F37CC7">
                          <w:rPr>
                            <w:rFonts w:ascii="Calibri" w:eastAsia="Calibri" w:hAnsi="Calibri"/>
                            <w:sz w:val="18"/>
                            <w:szCs w:val="18"/>
                          </w:rPr>
                          <w:t>traumatic intracranial haemorrhage</w:t>
                        </w:r>
                      </w:p>
                      <w:p w14:paraId="1E64C8D1" w14:textId="77777777" w:rsidR="00C962A9" w:rsidRPr="00F37CC7" w:rsidRDefault="00C962A9" w:rsidP="00BB142F">
                        <w:pPr>
                          <w:pStyle w:val="NormalWeb"/>
                          <w:numPr>
                            <w:ilvl w:val="0"/>
                            <w:numId w:val="17"/>
                          </w:numPr>
                          <w:spacing w:before="0" w:beforeAutospacing="0" w:after="0" w:afterAutospacing="0"/>
                          <w:ind w:left="142" w:hanging="142"/>
                          <w:rPr>
                            <w:sz w:val="18"/>
                            <w:szCs w:val="18"/>
                          </w:rPr>
                        </w:pPr>
                        <w:r w:rsidRPr="00F37CC7">
                          <w:rPr>
                            <w:rFonts w:ascii="Calibri" w:eastAsia="Calibri" w:hAnsi="Calibri"/>
                            <w:sz w:val="18"/>
                            <w:szCs w:val="18"/>
                          </w:rPr>
                          <w:t>hypersensitivity to Australian-registered therapies</w:t>
                        </w:r>
                        <w:r w:rsidRPr="00F37CC7">
                          <w:rPr>
                            <w:rFonts w:eastAsia="Times New Roman"/>
                            <w:sz w:val="18"/>
                            <w:szCs w:val="18"/>
                          </w:rPr>
                          <w:t> </w:t>
                        </w:r>
                      </w:p>
                    </w:txbxContent>
                  </v:textbox>
                </v:shape>
                <v:shape id="Text Box 210" o:spid="_x0000_s1063" type="#_x0000_t202" style="position:absolute;left:438;top:28351;width:16868;height:1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" fillcolor="white [3201]" strokeweight=".5pt">
                  <v:textbox>
                    <w:txbxContent>
                      <w:p w14:paraId="1B78BAE4" w14:textId="77777777" w:rsidR="00C962A9" w:rsidRDefault="00C962A9" w:rsidP="009B70A9">
                        <w:pPr>
                          <w:spacing w:after="0" w:line="240" w:lineRule="auto"/>
                          <w:rPr>
                            <w:sz w:val="18"/>
                            <w:szCs w:val="18"/>
                          </w:rPr>
                        </w:pPr>
                        <w:r>
                          <w:rPr>
                            <w:sz w:val="18"/>
                            <w:szCs w:val="18"/>
                          </w:rPr>
                          <w:t>Absolute contraindications:</w:t>
                        </w:r>
                      </w:p>
                      <w:p w14:paraId="01A682D1"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previous major bleeding complication experienced whilst undergoing treatment with oral anticoagulation therapy</w:t>
                        </w:r>
                      </w:p>
                      <w:p w14:paraId="6BF53210"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blood dyscrasia</w:t>
                        </w:r>
                      </w:p>
                      <w:p w14:paraId="388E7B1D" w14:textId="77777777" w:rsidR="00C962A9" w:rsidRPr="00F37CC7" w:rsidRDefault="00C962A9" w:rsidP="00BB142F">
                        <w:pPr>
                          <w:pStyle w:val="ListParagraph"/>
                          <w:numPr>
                            <w:ilvl w:val="0"/>
                            <w:numId w:val="18"/>
                          </w:numPr>
                          <w:spacing w:after="0" w:line="240" w:lineRule="auto"/>
                          <w:ind w:left="142" w:hanging="142"/>
                          <w:rPr>
                            <w:sz w:val="18"/>
                            <w:szCs w:val="18"/>
                          </w:rPr>
                        </w:pPr>
                        <w:r w:rsidRPr="00F37CC7">
                          <w:rPr>
                            <w:sz w:val="18"/>
                            <w:szCs w:val="18"/>
                          </w:rPr>
                          <w:t>vascular abnormality predisposing to potentially life-threatening haemorrhage</w:t>
                        </w:r>
                      </w:p>
                      <w:p w14:paraId="4D15CABF" w14:textId="77777777" w:rsidR="00C962A9" w:rsidRPr="00F37CC7" w:rsidRDefault="00C962A9" w:rsidP="009B70A9">
                        <w:pPr>
                          <w:rPr>
                            <w:sz w:val="18"/>
                            <w:szCs w:val="18"/>
                          </w:rPr>
                        </w:pPr>
                      </w:p>
                    </w:txbxContent>
                  </v:textbox>
                </v:shape>
                <v:shape id="Elbow Connector 211" o:spid="_x0000_s1064" type="#_x0000_t34" style="position:absolute;left:13061;top:23480;width:3226;height:64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" adj="10751" strokecolor="black [3213]">
                  <v:stroke endarrow="block"/>
                </v:shape>
                <v:shape id="Elbow Connector 212" o:spid="_x0000_s1065" type="#_x0000_t34" style="position:absolute;left:18078;top:24894;width:3226;height:36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" strokecolor="black [3213]">
                  <v:stroke endarrow="block"/>
                </v:shape>
                <v:shape id="Elbow Connector 213" o:spid="_x0000_s1066" type="#_x0000_t34" style="position:absolute;left:27370;top:48070;width:5201;height:4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" adj="6385" strokecolor="black [3213]">
                  <v:stroke endarrow="block"/>
                </v:shape>
                <v:shape id="Elbow Connector 214" o:spid="_x0000_s1067" type="#_x0000_t34" style="position:absolute;left:22784;top:48215;width:5092;height:43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" adj="7192" strokecolor="black [3213]">
                  <v:stroke endarrow="block"/>
                </v:shape>
                <v:shape id="Text Box 12" o:spid="_x0000_s1068" type="#_x0000_t202" style="position:absolute;left:19735;top:53041;width:685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14:paraId="580FD89A" w14:textId="07310C1A"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DOACs</w:t>
                        </w:r>
                      </w:p>
                    </w:txbxContent>
                  </v:textbox>
                </v:shape>
                <v:shape id="Text Box 12" o:spid="_x0000_s1069" type="#_x0000_t202" style="position:absolute;left:28250;top:53146;width:83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" fillcolor="white [3201]" strokeweight=".5pt">
                  <v:textbox>
                    <w:txbxContent>
                      <w:p w14:paraId="72F57644"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Warfarin</w:t>
                        </w:r>
                      </w:p>
                    </w:txbxContent>
                  </v:textbox>
                </v:shape>
                <v:shape id="Straight Arrow Connector 217" o:spid="_x0000_s1070" type="#_x0000_t32" style="position:absolute;left:23161;top:55797;width:0;height:6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" strokecolor="black [3213]">
                  <v:stroke endarrow="block"/>
                </v:shape>
                <v:shape id="Straight Arrow Connector 218" o:spid="_x0000_s1071" type="#_x0000_t32" style="position:absolute;left:32441;top:55902;width:0;height:6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" strokecolor="black [3213]">
                  <v:stroke endarrow="block"/>
                </v:shape>
                <v:shape id="Elbow Connector 219" o:spid="_x0000_s1072" type="#_x0000_t34" style="position:absolute;left:16668;top:49530;width:6493;height:349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" adj="21412" strokecolor="black [3213]">
                  <v:stroke endarrow="block"/>
                </v:shape>
                <w10:anchorlock/>
              </v:group>
            </w:pict>
          </mc:Fallback>
        </mc:AlternateContent>
      </w:r>
    </w:p>
    <w:p w14:paraId="604E646B" w14:textId="2E69120B" w:rsidR="00BC120F" w:rsidRDefault="00AE0B87" w:rsidP="00AE0B87">
      <w:pPr>
        <w:pStyle w:val="Caption"/>
      </w:pPr>
      <w:r>
        <w:t xml:space="preserve">Figure </w:t>
      </w:r>
      <w:r>
        <w:fldChar w:fldCharType="begin"/>
      </w:r>
      <w:r>
        <w:instrText xml:space="preserve"> SEQ Figure \* ARABIC </w:instrText>
      </w:r>
      <w:r>
        <w:fldChar w:fldCharType="separate"/>
      </w:r>
      <w:r>
        <w:rPr>
          <w:noProof/>
        </w:rPr>
        <w:t>4</w:t>
      </w:r>
      <w:r>
        <w:fldChar w:fldCharType="end"/>
      </w:r>
      <w:bookmarkEnd w:id="18"/>
      <w:r>
        <w:tab/>
      </w:r>
      <w:r w:rsidR="00BC120F">
        <w:t xml:space="preserve">Current management pathway </w:t>
      </w:r>
    </w:p>
    <w:p w14:paraId="3A6F3C1B" w14:textId="6DC043D4" w:rsidR="00BC120F" w:rsidRDefault="00BC120F" w:rsidP="00BA3D89">
      <w:pPr>
        <w:pStyle w:val="TableNote"/>
      </w:pPr>
      <w:r>
        <w:t>LAAC=</w:t>
      </w:r>
      <w:r w:rsidR="008711CC">
        <w:t>left atrial appendage closure; D</w:t>
      </w:r>
      <w:r>
        <w:t>OACs=</w:t>
      </w:r>
      <w:r w:rsidR="008711CC">
        <w:t>direct</w:t>
      </w:r>
      <w:r w:rsidRPr="00E253AB">
        <w:t xml:space="preserve"> oral anticoagulants</w:t>
      </w:r>
      <w:r w:rsidR="00BF1B2B">
        <w:t xml:space="preserve">; </w:t>
      </w:r>
      <w:r w:rsidR="000F3E4F">
        <w:t xml:space="preserve">NVAF=non-valvular atrial fibrillation; </w:t>
      </w:r>
      <w:r w:rsidR="00BF1B2B">
        <w:t>OAT=oral anticoagulant therapy; SoC=Standard of Care</w:t>
      </w:r>
      <w:r w:rsidR="000F3E4F">
        <w:t>; TOE=</w:t>
      </w:r>
      <w:r w:rsidR="000F3E4F" w:rsidRPr="000F3E4F">
        <w:t>transoesophageal echocardiogram</w:t>
      </w:r>
      <w:r>
        <w:t xml:space="preserve">. </w:t>
      </w:r>
    </w:p>
    <w:p w14:paraId="47C5C81A" w14:textId="3FF16120" w:rsidR="00BC120F" w:rsidRPr="00303AAD" w:rsidRDefault="00BC120F" w:rsidP="00A6420B">
      <w:pPr>
        <w:spacing w:after="0"/>
        <w:rPr>
          <w:sz w:val="16"/>
          <w:szCs w:val="16"/>
        </w:rPr>
      </w:pPr>
    </w:p>
    <w:p w14:paraId="06499CBF" w14:textId="77777777" w:rsidR="00BC120F" w:rsidRPr="00A6420B" w:rsidRDefault="00BC120F" w:rsidP="00E77853">
      <w:pPr>
        <w:spacing w:after="80"/>
        <w:rPr>
          <w:b/>
          <w:bCs/>
          <w:iCs/>
          <w:color w:val="00B0F0"/>
          <w:sz w:val="24"/>
          <w:szCs w:val="24"/>
          <w:u w:val="single"/>
        </w:rPr>
      </w:pPr>
      <w:r w:rsidRPr="00A6420B">
        <w:rPr>
          <w:b/>
          <w:bCs/>
          <w:iCs/>
          <w:color w:val="00B0F0"/>
          <w:sz w:val="24"/>
          <w:szCs w:val="24"/>
          <w:u w:val="single"/>
        </w:rPr>
        <w:t>INR monitoring</w:t>
      </w:r>
    </w:p>
    <w:p w14:paraId="77FD96B9" w14:textId="77777777" w:rsidR="002923C8" w:rsidRDefault="00BC120F" w:rsidP="00BC120F">
      <w:pPr>
        <w:spacing w:after="0"/>
      </w:pPr>
      <w:r w:rsidRPr="00BC120F">
        <w:t>Given the narrow therapeutic window of warfarin, regular monitoring of INR is required to ensure adequate anticoagulation</w:t>
      </w:r>
      <w:r w:rsidR="002923C8">
        <w:t>,</w:t>
      </w:r>
      <w:r w:rsidRPr="00BC120F">
        <w:t xml:space="preserve"> whilst minimising the </w:t>
      </w:r>
      <w:r w:rsidR="002923C8">
        <w:t xml:space="preserve">risk of bleeding. According to </w:t>
      </w:r>
      <w:r w:rsidRPr="00BC120F">
        <w:t>warfarin product information (PI) (Coumadin), the</w:t>
      </w:r>
      <w:r w:rsidR="002923C8">
        <w:t xml:space="preserve"> therapeutic range is</w:t>
      </w:r>
      <w:r w:rsidRPr="00BC120F">
        <w:t xml:space="preserve"> INR 2-3, with bleeding risk increasing significantly with an INR of 4. </w:t>
      </w:r>
    </w:p>
    <w:p w14:paraId="41B94494" w14:textId="77777777" w:rsidR="002923C8" w:rsidRPr="002923C8" w:rsidRDefault="002923C8" w:rsidP="00BC120F">
      <w:pPr>
        <w:spacing w:after="0"/>
        <w:rPr>
          <w:sz w:val="16"/>
          <w:szCs w:val="16"/>
        </w:rPr>
      </w:pPr>
    </w:p>
    <w:p w14:paraId="510EF38D" w14:textId="75867166" w:rsidR="00BC120F" w:rsidRPr="00BC120F" w:rsidRDefault="00BC120F" w:rsidP="00BC120F">
      <w:pPr>
        <w:spacing w:after="0"/>
      </w:pPr>
      <w:r w:rsidRPr="00BC120F">
        <w:t>The bleeding risk of INR 2-3 is 1.3% (De Caterina et al 2007). Thus, regular INR measurement is required for the duration of warfarin therapy. The approaches to monitoring in Australia include:</w:t>
      </w:r>
    </w:p>
    <w:p w14:paraId="5F9FA082" w14:textId="77777777" w:rsidR="00190CAE" w:rsidRDefault="00190CAE">
      <w:r>
        <w:br w:type="page"/>
      </w:r>
    </w:p>
    <w:p w14:paraId="45A2407B" w14:textId="3FBD6384" w:rsidR="00BC120F" w:rsidRPr="00BC120F" w:rsidRDefault="002923C8" w:rsidP="00BB142F">
      <w:pPr>
        <w:numPr>
          <w:ilvl w:val="0"/>
          <w:numId w:val="12"/>
        </w:numPr>
        <w:spacing w:after="0"/>
      </w:pPr>
      <w:r>
        <w:lastRenderedPageBreak/>
        <w:t>General practitioner (GP)-</w:t>
      </w:r>
      <w:r w:rsidR="00BC120F" w:rsidRPr="00BC120F">
        <w:t>led management</w:t>
      </w:r>
    </w:p>
    <w:p w14:paraId="7C90782F" w14:textId="4156845D" w:rsidR="00BC120F" w:rsidRPr="00BC120F" w:rsidRDefault="00BC120F" w:rsidP="00BB142F">
      <w:pPr>
        <w:numPr>
          <w:ilvl w:val="0"/>
          <w:numId w:val="12"/>
        </w:numPr>
        <w:spacing w:after="0"/>
      </w:pPr>
      <w:r w:rsidRPr="00BC120F">
        <w:t>Anticoagulation clinic</w:t>
      </w:r>
      <w:r w:rsidR="002923C8">
        <w:t xml:space="preserve"> </w:t>
      </w:r>
    </w:p>
    <w:p w14:paraId="4D5FAA8B" w14:textId="77777777" w:rsidR="00BC120F" w:rsidRPr="00BC120F" w:rsidRDefault="00BC120F" w:rsidP="00BB142F">
      <w:pPr>
        <w:numPr>
          <w:ilvl w:val="0"/>
          <w:numId w:val="12"/>
        </w:numPr>
        <w:spacing w:after="0"/>
      </w:pPr>
      <w:r w:rsidRPr="00BC120F">
        <w:t>Pathology service-led care (using validated computerised dosing algorithms)</w:t>
      </w:r>
    </w:p>
    <w:p w14:paraId="6A1E7FEB" w14:textId="20612141" w:rsidR="00BC120F" w:rsidRPr="00BC120F" w:rsidRDefault="00BC120F" w:rsidP="00BB142F">
      <w:pPr>
        <w:numPr>
          <w:ilvl w:val="0"/>
          <w:numId w:val="12"/>
        </w:numPr>
      </w:pPr>
      <w:r w:rsidRPr="00BC120F">
        <w:t>Point of care (POC) testing (including patient self-management using coagulometers (</w:t>
      </w:r>
      <w:r w:rsidR="005E656E">
        <w:t xml:space="preserve">Australian </w:t>
      </w:r>
      <w:r w:rsidRPr="00BC120F">
        <w:t>NHF</w:t>
      </w:r>
      <w:r w:rsidR="002923C8">
        <w:t xml:space="preserve"> and </w:t>
      </w:r>
      <w:r w:rsidR="005E656E">
        <w:t xml:space="preserve">CSANZ </w:t>
      </w:r>
      <w:r w:rsidR="002923C8">
        <w:t xml:space="preserve">Guidelines </w:t>
      </w:r>
      <w:r w:rsidRPr="00BC120F">
        <w:t>2018)</w:t>
      </w:r>
      <w:r w:rsidR="002923C8">
        <w:t>.</w:t>
      </w:r>
    </w:p>
    <w:p w14:paraId="2F1E4A04" w14:textId="64FE381A" w:rsidR="00BC120F" w:rsidRPr="00BC120F" w:rsidRDefault="00BC120F" w:rsidP="00BC120F">
      <w:r w:rsidRPr="00BC120F">
        <w:t>When commencing treatment, patients treated with warfarin are recommended to have daily checks of prothrombin time (PT)</w:t>
      </w:r>
      <w:r w:rsidR="002923C8">
        <w:t>,</w:t>
      </w:r>
      <w:r w:rsidRPr="00BC120F">
        <w:t xml:space="preserve"> until the patient is stable and a therapeutic range is reached (Warfarin PI). The PT is used to calculate the INR. Patients maintained on warfarin require continuous monitoring, at an interval of every 1-4 weeks (Warfarin PI). </w:t>
      </w:r>
    </w:p>
    <w:p w14:paraId="380A47A8" w14:textId="66E341F1" w:rsidR="00BC120F" w:rsidRPr="00BC120F" w:rsidRDefault="00BC120F" w:rsidP="00BC120F">
      <w:r w:rsidRPr="00BC120F">
        <w:t>POC devices using finger-prick capi</w:t>
      </w:r>
      <w:r w:rsidR="002923C8">
        <w:t xml:space="preserve">llary blood sampling allows </w:t>
      </w:r>
      <w:r w:rsidRPr="00BC120F">
        <w:t>convenient and efficient INR measurement in the clinical practice setting</w:t>
      </w:r>
      <w:r w:rsidR="002923C8">
        <w:t xml:space="preserve">, as well as </w:t>
      </w:r>
      <w:r w:rsidRPr="00BC120F">
        <w:t xml:space="preserve">self-management in the patient’s home. </w:t>
      </w:r>
    </w:p>
    <w:p w14:paraId="7D6BC774" w14:textId="2D41CA65" w:rsidR="00BC120F" w:rsidRPr="00BC120F" w:rsidRDefault="00BC120F" w:rsidP="00BC120F">
      <w:r w:rsidRPr="00BC120F">
        <w:t>POC devices</w:t>
      </w:r>
      <w:r w:rsidR="002923C8">
        <w:t xml:space="preserve"> (</w:t>
      </w:r>
      <w:r w:rsidRPr="00BC120F">
        <w:t>i</w:t>
      </w:r>
      <w:r w:rsidR="00BA3D89">
        <w:t>.</w:t>
      </w:r>
      <w:r w:rsidRPr="00BC120F">
        <w:t>e</w:t>
      </w:r>
      <w:r w:rsidR="00BA3D89">
        <w:t>.</w:t>
      </w:r>
      <w:r w:rsidRPr="00BC120F">
        <w:t xml:space="preserve"> coagulometers</w:t>
      </w:r>
      <w:r w:rsidR="002923C8">
        <w:t>)</w:t>
      </w:r>
      <w:r w:rsidRPr="00BC120F">
        <w:t xml:space="preserve"> and required consumables</w:t>
      </w:r>
      <w:r w:rsidR="002923C8">
        <w:t xml:space="preserve"> (</w:t>
      </w:r>
      <w:r w:rsidRPr="00BC120F">
        <w:t>e.g. test strips</w:t>
      </w:r>
      <w:r w:rsidR="002923C8">
        <w:t>)</w:t>
      </w:r>
      <w:r w:rsidRPr="00BC120F">
        <w:t xml:space="preserve"> are not reimbursed via</w:t>
      </w:r>
      <w:r w:rsidR="002923C8">
        <w:t xml:space="preserve"> the</w:t>
      </w:r>
      <w:r w:rsidRPr="00BC120F">
        <w:t xml:space="preserve"> MBS</w:t>
      </w:r>
      <w:r w:rsidR="002923C8">
        <w:t xml:space="preserve">, with those costs being borne by the </w:t>
      </w:r>
      <w:r w:rsidRPr="00BC120F">
        <w:t>practice</w:t>
      </w:r>
      <w:r w:rsidR="002923C8">
        <w:t>/clinic</w:t>
      </w:r>
      <w:r w:rsidRPr="00BC120F">
        <w:t xml:space="preserve"> or patient. The healthcare resources required for INR measurement of patien</w:t>
      </w:r>
      <w:r w:rsidR="002923C8">
        <w:t>ts treated with warfarin depend</w:t>
      </w:r>
      <w:r w:rsidRPr="00BC120F">
        <w:t xml:space="preserve"> on the model of care used. There are several coagulometers registered for use in Australia. POC testing is generally most relevant in the on-going monitoring of patients who are stable. </w:t>
      </w:r>
    </w:p>
    <w:p w14:paraId="50A8F9D4" w14:textId="76A4BD8C" w:rsidR="002923C8" w:rsidRDefault="00BC120F" w:rsidP="00BC120F">
      <w:bookmarkStart w:id="19" w:name="_Hlk22303398"/>
      <w:r w:rsidRPr="00BC120F">
        <w:t xml:space="preserve">Costs associated with INR monitoring </w:t>
      </w:r>
      <w:r w:rsidR="004E2307">
        <w:t>(</w:t>
      </w:r>
      <w:r w:rsidRPr="00BC120F">
        <w:t>when</w:t>
      </w:r>
      <w:r w:rsidR="002923C8">
        <w:t xml:space="preserve"> warfarin is prescribed</w:t>
      </w:r>
      <w:r w:rsidR="004E2307">
        <w:t>)</w:t>
      </w:r>
      <w:r w:rsidR="002923C8">
        <w:t xml:space="preserve"> include</w:t>
      </w:r>
      <w:r w:rsidRPr="00BC120F">
        <w:t xml:space="preserve"> pathology collection and testing, and general practitioner consultations </w:t>
      </w:r>
      <w:r w:rsidR="002923C8">
        <w:t>(</w:t>
      </w:r>
      <w:r w:rsidRPr="00BC120F">
        <w:t>reimbursed</w:t>
      </w:r>
      <w:r w:rsidR="002923C8">
        <w:t xml:space="preserve"> through the MBS)</w:t>
      </w:r>
      <w:r w:rsidRPr="00BC120F">
        <w:t xml:space="preserve">. </w:t>
      </w:r>
      <w:r w:rsidR="002923C8">
        <w:t>It is estimated</w:t>
      </w:r>
      <w:r w:rsidRPr="00BC120F">
        <w:t xml:space="preserve"> the annual cost of monitoring INR </w:t>
      </w:r>
      <w:r w:rsidR="002923C8">
        <w:t>(</w:t>
      </w:r>
      <w:r w:rsidRPr="00BC120F">
        <w:t>to ensure</w:t>
      </w:r>
      <w:r w:rsidR="002923C8">
        <w:t xml:space="preserve"> a patient sits in the</w:t>
      </w:r>
      <w:r w:rsidRPr="00BC120F">
        <w:t xml:space="preserve"> th</w:t>
      </w:r>
      <w:r w:rsidR="002923C8">
        <w:t>erapeutic target ra</w:t>
      </w:r>
      <w:r w:rsidRPr="00BC120F">
        <w:t>nge</w:t>
      </w:r>
      <w:r w:rsidR="002923C8">
        <w:t>)</w:t>
      </w:r>
      <w:r w:rsidRPr="00BC120F">
        <w:t xml:space="preserve"> is $445 per patient per year. </w:t>
      </w:r>
    </w:p>
    <w:p w14:paraId="2ACF9BA9" w14:textId="191E7474" w:rsidR="00BC120F" w:rsidRPr="00BC120F" w:rsidRDefault="00BC120F" w:rsidP="00BC120F">
      <w:r w:rsidRPr="00BC120F">
        <w:t xml:space="preserve">Alternatively, POC monitoring by the </w:t>
      </w:r>
      <w:r w:rsidR="002923C8">
        <w:t>patient would mean purchasing</w:t>
      </w:r>
      <w:r w:rsidRPr="00BC120F">
        <w:t xml:space="preserve"> the coagulometer, such as CoaguChek (estimated at $700</w:t>
      </w:r>
      <w:r w:rsidR="002923C8">
        <w:t xml:space="preserve"> per </w:t>
      </w:r>
      <w:r w:rsidRPr="00BC120F">
        <w:t>device)</w:t>
      </w:r>
      <w:r w:rsidR="004E2307">
        <w:t>, together with t</w:t>
      </w:r>
      <w:r w:rsidRPr="00BC120F">
        <w:t>est strips (estimated at $150 per 24 strips)</w:t>
      </w:r>
      <w:r w:rsidR="004E2307">
        <w:t>. D</w:t>
      </w:r>
      <w:r w:rsidRPr="00BC120F">
        <w:t>evices and consumables are not reimbursed</w:t>
      </w:r>
      <w:r w:rsidR="002923C8">
        <w:t xml:space="preserve"> through</w:t>
      </w:r>
      <w:r w:rsidRPr="00BC120F">
        <w:t xml:space="preserve"> the MBS. </w:t>
      </w:r>
    </w:p>
    <w:bookmarkEnd w:id="19"/>
    <w:p w14:paraId="2A18C680" w14:textId="7A5CFFDA" w:rsidR="00896845" w:rsidRPr="004E2307" w:rsidRDefault="00896845" w:rsidP="004847E1">
      <w:pPr>
        <w:pStyle w:val="Heading2"/>
      </w:pPr>
      <w:r w:rsidRPr="004E2307">
        <w:t>Proposed clinical management algorithm</w:t>
      </w:r>
    </w:p>
    <w:p w14:paraId="17FF65D2" w14:textId="65AEBC74" w:rsidR="00BC120F" w:rsidRPr="00BC120F" w:rsidRDefault="00BC120F" w:rsidP="005270BD">
      <w:pPr>
        <w:spacing w:after="0"/>
      </w:pPr>
      <w:r w:rsidRPr="00BC120F">
        <w:t xml:space="preserve">Listing LAAC for the proposed patients </w:t>
      </w:r>
      <w:r w:rsidR="00C10B7D">
        <w:t>(</w:t>
      </w:r>
      <w:r w:rsidRPr="00BC120F">
        <w:t>with relative contraindications to OAT</w:t>
      </w:r>
      <w:r w:rsidR="00C10B7D">
        <w:t>)</w:t>
      </w:r>
      <w:r w:rsidRPr="00BC120F">
        <w:t xml:space="preserve"> provides patients and </w:t>
      </w:r>
      <w:r w:rsidR="00E1534A">
        <w:t>cardiologist</w:t>
      </w:r>
      <w:r w:rsidRPr="00BC120F">
        <w:t>s with a ‘one proce</w:t>
      </w:r>
      <w:r w:rsidR="008711CC">
        <w:t>dure’ treatment alternative to D</w:t>
      </w:r>
      <w:r w:rsidRPr="00BC120F">
        <w:t xml:space="preserve">OACs and warfarin. The main differences </w:t>
      </w:r>
      <w:r w:rsidR="004E2307">
        <w:t>(in terms of health</w:t>
      </w:r>
      <w:r w:rsidRPr="00BC120F">
        <w:t>care resources</w:t>
      </w:r>
      <w:r w:rsidR="004E2307">
        <w:t>)</w:t>
      </w:r>
      <w:r w:rsidR="00C10B7D">
        <w:t xml:space="preserve"> from the point </w:t>
      </w:r>
      <w:r w:rsidRPr="00BC120F">
        <w:t>of service in using LAAC</w:t>
      </w:r>
      <w:r w:rsidR="004E2307">
        <w:t>,</w:t>
      </w:r>
      <w:r w:rsidRPr="00BC120F">
        <w:t xml:space="preserve"> ra</w:t>
      </w:r>
      <w:r w:rsidR="008711CC">
        <w:t>ther than D</w:t>
      </w:r>
      <w:r w:rsidR="004E2307">
        <w:t>OACs and warfarin, are</w:t>
      </w:r>
      <w:r w:rsidRPr="00BC120F">
        <w:t xml:space="preserve"> illustrated in </w:t>
      </w:r>
      <w:r w:rsidRPr="00BC120F">
        <w:fldChar w:fldCharType="begin"/>
      </w:r>
      <w:r w:rsidRPr="00BC120F">
        <w:instrText xml:space="preserve"> REF _Ref23164752 \h </w:instrText>
      </w:r>
      <w:r w:rsidRPr="00BC120F">
        <w:fldChar w:fldCharType="separate"/>
      </w:r>
      <w:r w:rsidRPr="00BC120F">
        <w:t xml:space="preserve">Figure </w:t>
      </w:r>
      <w:r>
        <w:t>5</w:t>
      </w:r>
      <w:r w:rsidRPr="00BC120F">
        <w:fldChar w:fldCharType="end"/>
      </w:r>
      <w:r w:rsidR="004E2307">
        <w:t xml:space="preserve"> and </w:t>
      </w:r>
      <w:r w:rsidRPr="00BC120F">
        <w:t>include:</w:t>
      </w:r>
    </w:p>
    <w:p w14:paraId="3BF1DD5D" w14:textId="093143B3" w:rsidR="00BC120F" w:rsidRPr="00BC120F" w:rsidRDefault="00BC120F" w:rsidP="00BB142F">
      <w:pPr>
        <w:numPr>
          <w:ilvl w:val="0"/>
          <w:numId w:val="13"/>
        </w:numPr>
        <w:spacing w:after="0"/>
        <w:rPr>
          <w:bCs/>
        </w:rPr>
      </w:pPr>
      <w:r w:rsidRPr="00BC120F">
        <w:rPr>
          <w:bCs/>
        </w:rPr>
        <w:t xml:space="preserve">Monitoring of adherence is not required. </w:t>
      </w:r>
      <w:r w:rsidR="008711CC">
        <w:rPr>
          <w:bCs/>
        </w:rPr>
        <w:t>D</w:t>
      </w:r>
      <w:r w:rsidR="00C10B7D">
        <w:rPr>
          <w:bCs/>
        </w:rPr>
        <w:t>OACs and warfarin require long-</w:t>
      </w:r>
      <w:r w:rsidRPr="00BC120F">
        <w:rPr>
          <w:bCs/>
        </w:rPr>
        <w:t>term treatment, with effectiveness dependent on adheren</w:t>
      </w:r>
      <w:r w:rsidR="00C10B7D">
        <w:rPr>
          <w:bCs/>
        </w:rPr>
        <w:t>ce. In contrast, LAAC is a once-</w:t>
      </w:r>
      <w:r w:rsidRPr="00BC120F">
        <w:rPr>
          <w:bCs/>
        </w:rPr>
        <w:t xml:space="preserve">off procedure, thus effectiveness is not dependent on compliance. </w:t>
      </w:r>
    </w:p>
    <w:p w14:paraId="48C61BD7" w14:textId="68A88D92" w:rsidR="00BC120F" w:rsidRPr="00BC120F" w:rsidRDefault="00BC120F" w:rsidP="00BB142F">
      <w:pPr>
        <w:numPr>
          <w:ilvl w:val="0"/>
          <w:numId w:val="13"/>
        </w:numPr>
        <w:spacing w:after="0"/>
        <w:rPr>
          <w:bCs/>
        </w:rPr>
      </w:pPr>
      <w:r w:rsidRPr="00BC120F">
        <w:rPr>
          <w:bCs/>
        </w:rPr>
        <w:t>Monitoring of INR is not required. Regular, ongoing INR monitoring is relevant to all patients prescribed warfarin</w:t>
      </w:r>
      <w:r w:rsidR="00C10B7D">
        <w:rPr>
          <w:bCs/>
        </w:rPr>
        <w:t>,</w:t>
      </w:r>
      <w:r w:rsidRPr="00BC120F">
        <w:rPr>
          <w:bCs/>
        </w:rPr>
        <w:t xml:space="preserve"> to ensure adequate coagulation whilst balancing the risk of bleeding. Monitoring will continue for as long as the patient is treated with warfarin. </w:t>
      </w:r>
    </w:p>
    <w:p w14:paraId="7326E5E3" w14:textId="0CFC1444" w:rsidR="00BC120F" w:rsidRPr="00BC120F" w:rsidRDefault="00BC120F" w:rsidP="00BB142F">
      <w:pPr>
        <w:numPr>
          <w:ilvl w:val="0"/>
          <w:numId w:val="13"/>
        </w:numPr>
        <w:spacing w:after="0"/>
        <w:rPr>
          <w:bCs/>
        </w:rPr>
      </w:pPr>
      <w:r w:rsidRPr="00BC120F">
        <w:rPr>
          <w:bCs/>
        </w:rPr>
        <w:t>Reduction in major bleeding events and improved survival with LAAC</w:t>
      </w:r>
      <w:r w:rsidR="00C10B7D">
        <w:rPr>
          <w:bCs/>
        </w:rPr>
        <w:t>,</w:t>
      </w:r>
      <w:r w:rsidRPr="00BC120F">
        <w:rPr>
          <w:bCs/>
        </w:rPr>
        <w:t xml:space="preserve"> relative </w:t>
      </w:r>
      <w:r w:rsidR="00C10B7D">
        <w:rPr>
          <w:bCs/>
        </w:rPr>
        <w:t xml:space="preserve">to OAT (Reddy et al 2017), </w:t>
      </w:r>
      <w:r w:rsidRPr="00BC120F">
        <w:rPr>
          <w:bCs/>
        </w:rPr>
        <w:t>providing superior outcomes to patients.</w:t>
      </w:r>
    </w:p>
    <w:p w14:paraId="364E2D0D" w14:textId="031A9D9F" w:rsidR="00BC120F" w:rsidRPr="00BC120F" w:rsidRDefault="00BC120F" w:rsidP="00BB142F">
      <w:pPr>
        <w:numPr>
          <w:ilvl w:val="0"/>
          <w:numId w:val="13"/>
        </w:numPr>
        <w:rPr>
          <w:bCs/>
        </w:rPr>
      </w:pPr>
      <w:r w:rsidRPr="00BC120F">
        <w:rPr>
          <w:bCs/>
        </w:rPr>
        <w:t>Patients undergoing LAAC have the potential of experiencing procedural complications</w:t>
      </w:r>
      <w:r w:rsidR="00C10B7D">
        <w:rPr>
          <w:bCs/>
        </w:rPr>
        <w:t>, such as procedure-</w:t>
      </w:r>
      <w:r w:rsidRPr="00BC120F">
        <w:rPr>
          <w:bCs/>
        </w:rPr>
        <w:t>related cardiac perforation or pericardial tamponade. Howe</w:t>
      </w:r>
      <w:r w:rsidR="00C10B7D">
        <w:rPr>
          <w:bCs/>
        </w:rPr>
        <w:t xml:space="preserve">ver, based on </w:t>
      </w:r>
      <w:r w:rsidRPr="00BC120F">
        <w:rPr>
          <w:bCs/>
        </w:rPr>
        <w:t>key clinical e</w:t>
      </w:r>
      <w:r w:rsidR="00C10B7D">
        <w:rPr>
          <w:bCs/>
        </w:rPr>
        <w:t>vidence, the rates of procedure-</w:t>
      </w:r>
      <w:r w:rsidRPr="00BC120F">
        <w:rPr>
          <w:bCs/>
        </w:rPr>
        <w:t>related events are relatively low.</w:t>
      </w:r>
    </w:p>
    <w:p w14:paraId="3C4DAE78" w14:textId="6E2F2F4E" w:rsidR="000F3E4F" w:rsidRPr="000F3E4F" w:rsidRDefault="000F3E4F" w:rsidP="000F3E4F">
      <w:pPr>
        <w:rPr>
          <w:b/>
          <w:szCs w:val="20"/>
        </w:rPr>
      </w:pPr>
    </w:p>
    <w:p w14:paraId="670EA890" w14:textId="77777777" w:rsidR="009B70A9" w:rsidRDefault="009B70A9" w:rsidP="00AE0B87">
      <w:pPr>
        <w:pStyle w:val="Caption"/>
      </w:pPr>
      <w:bookmarkStart w:id="20" w:name="_Ref23164752"/>
    </w:p>
    <w:p w14:paraId="75ABDEE7" w14:textId="3682392B" w:rsidR="00BC120F" w:rsidRDefault="009B70A9" w:rsidP="00AE0B87">
      <w:pPr>
        <w:pStyle w:val="Caption"/>
        <w:rPr>
          <w:b w:val="0"/>
        </w:rPr>
      </w:pPr>
      <w:r>
        <w:rPr>
          <w:noProof/>
          <w:lang w:val="en-AU" w:eastAsia="en-AU"/>
        </w:rPr>
        <mc:AlternateContent>
          <mc:Choice Requires="wpc">
            <w:drawing>
              <wp:inline distT="0" distB="0" distL="0" distR="0" wp14:anchorId="3CD80196" wp14:editId="784BFEA3">
                <wp:extent cx="5731510" cy="5836920"/>
                <wp:effectExtent l="0" t="0" r="173990" b="0"/>
                <wp:docPr id="47" name="Canvas 47" descr="Flow chart" title="Figure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Text Box 6"/>
                        <wps:cNvSpPr txBox="1"/>
                        <wps:spPr>
                          <a:xfrm>
                            <a:off x="2926023" y="80936"/>
                            <a:ext cx="600501" cy="245660"/>
                          </a:xfrm>
                          <a:prstGeom prst="rect">
                            <a:avLst/>
                          </a:prstGeom>
                          <a:solidFill>
                            <a:schemeClr val="lt1"/>
                          </a:solidFill>
                          <a:ln w="6350">
                            <a:solidFill>
                              <a:prstClr val="black"/>
                            </a:solidFill>
                          </a:ln>
                        </wps:spPr>
                        <wps:txbx>
                          <w:txbxContent>
                            <w:p w14:paraId="570758E5" w14:textId="77777777" w:rsidR="00C962A9" w:rsidRDefault="00C962A9" w:rsidP="009B70A9">
                              <w:pPr>
                                <w:jc w:val="center"/>
                              </w:pPr>
                              <w:r>
                                <w:t>NVAF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2"/>
                        <wps:cNvSpPr txBox="1"/>
                        <wps:spPr>
                          <a:xfrm>
                            <a:off x="2449773" y="547538"/>
                            <a:ext cx="1560252" cy="245110"/>
                          </a:xfrm>
                          <a:prstGeom prst="rect">
                            <a:avLst/>
                          </a:prstGeom>
                          <a:solidFill>
                            <a:schemeClr val="lt1"/>
                          </a:solidFill>
                          <a:ln w="6350">
                            <a:solidFill>
                              <a:prstClr val="black"/>
                            </a:solidFill>
                          </a:ln>
                        </wps:spPr>
                        <wps:txbx>
                          <w:txbxContent>
                            <w:p w14:paraId="65852D9C"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Stroke risk estimation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2"/>
                        <wps:cNvSpPr txBox="1"/>
                        <wps:spPr>
                          <a:xfrm>
                            <a:off x="646725" y="1069517"/>
                            <a:ext cx="1560195" cy="305775"/>
                          </a:xfrm>
                          <a:prstGeom prst="rect">
                            <a:avLst/>
                          </a:prstGeom>
                          <a:solidFill>
                            <a:schemeClr val="lt1"/>
                          </a:solidFill>
                          <a:ln w="6350">
                            <a:solidFill>
                              <a:prstClr val="black"/>
                            </a:solidFill>
                          </a:ln>
                        </wps:spPr>
                        <wps:txbx>
                          <w:txbxContent>
                            <w:p w14:paraId="74E800A7" w14:textId="77777777" w:rsidR="00C962A9" w:rsidRDefault="00C962A9" w:rsidP="009B70A9">
                              <w:pPr>
                                <w:pStyle w:val="NormalWeb"/>
                                <w:spacing w:before="0" w:beforeAutospacing="0" w:after="160" w:afterAutospacing="0" w:line="254" w:lineRule="auto"/>
                                <w:jc w:val="center"/>
                              </w:pPr>
                              <w:r w:rsidRPr="00DE03B0">
                                <w:rPr>
                                  <w:rFonts w:ascii="Calibri" w:eastAsia="Calibri" w:hAnsi="Calibri"/>
                                  <w:sz w:val="22"/>
                                  <w:szCs w:val="22"/>
                                </w:rPr>
                                <w:t>CHA</w:t>
                              </w:r>
                              <w:r w:rsidRPr="00DE03B0">
                                <w:rPr>
                                  <w:rFonts w:ascii="Calibri" w:eastAsia="Calibri" w:hAnsi="Calibri"/>
                                  <w:sz w:val="22"/>
                                  <w:szCs w:val="22"/>
                                  <w:vertAlign w:val="subscript"/>
                                </w:rPr>
                                <w:t>2</w:t>
                              </w:r>
                              <w:r w:rsidRPr="00DE03B0">
                                <w:rPr>
                                  <w:rFonts w:ascii="Calibri" w:eastAsia="Calibri" w:hAnsi="Calibri"/>
                                  <w:sz w:val="22"/>
                                  <w:szCs w:val="22"/>
                                </w:rPr>
                                <w:t>DS</w:t>
                              </w:r>
                              <w:r w:rsidRPr="00DE03B0">
                                <w:rPr>
                                  <w:rFonts w:ascii="Calibri" w:eastAsia="Calibri" w:hAnsi="Calibri"/>
                                  <w:sz w:val="22"/>
                                  <w:szCs w:val="22"/>
                                  <w:vertAlign w:val="subscript"/>
                                </w:rPr>
                                <w:t>2</w:t>
                              </w:r>
                              <w:r w:rsidRPr="00DE03B0">
                                <w:rPr>
                                  <w:rFonts w:ascii="Calibri" w:eastAsia="Calibri" w:hAnsi="Calibri"/>
                                  <w:sz w:val="22"/>
                                  <w:szCs w:val="22"/>
                                </w:rPr>
                                <w:t xml:space="preserve">-VA </w:t>
                              </w:r>
                              <w:r>
                                <w:rPr>
                                  <w:rFonts w:ascii="Calibri" w:eastAsia="Calibri" w:hAnsi="Calibri"/>
                                  <w:sz w:val="22"/>
                                  <w:szCs w:val="22"/>
                                </w:rPr>
                                <w:t>score = 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2449773" y="1069517"/>
                            <a:ext cx="1560195" cy="315300"/>
                          </a:xfrm>
                          <a:prstGeom prst="rect">
                            <a:avLst/>
                          </a:prstGeom>
                          <a:solidFill>
                            <a:schemeClr val="lt1"/>
                          </a:solidFill>
                          <a:ln w="6350">
                            <a:solidFill>
                              <a:prstClr val="black"/>
                            </a:solidFill>
                          </a:ln>
                        </wps:spPr>
                        <wps:txbx>
                          <w:txbxContent>
                            <w:p w14:paraId="2D6C7D62"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-VA score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2"/>
                        <wps:cNvSpPr txBox="1"/>
                        <wps:spPr>
                          <a:xfrm>
                            <a:off x="4199550" y="1069516"/>
                            <a:ext cx="1560195" cy="324825"/>
                          </a:xfrm>
                          <a:prstGeom prst="rect">
                            <a:avLst/>
                          </a:prstGeom>
                          <a:solidFill>
                            <a:schemeClr val="lt1"/>
                          </a:solidFill>
                          <a:ln w="6350">
                            <a:solidFill>
                              <a:prstClr val="black"/>
                            </a:solidFill>
                          </a:ln>
                        </wps:spPr>
                        <wps:txbx>
                          <w:txbxContent>
                            <w:p w14:paraId="0DD7E2A7"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 xml:space="preserve">-VA score </w:t>
                              </w:r>
                              <w:r w:rsidRPr="00DE03B0">
                                <w:rPr>
                                  <w:rFonts w:ascii="Calibri" w:eastAsia="Calibri" w:hAnsi="Calibri"/>
                                  <w:sz w:val="22"/>
                                  <w:szCs w:val="22"/>
                                </w:rPr>
                                <w:t>≥ 2</w:t>
                              </w:r>
                              <w:r>
                                <w:rPr>
                                  <w:rFonts w:ascii="Calibri" w:eastAsia="Calibri" w:hAnsi="Calibri"/>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714375" y="1581667"/>
                            <a:ext cx="1428750" cy="295275"/>
                          </a:xfrm>
                          <a:prstGeom prst="rect">
                            <a:avLst/>
                          </a:prstGeom>
                          <a:solidFill>
                            <a:schemeClr val="lt1"/>
                          </a:solidFill>
                          <a:ln w="6350">
                            <a:solidFill>
                              <a:prstClr val="black"/>
                            </a:solidFill>
                          </a:ln>
                        </wps:spPr>
                        <wps:txbx>
                          <w:txbxContent>
                            <w:p w14:paraId="6EF14A4B" w14:textId="77777777" w:rsidR="00C962A9" w:rsidRDefault="00C962A9" w:rsidP="009B70A9">
                              <w:pPr>
                                <w:jc w:val="center"/>
                              </w:pPr>
                              <w:r>
                                <w:t>Re-evaluate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7"/>
                        <wps:cNvSpPr txBox="1"/>
                        <wps:spPr>
                          <a:xfrm>
                            <a:off x="2516800" y="1581667"/>
                            <a:ext cx="1428750" cy="285750"/>
                          </a:xfrm>
                          <a:prstGeom prst="rect">
                            <a:avLst/>
                          </a:prstGeom>
                          <a:solidFill>
                            <a:schemeClr val="lt1"/>
                          </a:solidFill>
                          <a:ln w="6350">
                            <a:solidFill>
                              <a:prstClr val="black"/>
                            </a:solidFill>
                          </a:ln>
                        </wps:spPr>
                        <wps:txbx>
                          <w:txbxContent>
                            <w:p w14:paraId="7ED90A13"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Consider OAT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7"/>
                        <wps:cNvSpPr txBox="1"/>
                        <wps:spPr>
                          <a:xfrm>
                            <a:off x="4265590" y="1581667"/>
                            <a:ext cx="1428750" cy="285750"/>
                          </a:xfrm>
                          <a:prstGeom prst="rect">
                            <a:avLst/>
                          </a:prstGeom>
                          <a:solidFill>
                            <a:schemeClr val="lt1"/>
                          </a:solidFill>
                          <a:ln w="6350">
                            <a:solidFill>
                              <a:prstClr val="black"/>
                            </a:solidFill>
                          </a:ln>
                        </wps:spPr>
                        <wps:txbx>
                          <w:txbxContent>
                            <w:p w14:paraId="1207CCD6"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OAT recommended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308475" y="2217626"/>
                            <a:ext cx="1342050" cy="314325"/>
                          </a:xfrm>
                          <a:prstGeom prst="rect">
                            <a:avLst/>
                          </a:prstGeom>
                          <a:solidFill>
                            <a:schemeClr val="lt1"/>
                          </a:solidFill>
                          <a:ln w="6350">
                            <a:solidFill>
                              <a:prstClr val="black"/>
                            </a:solidFill>
                          </a:ln>
                        </wps:spPr>
                        <wps:txbx>
                          <w:txbxContent>
                            <w:p w14:paraId="3DE48C6C" w14:textId="77777777" w:rsidR="00C962A9" w:rsidRDefault="00C962A9" w:rsidP="009B70A9">
                              <w:pPr>
                                <w:jc w:val="center"/>
                              </w:pPr>
                              <w:r>
                                <w:t>No contraindication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0"/>
                        <wps:cNvSpPr txBox="1"/>
                        <wps:spPr>
                          <a:xfrm>
                            <a:off x="579966" y="2206709"/>
                            <a:ext cx="3370665" cy="1860701"/>
                          </a:xfrm>
                          <a:prstGeom prst="rect">
                            <a:avLst/>
                          </a:prstGeom>
                          <a:solidFill>
                            <a:schemeClr val="accent1">
                              <a:lumMod val="60000"/>
                              <a:lumOff val="40000"/>
                            </a:schemeClr>
                          </a:solidFill>
                          <a:ln w="6350">
                            <a:solidFill>
                              <a:prstClr val="black"/>
                            </a:solidFill>
                          </a:ln>
                        </wps:spPr>
                        <wps:txbx>
                          <w:txbxContent>
                            <w:p w14:paraId="08EE5C0A" w14:textId="77777777" w:rsidR="00C962A9" w:rsidRDefault="00C962A9" w:rsidP="009B70A9">
                              <w:pPr>
                                <w:pStyle w:val="NormalWeb"/>
                                <w:spacing w:before="0" w:beforeAutospacing="0" w:after="0" w:afterAutospacing="0" w:line="256" w:lineRule="auto"/>
                                <w:rPr>
                                  <w:rFonts w:ascii="Calibri" w:eastAsia="Calibri" w:hAnsi="Calibri"/>
                                  <w:sz w:val="22"/>
                                  <w:szCs w:val="22"/>
                                </w:rPr>
                              </w:pPr>
                              <w:r>
                                <w:rPr>
                                  <w:rFonts w:ascii="Calibri" w:eastAsia="Calibri" w:hAnsi="Calibri"/>
                                  <w:sz w:val="22"/>
                                  <w:szCs w:val="22"/>
                                </w:rPr>
                                <w:t>Relative Contraindication to lifelong OAT:</w:t>
                              </w:r>
                            </w:p>
                            <w:p w14:paraId="3B4D9D3C"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previous major bleeding complication</w:t>
                              </w:r>
                            </w:p>
                            <w:p w14:paraId="2B95EA14"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bleeding diathesis</w:t>
                              </w:r>
                            </w:p>
                            <w:p w14:paraId="3141CE98"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blood dyscrasia</w:t>
                              </w:r>
                            </w:p>
                            <w:p w14:paraId="449F6214"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vascular abnormality predisposing to potentially life-threatening haemorrhage</w:t>
                              </w:r>
                            </w:p>
                            <w:p w14:paraId="31827055"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anaemia</w:t>
                              </w:r>
                            </w:p>
                            <w:p w14:paraId="741C4943"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prior gastrointestinal bleed</w:t>
                              </w:r>
                            </w:p>
                            <w:p w14:paraId="7C338E1D"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thrombocytopenia</w:t>
                              </w:r>
                            </w:p>
                            <w:p w14:paraId="60DFFBA0"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haematological malignancy</w:t>
                              </w:r>
                            </w:p>
                            <w:p w14:paraId="0BC5042B"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traumatic intracranial haemorrhage</w:t>
                              </w:r>
                            </w:p>
                            <w:p w14:paraId="203D8D56"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hypersensitivity to Australian-registered therapies</w:t>
                              </w:r>
                            </w:p>
                            <w:p w14:paraId="7463DA0E" w14:textId="77777777" w:rsidR="00C962A9" w:rsidRDefault="00C962A9" w:rsidP="009B70A9">
                              <w:pPr>
                                <w:pStyle w:val="NormalWeb"/>
                                <w:spacing w:before="0" w:beforeAutospacing="0" w:after="160" w:afterAutospacing="0" w:line="25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79966" y="4948266"/>
                            <a:ext cx="868785" cy="276225"/>
                          </a:xfrm>
                          <a:prstGeom prst="rect">
                            <a:avLst/>
                          </a:prstGeom>
                          <a:solidFill>
                            <a:srgbClr val="92D050"/>
                          </a:solidFill>
                          <a:ln w="6350">
                            <a:solidFill>
                              <a:prstClr val="black"/>
                            </a:solidFill>
                          </a:ln>
                        </wps:spPr>
                        <wps:txbx>
                          <w:txbxContent>
                            <w:p w14:paraId="6CCA9140" w14:textId="77777777" w:rsidR="00C962A9" w:rsidRDefault="00C962A9" w:rsidP="009B70A9">
                              <w:pPr>
                                <w:jc w:val="center"/>
                              </w:pPr>
                              <w:r>
                                <w:t>LAAC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2"/>
                        <wps:cNvSpPr txBox="1"/>
                        <wps:spPr>
                          <a:xfrm>
                            <a:off x="3410893" y="4329856"/>
                            <a:ext cx="556600" cy="276225"/>
                          </a:xfrm>
                          <a:prstGeom prst="rect">
                            <a:avLst/>
                          </a:prstGeom>
                          <a:solidFill>
                            <a:schemeClr val="lt1"/>
                          </a:solidFill>
                          <a:ln w="6350">
                            <a:solidFill>
                              <a:prstClr val="black"/>
                            </a:solidFill>
                          </a:ln>
                        </wps:spPr>
                        <wps:txbx>
                          <w:txbxContent>
                            <w:p w14:paraId="741804FC"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SoC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12"/>
                        <wps:cNvSpPr txBox="1"/>
                        <wps:spPr>
                          <a:xfrm>
                            <a:off x="4050665" y="2876092"/>
                            <a:ext cx="838200" cy="276225"/>
                          </a:xfrm>
                          <a:prstGeom prst="rect">
                            <a:avLst/>
                          </a:prstGeom>
                          <a:solidFill>
                            <a:schemeClr val="lt1"/>
                          </a:solidFill>
                          <a:ln w="6350">
                            <a:solidFill>
                              <a:prstClr val="black"/>
                            </a:solidFill>
                          </a:ln>
                        </wps:spPr>
                        <wps:txbx>
                          <w:txbxContent>
                            <w:p w14:paraId="62AC3A75" w14:textId="14845E9C"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DOACs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12"/>
                        <wps:cNvSpPr txBox="1"/>
                        <wps:spPr>
                          <a:xfrm>
                            <a:off x="5054895" y="2876092"/>
                            <a:ext cx="838200" cy="276225"/>
                          </a:xfrm>
                          <a:prstGeom prst="rect">
                            <a:avLst/>
                          </a:prstGeom>
                          <a:solidFill>
                            <a:schemeClr val="lt1"/>
                          </a:solidFill>
                          <a:ln w="6350">
                            <a:solidFill>
                              <a:prstClr val="black"/>
                            </a:solidFill>
                          </a:ln>
                        </wps:spPr>
                        <wps:txbx>
                          <w:txbxContent>
                            <w:p w14:paraId="62EE09C3"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Warfarin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51498" y="5445425"/>
                            <a:ext cx="5180012" cy="276225"/>
                          </a:xfrm>
                          <a:prstGeom prst="rect">
                            <a:avLst/>
                          </a:prstGeom>
                          <a:solidFill>
                            <a:schemeClr val="lt1"/>
                          </a:solidFill>
                          <a:ln w="6350">
                            <a:solidFill>
                              <a:prstClr val="black"/>
                            </a:solidFill>
                          </a:ln>
                        </wps:spPr>
                        <wps:txbx>
                          <w:txbxContent>
                            <w:p w14:paraId="5A184F33" w14:textId="77777777" w:rsidR="00C962A9" w:rsidRDefault="00C962A9" w:rsidP="009B70A9">
                              <w:pPr>
                                <w:jc w:val="center"/>
                              </w:pPr>
                              <w: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a:off x="3226274" y="326596"/>
                            <a:ext cx="3625" cy="2209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3229871" y="792648"/>
                            <a:ext cx="28" cy="276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wps:spPr>
                          <a:xfrm rot="5400000">
                            <a:off x="2189927" y="29544"/>
                            <a:ext cx="276869" cy="180307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rot="16200000" flipH="1">
                            <a:off x="3966339" y="56207"/>
                            <a:ext cx="276868" cy="1749749"/>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426823" y="1375292"/>
                            <a:ext cx="1927" cy="206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229871" y="1384817"/>
                            <a:ext cx="1304" cy="196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979648" y="1394341"/>
                            <a:ext cx="317" cy="187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4979500" y="1867417"/>
                            <a:ext cx="465"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Elbow Connector 30"/>
                        <wps:cNvCnPr/>
                        <wps:spPr>
                          <a:xfrm rot="5400000">
                            <a:off x="3452986" y="679730"/>
                            <a:ext cx="339292" cy="271466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Elbow Connector 31"/>
                        <wps:cNvCnPr/>
                        <wps:spPr>
                          <a:xfrm rot="16200000" flipH="1">
                            <a:off x="5054677" y="2456773"/>
                            <a:ext cx="344141" cy="49449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Elbow Connector 32"/>
                        <wps:cNvCnPr/>
                        <wps:spPr>
                          <a:xfrm rot="5400000">
                            <a:off x="4552563" y="2449154"/>
                            <a:ext cx="344141" cy="50973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999067" y="5224588"/>
                            <a:ext cx="0" cy="2208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3689193" y="4605984"/>
                            <a:ext cx="0" cy="8393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469765" y="3152250"/>
                            <a:ext cx="6" cy="2293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a:off x="5473990" y="3152250"/>
                            <a:ext cx="5" cy="2293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 Box 12"/>
                        <wps:cNvSpPr txBox="1"/>
                        <wps:spPr>
                          <a:xfrm>
                            <a:off x="1558408" y="4336269"/>
                            <a:ext cx="838200" cy="275590"/>
                          </a:xfrm>
                          <a:prstGeom prst="rect">
                            <a:avLst/>
                          </a:prstGeom>
                          <a:solidFill>
                            <a:schemeClr val="lt1"/>
                          </a:solidFill>
                          <a:ln w="6350">
                            <a:solidFill>
                              <a:prstClr val="black"/>
                            </a:solidFill>
                          </a:ln>
                        </wps:spPr>
                        <wps:txbx>
                          <w:txbxContent>
                            <w:p w14:paraId="1D6A4C28" w14:textId="04F98903"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DOACs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12"/>
                        <wps:cNvSpPr txBox="1"/>
                        <wps:spPr>
                          <a:xfrm>
                            <a:off x="2497502" y="4329683"/>
                            <a:ext cx="838200" cy="275590"/>
                          </a:xfrm>
                          <a:prstGeom prst="rect">
                            <a:avLst/>
                          </a:prstGeom>
                          <a:solidFill>
                            <a:schemeClr val="lt1"/>
                          </a:solidFill>
                          <a:ln w="6350">
                            <a:solidFill>
                              <a:prstClr val="black"/>
                            </a:solidFill>
                          </a:ln>
                        </wps:spPr>
                        <wps:txbx>
                          <w:txbxContent>
                            <w:p w14:paraId="02647FE5"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Warfarin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Elbow Connector 131"/>
                        <wps:cNvCnPr/>
                        <wps:spPr>
                          <a:xfrm>
                            <a:off x="1970012" y="4198564"/>
                            <a:ext cx="0" cy="131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Elbow Connector 132"/>
                        <wps:cNvCnPr/>
                        <wps:spPr>
                          <a:xfrm>
                            <a:off x="2980271" y="4198304"/>
                            <a:ext cx="0" cy="1313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977508" y="4611762"/>
                            <a:ext cx="0" cy="833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16602" y="4605176"/>
                            <a:ext cx="0" cy="840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Text Box 136"/>
                        <wps:cNvSpPr txBox="1"/>
                        <wps:spPr>
                          <a:xfrm>
                            <a:off x="571500" y="4329859"/>
                            <a:ext cx="877252" cy="497322"/>
                          </a:xfrm>
                          <a:prstGeom prst="rect">
                            <a:avLst/>
                          </a:prstGeom>
                          <a:solidFill>
                            <a:schemeClr val="lt1"/>
                          </a:solidFill>
                          <a:ln w="6350">
                            <a:solidFill>
                              <a:prstClr val="black"/>
                            </a:solidFill>
                          </a:ln>
                        </wps:spPr>
                        <wps:txbx>
                          <w:txbxContent>
                            <w:p w14:paraId="4BA583F7" w14:textId="77777777" w:rsidR="00C962A9" w:rsidRDefault="00C962A9" w:rsidP="009B70A9">
                              <w:pPr>
                                <w:pStyle w:val="NormalWeb"/>
                                <w:spacing w:before="0" w:beforeAutospacing="0" w:after="160" w:afterAutospacing="0" w:line="256" w:lineRule="auto"/>
                              </w:pPr>
                              <w:r>
                                <w:rPr>
                                  <w:rFonts w:ascii="Calibri" w:eastAsia="Calibri" w:hAnsi="Calibri"/>
                                  <w:sz w:val="22"/>
                                  <w:szCs w:val="22"/>
                                </w:rPr>
                                <w:t>Eligibility testing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Elbow Connector 44"/>
                        <wps:cNvCnPr/>
                        <wps:spPr>
                          <a:xfrm rot="5400000">
                            <a:off x="1506489" y="3571048"/>
                            <a:ext cx="262449" cy="1255173"/>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Elbow Connector 45"/>
                        <wps:cNvCnPr/>
                        <wps:spPr>
                          <a:xfrm rot="16200000" flipH="1">
                            <a:off x="2846023" y="3486686"/>
                            <a:ext cx="262446" cy="1423894"/>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Elbow Connector 142"/>
                        <wps:cNvCnPr/>
                        <wps:spPr>
                          <a:xfrm>
                            <a:off x="999493" y="4827181"/>
                            <a:ext cx="4233" cy="121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CD80196" id="Canvas 47" o:spid="_x0000_s1073" editas="canvas" alt="Title: Figure 5 - Description: Flow chart" style="width:451.3pt;height:459.6pt;mso-position-horizontal-relative:char;mso-position-vertical-relative:line" coordsize="57315,5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">
                <v:shape id="_x0000_s1074" type="#_x0000_t75" alt="Flow chart" style="position:absolute;width:57315;height:58369;visibility:visible;mso-wrap-style:square">
                  <v:fill o:detectmouseclick="t"/>
                  <v:path o:connecttype="none"/>
                </v:shape>
                <v:shape id="Text Box 6" o:spid="_x0000_s1075" type="#_x0000_t202" style="position:absolute;left:29260;top:809;width:6005;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570758E5" w14:textId="77777777" w:rsidR="00C962A9" w:rsidRDefault="00C962A9" w:rsidP="009B70A9">
                        <w:pPr>
                          <w:jc w:val="center"/>
                        </w:pPr>
                        <w:r>
                          <w:t>NVAF</w:t>
                        </w:r>
                      </w:p>
                    </w:txbxContent>
                  </v:textbox>
                </v:shape>
                <v:shape id="Text Box 2" o:spid="_x0000_s1076" type="#_x0000_t202" style="position:absolute;left:24497;top:5475;width:1560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65852D9C"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Stroke risk estimation</w:t>
                        </w:r>
                      </w:p>
                    </w:txbxContent>
                  </v:textbox>
                </v:shape>
                <v:shape id="Text Box 2" o:spid="_x0000_s1077" type="#_x0000_t202" style="position:absolute;left:6467;top:10695;width:1560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74E800A7" w14:textId="77777777" w:rsidR="00C962A9" w:rsidRDefault="00C962A9" w:rsidP="009B70A9">
                        <w:pPr>
                          <w:pStyle w:val="NormalWeb"/>
                          <w:spacing w:before="0" w:beforeAutospacing="0" w:after="160" w:afterAutospacing="0" w:line="254" w:lineRule="auto"/>
                          <w:jc w:val="center"/>
                        </w:pPr>
                        <w:r w:rsidRPr="00DE03B0">
                          <w:rPr>
                            <w:rFonts w:ascii="Calibri" w:eastAsia="Calibri" w:hAnsi="Calibri"/>
                            <w:sz w:val="22"/>
                            <w:szCs w:val="22"/>
                          </w:rPr>
                          <w:t>CHA</w:t>
                        </w:r>
                        <w:r w:rsidRPr="00DE03B0">
                          <w:rPr>
                            <w:rFonts w:ascii="Calibri" w:eastAsia="Calibri" w:hAnsi="Calibri"/>
                            <w:sz w:val="22"/>
                            <w:szCs w:val="22"/>
                            <w:vertAlign w:val="subscript"/>
                          </w:rPr>
                          <w:t>2</w:t>
                        </w:r>
                        <w:r w:rsidRPr="00DE03B0">
                          <w:rPr>
                            <w:rFonts w:ascii="Calibri" w:eastAsia="Calibri" w:hAnsi="Calibri"/>
                            <w:sz w:val="22"/>
                            <w:szCs w:val="22"/>
                          </w:rPr>
                          <w:t>DS</w:t>
                        </w:r>
                        <w:r w:rsidRPr="00DE03B0">
                          <w:rPr>
                            <w:rFonts w:ascii="Calibri" w:eastAsia="Calibri" w:hAnsi="Calibri"/>
                            <w:sz w:val="22"/>
                            <w:szCs w:val="22"/>
                            <w:vertAlign w:val="subscript"/>
                          </w:rPr>
                          <w:t>2</w:t>
                        </w:r>
                        <w:r w:rsidRPr="00DE03B0">
                          <w:rPr>
                            <w:rFonts w:ascii="Calibri" w:eastAsia="Calibri" w:hAnsi="Calibri"/>
                            <w:sz w:val="22"/>
                            <w:szCs w:val="22"/>
                          </w:rPr>
                          <w:t xml:space="preserve">-VA </w:t>
                        </w:r>
                        <w:r>
                          <w:rPr>
                            <w:rFonts w:ascii="Calibri" w:eastAsia="Calibri" w:hAnsi="Calibri"/>
                            <w:sz w:val="22"/>
                            <w:szCs w:val="22"/>
                          </w:rPr>
                          <w:t>score = 0</w:t>
                        </w:r>
                      </w:p>
                    </w:txbxContent>
                  </v:textbox>
                </v:shape>
                <v:shape id="Text Box 2" o:spid="_x0000_s1078" type="#_x0000_t202" style="position:absolute;left:24497;top:10695;width:15602;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D6C7D62"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-VA score = 1</w:t>
                        </w:r>
                      </w:p>
                    </w:txbxContent>
                  </v:textbox>
                </v:shape>
                <v:shape id="Text Box 2" o:spid="_x0000_s1079" type="#_x0000_t202" style="position:absolute;left:41995;top:10695;width:15602;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0DD7E2A7"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CHA</w:t>
                        </w:r>
                        <w:r>
                          <w:rPr>
                            <w:rFonts w:ascii="Calibri" w:eastAsia="Calibri" w:hAnsi="Calibri"/>
                            <w:position w:val="-6"/>
                            <w:sz w:val="22"/>
                            <w:szCs w:val="22"/>
                            <w:vertAlign w:val="subscript"/>
                          </w:rPr>
                          <w:t>2</w:t>
                        </w:r>
                        <w:r>
                          <w:rPr>
                            <w:rFonts w:ascii="Calibri" w:eastAsia="Calibri" w:hAnsi="Calibri"/>
                            <w:sz w:val="22"/>
                            <w:szCs w:val="22"/>
                          </w:rPr>
                          <w:t>DS</w:t>
                        </w:r>
                        <w:r>
                          <w:rPr>
                            <w:rFonts w:ascii="Calibri" w:eastAsia="Calibri" w:hAnsi="Calibri"/>
                            <w:position w:val="-6"/>
                            <w:sz w:val="22"/>
                            <w:szCs w:val="22"/>
                            <w:vertAlign w:val="subscript"/>
                          </w:rPr>
                          <w:t>2</w:t>
                        </w:r>
                        <w:r>
                          <w:rPr>
                            <w:rFonts w:ascii="Calibri" w:eastAsia="Calibri" w:hAnsi="Calibri"/>
                            <w:sz w:val="22"/>
                            <w:szCs w:val="22"/>
                          </w:rPr>
                          <w:t xml:space="preserve">-VA score </w:t>
                        </w:r>
                        <w:r w:rsidRPr="00DE03B0">
                          <w:rPr>
                            <w:rFonts w:ascii="Calibri" w:eastAsia="Calibri" w:hAnsi="Calibri"/>
                            <w:sz w:val="22"/>
                            <w:szCs w:val="22"/>
                          </w:rPr>
                          <w:t>≥ 2</w:t>
                        </w:r>
                        <w:r>
                          <w:rPr>
                            <w:rFonts w:ascii="Calibri" w:eastAsia="Calibri" w:hAnsi="Calibri"/>
                            <w:sz w:val="22"/>
                            <w:szCs w:val="22"/>
                          </w:rPr>
                          <w:t xml:space="preserve"> </w:t>
                        </w:r>
                      </w:p>
                    </w:txbxContent>
                  </v:textbox>
                </v:shape>
                <v:shape id="Text Box 11" o:spid="_x0000_s1080" type="#_x0000_t202" style="position:absolute;left:7143;top:15816;width:1428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EF14A4B" w14:textId="77777777" w:rsidR="00C962A9" w:rsidRDefault="00C962A9" w:rsidP="009B70A9">
                        <w:pPr>
                          <w:jc w:val="center"/>
                        </w:pPr>
                        <w:r>
                          <w:t>Re-evaluate annually</w:t>
                        </w:r>
                      </w:p>
                    </w:txbxContent>
                  </v:textbox>
                </v:shape>
                <v:shape id="Text Box 7" o:spid="_x0000_s1081" type="#_x0000_t202" style="position:absolute;left:25168;top:15816;width:1428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7ED90A13"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Consider OAT</w:t>
                        </w:r>
                      </w:p>
                    </w:txbxContent>
                  </v:textbox>
                </v:shape>
                <v:shape id="Text Box 7" o:spid="_x0000_s1082" type="#_x0000_t202" style="position:absolute;left:42655;top:15816;width:142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207CCD6"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OAT recommended</w:t>
                        </w:r>
                      </w:p>
                    </w:txbxContent>
                  </v:textbox>
                </v:shape>
                <v:shape id="Text Box 15" o:spid="_x0000_s1083" type="#_x0000_t202" style="position:absolute;left:43084;top:22176;width:134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3DE48C6C" w14:textId="77777777" w:rsidR="00C962A9" w:rsidRDefault="00C962A9" w:rsidP="009B70A9">
                        <w:pPr>
                          <w:jc w:val="center"/>
                        </w:pPr>
                        <w:r>
                          <w:t>No contraindication</w:t>
                        </w:r>
                      </w:p>
                    </w:txbxContent>
                  </v:textbox>
                </v:shape>
                <v:shape id="Text Box 10" o:spid="_x0000_s1084" type="#_x0000_t202" style="position:absolute;left:5799;top:22067;width:33707;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" fillcolor="#95b3d7 [1940]" strokeweight=".5pt">
                  <v:textbox>
                    <w:txbxContent>
                      <w:p w14:paraId="08EE5C0A" w14:textId="77777777" w:rsidR="00C962A9" w:rsidRDefault="00C962A9" w:rsidP="009B70A9">
                        <w:pPr>
                          <w:pStyle w:val="NormalWeb"/>
                          <w:spacing w:before="0" w:beforeAutospacing="0" w:after="0" w:afterAutospacing="0" w:line="256" w:lineRule="auto"/>
                          <w:rPr>
                            <w:rFonts w:ascii="Calibri" w:eastAsia="Calibri" w:hAnsi="Calibri"/>
                            <w:sz w:val="22"/>
                            <w:szCs w:val="22"/>
                          </w:rPr>
                        </w:pPr>
                        <w:r>
                          <w:rPr>
                            <w:rFonts w:ascii="Calibri" w:eastAsia="Calibri" w:hAnsi="Calibri"/>
                            <w:sz w:val="22"/>
                            <w:szCs w:val="22"/>
                          </w:rPr>
                          <w:t>Relative Contraindication to lifelong OAT:</w:t>
                        </w:r>
                      </w:p>
                      <w:p w14:paraId="3B4D9D3C"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previous major bleeding complication</w:t>
                        </w:r>
                      </w:p>
                      <w:p w14:paraId="2B95EA14"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bleeding diathesis</w:t>
                        </w:r>
                      </w:p>
                      <w:p w14:paraId="3141CE98"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blood dyscrasia</w:t>
                        </w:r>
                      </w:p>
                      <w:p w14:paraId="449F6214"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vascular abnormality predisposing to potentially life-threatening haemorrhage</w:t>
                        </w:r>
                      </w:p>
                      <w:p w14:paraId="31827055"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anaemia</w:t>
                        </w:r>
                      </w:p>
                      <w:p w14:paraId="741C4943"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prior gastrointestinal bleed</w:t>
                        </w:r>
                      </w:p>
                      <w:p w14:paraId="7C338E1D"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thrombocytopenia</w:t>
                        </w:r>
                      </w:p>
                      <w:p w14:paraId="60DFFBA0"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haematological malignancy</w:t>
                        </w:r>
                      </w:p>
                      <w:p w14:paraId="0BC5042B"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traumatic intracranial haemorrhage</w:t>
                        </w:r>
                      </w:p>
                      <w:p w14:paraId="203D8D56" w14:textId="77777777" w:rsidR="00C962A9" w:rsidRPr="004105E3" w:rsidRDefault="00C962A9" w:rsidP="00BB142F">
                        <w:pPr>
                          <w:pStyle w:val="ListParagraph"/>
                          <w:numPr>
                            <w:ilvl w:val="0"/>
                            <w:numId w:val="16"/>
                          </w:numPr>
                          <w:spacing w:after="0" w:line="240" w:lineRule="auto"/>
                          <w:ind w:left="567" w:hanging="283"/>
                          <w:rPr>
                            <w:rFonts w:asciiTheme="minorHAnsi" w:hAnsiTheme="minorHAnsi" w:cstheme="minorHAnsi"/>
                            <w:sz w:val="18"/>
                            <w:szCs w:val="18"/>
                          </w:rPr>
                        </w:pPr>
                        <w:r w:rsidRPr="004105E3">
                          <w:rPr>
                            <w:rFonts w:asciiTheme="minorHAnsi" w:hAnsiTheme="minorHAnsi" w:cstheme="minorHAnsi"/>
                            <w:sz w:val="18"/>
                            <w:szCs w:val="18"/>
                          </w:rPr>
                          <w:t>hypersensitivity to Australian-registered therapies</w:t>
                        </w:r>
                      </w:p>
                      <w:p w14:paraId="7463DA0E" w14:textId="77777777" w:rsidR="00C962A9" w:rsidRDefault="00C962A9" w:rsidP="009B70A9">
                        <w:pPr>
                          <w:pStyle w:val="NormalWeb"/>
                          <w:spacing w:before="0" w:beforeAutospacing="0" w:after="160" w:afterAutospacing="0" w:line="256" w:lineRule="auto"/>
                          <w:jc w:val="center"/>
                        </w:pPr>
                      </w:p>
                    </w:txbxContent>
                  </v:textbox>
                </v:shape>
                <v:shape id="Text Box 17" o:spid="_x0000_s1085" type="#_x0000_t202" style="position:absolute;left:5799;top:49482;width:868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" fillcolor="#92d050" strokeweight=".5pt">
                  <v:textbox>
                    <w:txbxContent>
                      <w:p w14:paraId="6CCA9140" w14:textId="77777777" w:rsidR="00C962A9" w:rsidRDefault="00C962A9" w:rsidP="009B70A9">
                        <w:pPr>
                          <w:jc w:val="center"/>
                        </w:pPr>
                        <w:r>
                          <w:t>LAAC</w:t>
                        </w:r>
                      </w:p>
                    </w:txbxContent>
                  </v:textbox>
                </v:shape>
                <v:shape id="Text Box 12" o:spid="_x0000_s1086" type="#_x0000_t202" style="position:absolute;left:34108;top:43298;width:55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741804FC" w14:textId="77777777"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SoC</w:t>
                        </w:r>
                      </w:p>
                    </w:txbxContent>
                  </v:textbox>
                </v:shape>
                <v:shape id="Text Box 12" o:spid="_x0000_s1087" type="#_x0000_t202" style="position:absolute;left:40506;top:28760;width:838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62AC3A75" w14:textId="14845E9C" w:rsidR="00C962A9" w:rsidRDefault="00C962A9" w:rsidP="009B70A9">
                        <w:pPr>
                          <w:pStyle w:val="NormalWeb"/>
                          <w:spacing w:before="0" w:beforeAutospacing="0" w:after="160" w:afterAutospacing="0" w:line="256" w:lineRule="auto"/>
                          <w:jc w:val="center"/>
                        </w:pPr>
                        <w:r>
                          <w:rPr>
                            <w:rFonts w:ascii="Calibri" w:eastAsia="Calibri" w:hAnsi="Calibri"/>
                            <w:sz w:val="22"/>
                            <w:szCs w:val="22"/>
                          </w:rPr>
                          <w:t>DOACs</w:t>
                        </w:r>
                      </w:p>
                    </w:txbxContent>
                  </v:textbox>
                </v:shape>
                <v:shape id="Text Box 12" o:spid="_x0000_s1088" type="#_x0000_t202" style="position:absolute;left:50548;top:28760;width:838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2EE09C3" w14:textId="77777777"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Warfarin</w:t>
                        </w:r>
                      </w:p>
                    </w:txbxContent>
                  </v:textbox>
                </v:shape>
                <v:shape id="Text Box 21" o:spid="_x0000_s1089" type="#_x0000_t202" style="position:absolute;left:5514;top:54454;width:518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A184F33" w14:textId="77777777" w:rsidR="00C962A9" w:rsidRDefault="00C962A9" w:rsidP="009B70A9">
                        <w:pPr>
                          <w:jc w:val="center"/>
                        </w:pPr>
                        <w:r>
                          <w:t>Outcomes</w:t>
                        </w:r>
                      </w:p>
                    </w:txbxContent>
                  </v:textbox>
                </v:shape>
                <v:shape id="Straight Arrow Connector 22" o:spid="_x0000_s1090" type="#_x0000_t32" style="position:absolute;left:32262;top:3265;width:36;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" strokecolor="black [3213]">
                  <v:stroke endarrow="block"/>
                </v:shape>
                <v:shape id="Straight Arrow Connector 23" o:spid="_x0000_s1091" type="#_x0000_t32" style="position:absolute;left:32298;top:7926;width:0;height:2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Elbow Connector 24" o:spid="_x0000_s1092" type="#_x0000_t34" style="position:absolute;left:21899;top:295;width:2769;height:180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" strokecolor="black [3213]">
                  <v:stroke endarrow="block"/>
                </v:shape>
                <v:shape id="Elbow Connector 25" o:spid="_x0000_s1093" type="#_x0000_t34" style="position:absolute;left:39662;top:562;width:2769;height:174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" strokecolor="black [3213]">
                  <v:stroke endarrow="block"/>
                </v:shape>
                <v:shape id="Straight Arrow Connector 26" o:spid="_x0000_s1094" type="#_x0000_t32" style="position:absolute;left:14268;top:13752;width:19;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" strokecolor="black [3213]">
                  <v:stroke endarrow="block"/>
                </v:shape>
                <v:shape id="Straight Arrow Connector 27" o:spid="_x0000_s1095" type="#_x0000_t32" style="position:absolute;left:32298;top:13848;width:13;height:1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" strokecolor="black [3213]">
                  <v:stroke endarrow="block"/>
                </v:shape>
                <v:shape id="Straight Arrow Connector 28" o:spid="_x0000_s1096" type="#_x0000_t32" style="position:absolute;left:49796;top:13943;width:3;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" strokecolor="black [3213]">
                  <v:stroke endarrow="block"/>
                </v:shape>
                <v:shape id="Straight Arrow Connector 29" o:spid="_x0000_s1097" type="#_x0000_t32" style="position:absolute;left:49795;top:18674;width:4;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" strokecolor="black [3213]">
                  <v:stroke endarrow="block"/>
                </v:shape>
                <v:shape id="Elbow Connector 30" o:spid="_x0000_s1098" type="#_x0000_t34" style="position:absolute;left:34529;top:6797;width:3393;height:2714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" strokecolor="black [3213]">
                  <v:stroke endarrow="block"/>
                </v:shape>
                <v:shape id="Elbow Connector 31" o:spid="_x0000_s1099" type="#_x0000_t34" style="position:absolute;left:50546;top:24568;width:3441;height:49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" strokecolor="black [3213]">
                  <v:stroke endarrow="block"/>
                </v:shape>
                <v:shape id="Elbow Connector 32" o:spid="_x0000_s1100" type="#_x0000_t34" style="position:absolute;left:45525;top:24491;width:3441;height:50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" strokecolor="black [3213]">
                  <v:stroke endarrow="block"/>
                </v:shape>
                <v:shape id="Straight Arrow Connector 33" o:spid="_x0000_s1101" type="#_x0000_t32" style="position:absolute;left:9990;top:52245;width:0;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AxQAAANsAAAAPAAAAZHJzL2Rvd25yZXYueG1sRI/NasMw&#10;EITvhbyD2EBvjZwE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q/1qAxQAAANsAAAAP&#10;AAAAAAAAAAAAAAAAAAcCAABkcnMvZG93bnJldi54bWxQSwUGAAAAAAMAAwC3AAAA+QIAAAAA&#10;" strokecolor="black [3213]">
                  <v:stroke endarrow="block"/>
                </v:shape>
                <v:shape id="Straight Arrow Connector 34" o:spid="_x0000_s1102" type="#_x0000_t32" style="position:absolute;left:36891;top:46059;width:0;height:8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L0xQAAANsAAAAPAAAAZHJzL2Rvd25yZXYueG1sRI9BSwMx&#10;FITvQv9DeIXebLZaRN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AlFsL0xQAAANsAAAAP&#10;AAAAAAAAAAAAAAAAAAcCAABkcnMvZG93bnJldi54bWxQSwUGAAAAAAMAAwC3AAAA+QIAAAAA&#10;" strokecolor="black [3213]">
                  <v:stroke endarrow="block"/>
                </v:shape>
                <v:shape id="Straight Arrow Connector 35" o:spid="_x0000_s1103" type="#_x0000_t32" style="position:absolute;left:44697;top:31522;width:0;height:22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vxQAAANsAAAAPAAAAZHJzL2Rvd25yZXYueG1sRI9BSwMx&#10;FITvQv9DeIXebLZKRd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BKWmdvxQAAANsAAAAP&#10;AAAAAAAAAAAAAAAAAAcCAABkcnMvZG93bnJldi54bWxQSwUGAAAAAAMAAwC3AAAA+QIAAAAA&#10;" strokecolor="black [3213]">
                  <v:stroke endarrow="block"/>
                </v:shape>
                <v:shape id="Straight Arrow Connector 36" o:spid="_x0000_s1104" type="#_x0000_t32" style="position:absolute;left:54739;top:31522;width:0;height:229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" strokecolor="black [3213]">
                  <v:stroke endarrow="block"/>
                </v:shape>
                <v:shape id="Text Box 12" o:spid="_x0000_s1105" type="#_x0000_t202" style="position:absolute;left:15584;top:43362;width:83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1D6A4C28" w14:textId="04F98903" w:rsidR="00C962A9" w:rsidRDefault="00C962A9" w:rsidP="009B70A9">
                        <w:pPr>
                          <w:pStyle w:val="NormalWeb"/>
                          <w:spacing w:before="0" w:beforeAutospacing="0" w:after="160" w:afterAutospacing="0" w:line="254" w:lineRule="auto"/>
                          <w:jc w:val="center"/>
                        </w:pPr>
                        <w:r>
                          <w:rPr>
                            <w:rFonts w:ascii="Calibri" w:eastAsia="Calibri" w:hAnsi="Calibri"/>
                            <w:sz w:val="22"/>
                            <w:szCs w:val="22"/>
                          </w:rPr>
                          <w:t>DOACs</w:t>
                        </w:r>
                      </w:p>
                    </w:txbxContent>
                  </v:textbox>
                </v:shape>
                <v:shape id="Text Box 12" o:spid="_x0000_s1106" type="#_x0000_t202" style="position:absolute;left:24975;top:43296;width:83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02647FE5" w14:textId="77777777" w:rsidR="00C962A9" w:rsidRDefault="00C962A9" w:rsidP="009B70A9">
                        <w:pPr>
                          <w:pStyle w:val="NormalWeb"/>
                          <w:spacing w:before="0" w:beforeAutospacing="0" w:after="160" w:afterAutospacing="0" w:line="252" w:lineRule="auto"/>
                          <w:jc w:val="center"/>
                        </w:pPr>
                        <w:r>
                          <w:rPr>
                            <w:rFonts w:ascii="Calibri" w:eastAsia="Calibri" w:hAnsi="Calibri"/>
                            <w:sz w:val="22"/>
                            <w:szCs w:val="22"/>
                          </w:rPr>
                          <w:t>Warfarin</w:t>
                        </w:r>
                      </w:p>
                    </w:txbxContent>
                  </v:textbox>
                </v:shape>
                <v:shape id="Elbow Connector 131" o:spid="_x0000_s1107" type="#_x0000_t32" style="position:absolute;left:19700;top:41985;width:0;height:1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" strokecolor="black [3213]">
                  <v:stroke endarrow="block"/>
                </v:shape>
                <v:shape id="Elbow Connector 132" o:spid="_x0000_s1108" type="#_x0000_t32" style="position:absolute;left:29802;top:41983;width:0;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" strokecolor="black [3213]">
                  <v:stroke endarrow="block"/>
                </v:shape>
                <v:shape id="Straight Arrow Connector 41" o:spid="_x0000_s1109" type="#_x0000_t32" style="position:absolute;left:19775;top:46117;width:0;height:8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RxQAAANsAAAAPAAAAZHJzL2Rvd25yZXYueG1sRI/NasMw&#10;EITvhbyD2EBujZwS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BtZxIRxQAAANsAAAAP&#10;AAAAAAAAAAAAAAAAAAcCAABkcnMvZG93bnJldi54bWxQSwUGAAAAAAMAAwC3AAAA+QIAAAAA&#10;" strokecolor="black [3213]">
                  <v:stroke endarrow="block"/>
                </v:shape>
                <v:shape id="Straight Arrow Connector 42" o:spid="_x0000_s1110" type="#_x0000_t32" style="position:absolute;left:29166;top:46051;width:0;height:8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xmxQAAANsAAAAPAAAAZHJzL2Rvd25yZXYueG1sRI/NasMw&#10;EITvhbyD2EBujZxQ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CdtYxmxQAAANsAAAAP&#10;AAAAAAAAAAAAAAAAAAcCAABkcnMvZG93bnJldi54bWxQSwUGAAAAAAMAAwC3AAAA+QIAAAAA&#10;" strokecolor="black [3213]">
                  <v:stroke endarrow="block"/>
                </v:shape>
                <v:shape id="Text Box 136" o:spid="_x0000_s1111" type="#_x0000_t202" style="position:absolute;left:5715;top:43298;width:8772;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4BA583F7" w14:textId="77777777" w:rsidR="00C962A9" w:rsidRDefault="00C962A9" w:rsidP="009B70A9">
                        <w:pPr>
                          <w:pStyle w:val="NormalWeb"/>
                          <w:spacing w:before="0" w:beforeAutospacing="0" w:after="160" w:afterAutospacing="0" w:line="256" w:lineRule="auto"/>
                        </w:pPr>
                        <w:r>
                          <w:rPr>
                            <w:rFonts w:ascii="Calibri" w:eastAsia="Calibri" w:hAnsi="Calibri"/>
                            <w:sz w:val="22"/>
                            <w:szCs w:val="22"/>
                          </w:rPr>
                          <w:t>Eligibility testing</w:t>
                        </w:r>
                      </w:p>
                    </w:txbxContent>
                  </v:textbox>
                </v:shape>
                <v:shape id="Elbow Connector 44" o:spid="_x0000_s1112" type="#_x0000_t34" style="position:absolute;left:15065;top:35710;width:2624;height:125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" strokecolor="black [3213]">
                  <v:stroke endarrow="block"/>
                </v:shape>
                <v:shape id="Elbow Connector 45" o:spid="_x0000_s1113" type="#_x0000_t34" style="position:absolute;left:28460;top:34866;width:2624;height:14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" strokecolor="black [3213]">
                  <v:stroke endarrow="block"/>
                </v:shape>
                <v:shape id="Elbow Connector 142" o:spid="_x0000_s1114" type="#_x0000_t32" style="position:absolute;left:9994;top:48271;width:43;height:1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lxQAAANsAAAAPAAAAZHJzL2Rvd25yZXYueG1sRI/NasMw&#10;EITvhbyD2EBvjZxQQn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DijoplxQAAANsAAAAP&#10;AAAAAAAAAAAAAAAAAAcCAABkcnMvZG93bnJldi54bWxQSwUGAAAAAAMAAwC3AAAA+QIAAAAA&#10;" strokecolor="black [3213]">
                  <v:stroke endarrow="block"/>
                </v:shape>
                <w10:anchorlock/>
              </v:group>
            </w:pict>
          </mc:Fallback>
        </mc:AlternateContent>
      </w:r>
      <w:r w:rsidR="00AE0B87">
        <w:t xml:space="preserve">Figure </w:t>
      </w:r>
      <w:r w:rsidR="00AE0B87">
        <w:fldChar w:fldCharType="begin"/>
      </w:r>
      <w:r w:rsidR="00AE0B87">
        <w:instrText xml:space="preserve"> SEQ Figure \* ARABIC </w:instrText>
      </w:r>
      <w:r w:rsidR="00AE0B87">
        <w:fldChar w:fldCharType="separate"/>
      </w:r>
      <w:r w:rsidR="00AE0B87">
        <w:rPr>
          <w:noProof/>
        </w:rPr>
        <w:t>5</w:t>
      </w:r>
      <w:r w:rsidR="00AE0B87">
        <w:fldChar w:fldCharType="end"/>
      </w:r>
      <w:bookmarkEnd w:id="20"/>
      <w:r w:rsidR="00AE0B87">
        <w:tab/>
      </w:r>
      <w:r w:rsidR="00BC120F">
        <w:t>Proposed management pathway from the point of receiving the comparators and proposed service</w:t>
      </w:r>
    </w:p>
    <w:p w14:paraId="5D934B03" w14:textId="4C249CD4" w:rsidR="00BC120F" w:rsidRDefault="000F3E4F" w:rsidP="00BA3D89">
      <w:pPr>
        <w:pStyle w:val="TableNote"/>
      </w:pPr>
      <w:r>
        <w:t>LAAC=</w:t>
      </w:r>
      <w:r w:rsidR="008711CC">
        <w:t>left atrial appendage closure; D</w:t>
      </w:r>
      <w:r>
        <w:t>OACs=</w:t>
      </w:r>
      <w:r w:rsidR="008711CC">
        <w:t>direct</w:t>
      </w:r>
      <w:r w:rsidRPr="00E253AB">
        <w:t xml:space="preserve"> oral anticoagulants</w:t>
      </w:r>
      <w:r>
        <w:t>; NVAF=non-valvular atrial fibrillation; OAT=oral anticoagulant therapy; SoC=Standard of Care.</w:t>
      </w:r>
      <w:r w:rsidR="00BC120F">
        <w:t xml:space="preserve"> </w:t>
      </w:r>
    </w:p>
    <w:p w14:paraId="2F940B19" w14:textId="77777777" w:rsidR="009B70A9" w:rsidRDefault="009B70A9" w:rsidP="009B70A9">
      <w:pPr>
        <w:pStyle w:val="TableNote"/>
      </w:pPr>
      <w:r>
        <w:t>Proposed expansion of absolute contraindications to include the other relative contraindications is marked in blue in the algorithm.</w:t>
      </w:r>
    </w:p>
    <w:p w14:paraId="2675F8F9" w14:textId="73D9A6BA" w:rsidR="000F3E4F" w:rsidRDefault="00BC120F" w:rsidP="00BA3D89">
      <w:pPr>
        <w:pStyle w:val="TableNote"/>
      </w:pPr>
      <w:r>
        <w:t xml:space="preserve">Proposed service is marked in green in the algorithm. </w:t>
      </w:r>
    </w:p>
    <w:p w14:paraId="0CB54F4C" w14:textId="77777777" w:rsidR="00BA3D89" w:rsidRPr="009D6757" w:rsidRDefault="00BA3D89" w:rsidP="00BA3D89">
      <w:pPr>
        <w:pStyle w:val="TableNote"/>
        <w:rPr>
          <w:color w:val="FF0000"/>
          <w:u w:val="dotted"/>
        </w:rPr>
      </w:pPr>
    </w:p>
    <w:p w14:paraId="378EC104" w14:textId="388E2FCC" w:rsidR="00E77853" w:rsidRDefault="003E0382" w:rsidP="00265C9B">
      <w:pPr>
        <w:pStyle w:val="Heading2"/>
      </w:pPr>
      <w:r w:rsidRPr="00C10B7D">
        <w:t xml:space="preserve">Proposed </w:t>
      </w:r>
      <w:r w:rsidR="002B226C" w:rsidRPr="00C10B7D">
        <w:t xml:space="preserve">economic </w:t>
      </w:r>
      <w:r w:rsidR="009E5295" w:rsidRPr="00C10B7D">
        <w:t>evaluation</w:t>
      </w:r>
    </w:p>
    <w:p w14:paraId="3E4C51A1" w14:textId="66BB41FD" w:rsidR="00245977" w:rsidRDefault="00245977" w:rsidP="00245977">
      <w:r>
        <w:t xml:space="preserve">The clinical claim is that LAAC is superior in clinical effectiveness to the comparators </w:t>
      </w:r>
      <w:r w:rsidR="00C10B7D">
        <w:t>(</w:t>
      </w:r>
      <w:r w:rsidR="008711CC">
        <w:t>D</w:t>
      </w:r>
      <w:r w:rsidRPr="00C26F8F">
        <w:t>OACs and warfarin</w:t>
      </w:r>
      <w:r w:rsidR="00C10B7D">
        <w:t>)</w:t>
      </w:r>
      <w:r>
        <w:t xml:space="preserve">. According to the </w:t>
      </w:r>
      <w:r w:rsidRPr="004C6E74">
        <w:t>Technical Guidelines for preparing assessment reports for the Medical Services Advisory Committee: Investigative</w:t>
      </w:r>
      <w:r w:rsidR="00C10B7D">
        <w:rPr>
          <w:i/>
        </w:rPr>
        <w:t>,</w:t>
      </w:r>
      <w:r>
        <w:t xml:space="preserve"> the required economic analysis is therefore a cost-utility or a cost-effectiveness analysis. However, if the evidence does not prove superiority, then a cost-consequence model may be more appropriate.</w:t>
      </w:r>
    </w:p>
    <w:p w14:paraId="4C4754D7" w14:textId="6DFFCC90" w:rsidR="00631362" w:rsidRPr="00631362" w:rsidRDefault="00631362" w:rsidP="00245977">
      <w:pPr>
        <w:rPr>
          <w:i/>
        </w:rPr>
      </w:pPr>
      <w:r w:rsidRPr="00631362">
        <w:rPr>
          <w:i/>
        </w:rPr>
        <w:lastRenderedPageBreak/>
        <w:t>PASC noted that as there is a claim of LAAC superiority in clinical effectiveness a cost-utility or cost-effectiveness analysis is appropriate. Should superiority not be demonstrated, cost-consequences may be appropriate.</w:t>
      </w:r>
    </w:p>
    <w:p w14:paraId="65B10ED8" w14:textId="69AD5522" w:rsidR="00E77853" w:rsidRDefault="00752491" w:rsidP="00781BAE">
      <w:pPr>
        <w:pStyle w:val="Heading2"/>
      </w:pPr>
      <w:r w:rsidRPr="00C10B7D">
        <w:t>Proposed</w:t>
      </w:r>
      <w:r w:rsidR="00C10B7D">
        <w:t xml:space="preserve"> MBS</w:t>
      </w:r>
      <w:r w:rsidRPr="00C10B7D">
        <w:t xml:space="preserve"> item descriptor</w:t>
      </w:r>
      <w:r w:rsidR="00C10B7D">
        <w:t xml:space="preserve"> and MBS fee</w:t>
      </w:r>
    </w:p>
    <w:p w14:paraId="187E7E7E" w14:textId="10AF5B42" w:rsidR="005270BD" w:rsidRDefault="005270BD" w:rsidP="005270BD">
      <w:r w:rsidRPr="005270BD">
        <w:t xml:space="preserve">The </w:t>
      </w:r>
      <w:r w:rsidR="003258DF">
        <w:t xml:space="preserve">existing/proposed </w:t>
      </w:r>
      <w:r w:rsidRPr="005270BD">
        <w:t>MBS item desc</w:t>
      </w:r>
      <w:r w:rsidR="003258DF">
        <w:t>riptor and proposed associated explanatory note</w:t>
      </w:r>
      <w:r w:rsidRPr="005270BD">
        <w:t xml:space="preserve"> for the LAAC procedure is provided in</w:t>
      </w:r>
      <w:r>
        <w:t xml:space="preserve"> Table</w:t>
      </w:r>
      <w:r w:rsidRPr="005270BD">
        <w:t xml:space="preserve"> </w:t>
      </w:r>
      <w:r>
        <w:t>3</w:t>
      </w:r>
      <w:r w:rsidRPr="005270BD">
        <w:t xml:space="preserve">. The proposed </w:t>
      </w:r>
      <w:r w:rsidR="003258DF">
        <w:t>MBS</w:t>
      </w:r>
      <w:r w:rsidRPr="005270BD">
        <w:t xml:space="preserve"> fee and </w:t>
      </w:r>
      <w:r w:rsidR="003258DF">
        <w:t xml:space="preserve">item </w:t>
      </w:r>
      <w:r w:rsidRPr="005270BD">
        <w:t xml:space="preserve">descriptor is identical to the current MBS item for </w:t>
      </w:r>
      <w:r w:rsidR="003258DF">
        <w:t>LAAC. The proposed changes relate</w:t>
      </w:r>
      <w:r w:rsidRPr="005270BD">
        <w:t xml:space="preserve"> to the definition of contraindication in the explanatory note. </w:t>
      </w:r>
    </w:p>
    <w:p w14:paraId="47C76969" w14:textId="76F9F904" w:rsidR="005270BD" w:rsidRDefault="005270BD" w:rsidP="005270BD">
      <w:r w:rsidRPr="005270BD">
        <w:t xml:space="preserve">The </w:t>
      </w:r>
      <w:r w:rsidR="003258DF">
        <w:t>existing explanatory note</w:t>
      </w:r>
      <w:r w:rsidRPr="005270BD">
        <w:t xml:space="preserve"> to the current MBS item descriptor stipulate</w:t>
      </w:r>
      <w:r w:rsidR="003258DF">
        <w:t>s</w:t>
      </w:r>
      <w:r w:rsidRPr="005270BD">
        <w:t xml:space="preserve"> patients must have (abso</w:t>
      </w:r>
      <w:r w:rsidR="00064BD0">
        <w:t>lute) contraindications to life</w:t>
      </w:r>
      <w:r w:rsidRPr="005270BD">
        <w:t>long OAT, defined as: i) a previous major bleeding complication experienced whilst undergoing treatment wi</w:t>
      </w:r>
      <w:r w:rsidR="003258DF">
        <w:t>th oral anticoagulation therapy; ii) a blood dyscrasia;</w:t>
      </w:r>
      <w:r w:rsidRPr="005270BD">
        <w:t xml:space="preserve"> or iii) a vascular abnormality</w:t>
      </w:r>
      <w:r w:rsidR="003258DF">
        <w:t>,</w:t>
      </w:r>
      <w:r w:rsidRPr="005270BD">
        <w:t xml:space="preserve"> predisposing to potentially life</w:t>
      </w:r>
      <w:r w:rsidR="003258DF">
        <w:t>-</w:t>
      </w:r>
      <w:r w:rsidRPr="005270BD">
        <w:t xml:space="preserve">threatening haemorrhage. </w:t>
      </w:r>
    </w:p>
    <w:p w14:paraId="4823BF7B" w14:textId="773BCE22" w:rsidR="005270BD" w:rsidRPr="005270BD" w:rsidRDefault="003258DF" w:rsidP="005270BD">
      <w:r>
        <w:t>The proposed note update</w:t>
      </w:r>
      <w:r w:rsidR="005270BD" w:rsidRPr="005270BD">
        <w:t xml:space="preserve"> stipulate</w:t>
      </w:r>
      <w:r>
        <w:t>s</w:t>
      </w:r>
      <w:r w:rsidR="005270BD" w:rsidRPr="005270BD">
        <w:t xml:space="preserve"> that patients must have a re</w:t>
      </w:r>
      <w:r>
        <w:t>lative contraindication to life</w:t>
      </w:r>
      <w:r w:rsidR="005270BD" w:rsidRPr="005270BD">
        <w:t>long OAT as defined in</w:t>
      </w:r>
      <w:r w:rsidR="00AE0B87">
        <w:t xml:space="preserve"> </w:t>
      </w:r>
      <w:r w:rsidR="00AE0B87">
        <w:fldChar w:fldCharType="begin"/>
      </w:r>
      <w:r w:rsidR="00AE0B87">
        <w:instrText xml:space="preserve"> REF _Ref23167042 \h </w:instrText>
      </w:r>
      <w:r w:rsidR="00AE0B87">
        <w:fldChar w:fldCharType="separate"/>
      </w:r>
      <w:r w:rsidR="00AE0B87">
        <w:t xml:space="preserve">Table </w:t>
      </w:r>
      <w:r w:rsidR="00AE0B87">
        <w:rPr>
          <w:noProof/>
        </w:rPr>
        <w:t>3</w:t>
      </w:r>
      <w:r w:rsidR="00AE0B87">
        <w:fldChar w:fldCharType="end"/>
      </w:r>
      <w:r w:rsidR="005270BD" w:rsidRPr="005270BD">
        <w:t xml:space="preserve">. </w:t>
      </w:r>
    </w:p>
    <w:p w14:paraId="4EF79032" w14:textId="3522444D" w:rsidR="005270BD" w:rsidRPr="00B105C7" w:rsidRDefault="00AE0B87" w:rsidP="00AE0B87">
      <w:pPr>
        <w:pStyle w:val="Caption"/>
      </w:pPr>
      <w:bookmarkStart w:id="21" w:name="_Ref23167042"/>
      <w:r>
        <w:t xml:space="preserve">Table </w:t>
      </w:r>
      <w:r>
        <w:fldChar w:fldCharType="begin"/>
      </w:r>
      <w:r>
        <w:instrText xml:space="preserve"> SEQ Table \* ARABIC </w:instrText>
      </w:r>
      <w:r>
        <w:fldChar w:fldCharType="separate"/>
      </w:r>
      <w:r>
        <w:rPr>
          <w:noProof/>
        </w:rPr>
        <w:t>3</w:t>
      </w:r>
      <w:r>
        <w:fldChar w:fldCharType="end"/>
      </w:r>
      <w:bookmarkEnd w:id="21"/>
      <w:r>
        <w:tab/>
      </w:r>
      <w:r w:rsidR="005270BD" w:rsidRPr="00B105C7">
        <w:t>MBS item descriptor</w:t>
      </w:r>
      <w:r w:rsidR="003258DF">
        <w:t xml:space="preserve"> and proposed explanatory note changes</w:t>
      </w:r>
      <w:r w:rsidR="005270BD" w:rsidRPr="00B105C7">
        <w:t xml:space="preserve"> for </w:t>
      </w:r>
      <w:r w:rsidR="005270BD">
        <w:t>LAAC</w:t>
      </w:r>
      <w:r w:rsidR="005270BD" w:rsidRPr="00B105C7">
        <w:t xml:space="preserve"> </w:t>
      </w:r>
      <w:r w:rsidR="00A42BFE">
        <w:t>*</w:t>
      </w:r>
    </w:p>
    <w:tbl>
      <w:tblPr>
        <w:tblW w:w="92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283"/>
      </w:tblGrid>
      <w:tr w:rsidR="005270BD" w14:paraId="41B11A7B" w14:textId="77777777" w:rsidTr="009C480E">
        <w:tc>
          <w:tcPr>
            <w:tcW w:w="9283" w:type="dxa"/>
            <w:tcBorders>
              <w:top w:val="single" w:sz="4" w:space="0" w:color="000000"/>
              <w:left w:val="single" w:sz="4" w:space="0" w:color="000000"/>
              <w:bottom w:val="single" w:sz="4" w:space="0" w:color="000000"/>
              <w:right w:val="single" w:sz="4" w:space="0" w:color="000000"/>
            </w:tcBorders>
          </w:tcPr>
          <w:p w14:paraId="68D4AB00" w14:textId="77777777" w:rsidR="005270BD" w:rsidRPr="003F3EB3" w:rsidRDefault="005270BD" w:rsidP="00262CAA">
            <w:pPr>
              <w:spacing w:after="0"/>
            </w:pPr>
            <w:r>
              <w:rPr>
                <w:szCs w:val="20"/>
              </w:rPr>
              <w:t xml:space="preserve">Category </w:t>
            </w:r>
            <w:r>
              <w:t>3</w:t>
            </w:r>
            <w:r w:rsidRPr="00AE1188">
              <w:rPr>
                <w:szCs w:val="20"/>
              </w:rPr>
              <w:t xml:space="preserve"> –</w:t>
            </w:r>
            <w:r>
              <w:t xml:space="preserve"> THERAPEUTIC PROCEDURE</w:t>
            </w:r>
          </w:p>
        </w:tc>
      </w:tr>
      <w:tr w:rsidR="005270BD" w14:paraId="3367E6C1" w14:textId="77777777" w:rsidTr="009C480E">
        <w:tc>
          <w:tcPr>
            <w:tcW w:w="9283" w:type="dxa"/>
            <w:tcBorders>
              <w:top w:val="single" w:sz="4" w:space="0" w:color="000000"/>
              <w:left w:val="single" w:sz="4" w:space="0" w:color="000000"/>
              <w:bottom w:val="single" w:sz="4" w:space="0" w:color="000000"/>
              <w:right w:val="single" w:sz="4" w:space="0" w:color="000000"/>
            </w:tcBorders>
          </w:tcPr>
          <w:p w14:paraId="4251C7B6" w14:textId="76F95CDF" w:rsidR="005270BD" w:rsidRPr="003258DF" w:rsidRDefault="00064BD0" w:rsidP="003258DF">
            <w:pPr>
              <w:spacing w:before="120" w:after="0"/>
              <w:rPr>
                <w:b/>
                <w:sz w:val="21"/>
                <w:szCs w:val="21"/>
              </w:rPr>
            </w:pPr>
            <w:r w:rsidRPr="003258DF">
              <w:rPr>
                <w:b/>
                <w:sz w:val="21"/>
                <w:szCs w:val="21"/>
              </w:rPr>
              <w:t xml:space="preserve">MBS item </w:t>
            </w:r>
            <w:r w:rsidR="005270BD" w:rsidRPr="003258DF">
              <w:rPr>
                <w:b/>
                <w:sz w:val="21"/>
                <w:szCs w:val="21"/>
              </w:rPr>
              <w:t>38276</w:t>
            </w:r>
          </w:p>
          <w:p w14:paraId="56676197" w14:textId="471654ED" w:rsidR="005270BD" w:rsidRPr="003258DF" w:rsidRDefault="005270BD" w:rsidP="003258DF">
            <w:pPr>
              <w:spacing w:after="120"/>
              <w:rPr>
                <w:b/>
                <w:i/>
                <w:sz w:val="21"/>
                <w:szCs w:val="21"/>
              </w:rPr>
            </w:pPr>
            <w:r w:rsidRPr="003258DF">
              <w:rPr>
                <w:b/>
                <w:i/>
                <w:sz w:val="21"/>
                <w:szCs w:val="21"/>
              </w:rPr>
              <w:t>Proposed item descriptor</w:t>
            </w:r>
            <w:r w:rsidR="003258DF" w:rsidRPr="003258DF">
              <w:rPr>
                <w:b/>
                <w:i/>
                <w:sz w:val="21"/>
                <w:szCs w:val="21"/>
              </w:rPr>
              <w:t xml:space="preserve"> (identical to existing item descriptor)</w:t>
            </w:r>
            <w:r w:rsidRPr="003258DF">
              <w:rPr>
                <w:b/>
                <w:i/>
                <w:sz w:val="21"/>
                <w:szCs w:val="21"/>
              </w:rPr>
              <w:t xml:space="preserve">: </w:t>
            </w:r>
          </w:p>
          <w:p w14:paraId="5717BAD7" w14:textId="77777777" w:rsidR="005270BD" w:rsidRPr="003258DF" w:rsidRDefault="005270BD" w:rsidP="00262CAA">
            <w:pPr>
              <w:spacing w:after="0"/>
              <w:rPr>
                <w:sz w:val="21"/>
                <w:szCs w:val="21"/>
              </w:rPr>
            </w:pPr>
            <w:r w:rsidRPr="003258DF">
              <w:rPr>
                <w:sz w:val="21"/>
                <w:szCs w:val="21"/>
              </w:rPr>
              <w:t>Transcatheter occlusion of left atrial appendage, and cardiac catheterisation performed by the same practitioner, for stroke prevention in a patient who has non</w:t>
            </w:r>
            <w:r w:rsidRPr="003258DF">
              <w:rPr>
                <w:rFonts w:ascii="Cambria Math" w:hAnsi="Cambria Math" w:cs="Cambria Math"/>
                <w:sz w:val="21"/>
                <w:szCs w:val="21"/>
              </w:rPr>
              <w:t>‑</w:t>
            </w:r>
            <w:r w:rsidRPr="003258DF">
              <w:rPr>
                <w:sz w:val="21"/>
                <w:szCs w:val="21"/>
              </w:rPr>
              <w:t>valvular atrial fibrillation and a contraindication to life</w:t>
            </w:r>
            <w:r w:rsidRPr="003258DF">
              <w:rPr>
                <w:rFonts w:ascii="Cambria Math" w:hAnsi="Cambria Math" w:cs="Cambria Math"/>
                <w:sz w:val="21"/>
                <w:szCs w:val="21"/>
              </w:rPr>
              <w:t>‑</w:t>
            </w:r>
            <w:r w:rsidRPr="003258DF">
              <w:rPr>
                <w:sz w:val="21"/>
                <w:szCs w:val="21"/>
              </w:rPr>
              <w:t>long oral anticoagulation therapy, and is at increased risk of thromboembolism demonstrated by:</w:t>
            </w:r>
          </w:p>
          <w:p w14:paraId="4467B3E7" w14:textId="77777777" w:rsidR="005270BD" w:rsidRPr="003258DF" w:rsidRDefault="005270BD" w:rsidP="00262CAA">
            <w:pPr>
              <w:spacing w:after="0"/>
              <w:rPr>
                <w:sz w:val="21"/>
                <w:szCs w:val="21"/>
              </w:rPr>
            </w:pPr>
            <w:r w:rsidRPr="003258DF">
              <w:rPr>
                <w:sz w:val="21"/>
                <w:szCs w:val="21"/>
              </w:rPr>
              <w:t>(a) a prior stroke (whether of an ischaemic or unknown type), transient ischaemic attack or non</w:t>
            </w:r>
            <w:r w:rsidRPr="003258DF">
              <w:rPr>
                <w:rFonts w:ascii="Cambria Math" w:hAnsi="Cambria Math" w:cs="Cambria Math"/>
                <w:sz w:val="21"/>
                <w:szCs w:val="21"/>
              </w:rPr>
              <w:t>‑</w:t>
            </w:r>
            <w:r w:rsidRPr="003258DF">
              <w:rPr>
                <w:sz w:val="21"/>
                <w:szCs w:val="21"/>
              </w:rPr>
              <w:t>central nervous system systemic embolism; or</w:t>
            </w:r>
          </w:p>
          <w:p w14:paraId="596D910A" w14:textId="77777777" w:rsidR="005270BD" w:rsidRPr="003258DF" w:rsidRDefault="005270BD" w:rsidP="00262CAA">
            <w:pPr>
              <w:spacing w:after="0"/>
              <w:rPr>
                <w:sz w:val="21"/>
                <w:szCs w:val="21"/>
              </w:rPr>
            </w:pPr>
            <w:r w:rsidRPr="003258DF">
              <w:rPr>
                <w:sz w:val="21"/>
                <w:szCs w:val="21"/>
              </w:rPr>
              <w:t>(b) at least 2 of the following risk factors:</w:t>
            </w:r>
          </w:p>
          <w:p w14:paraId="5B620A97" w14:textId="77777777" w:rsidR="005270BD" w:rsidRPr="003258DF" w:rsidRDefault="005270BD" w:rsidP="00262CAA">
            <w:pPr>
              <w:spacing w:after="0"/>
              <w:rPr>
                <w:sz w:val="21"/>
                <w:szCs w:val="21"/>
              </w:rPr>
            </w:pPr>
            <w:r w:rsidRPr="003258DF">
              <w:rPr>
                <w:sz w:val="21"/>
                <w:szCs w:val="21"/>
              </w:rPr>
              <w:t>(i) an age of 65 years or more;</w:t>
            </w:r>
          </w:p>
          <w:p w14:paraId="5B3D3A84" w14:textId="77777777" w:rsidR="005270BD" w:rsidRPr="003258DF" w:rsidRDefault="005270BD" w:rsidP="00262CAA">
            <w:pPr>
              <w:spacing w:after="0"/>
              <w:rPr>
                <w:sz w:val="21"/>
                <w:szCs w:val="21"/>
                <w:lang w:val="de-CH"/>
              </w:rPr>
            </w:pPr>
            <w:r w:rsidRPr="003258DF">
              <w:rPr>
                <w:sz w:val="21"/>
                <w:szCs w:val="21"/>
                <w:lang w:val="de-CH"/>
              </w:rPr>
              <w:t>(ii) hypertension;</w:t>
            </w:r>
          </w:p>
          <w:p w14:paraId="56FAB6DD" w14:textId="77777777" w:rsidR="005270BD" w:rsidRPr="003258DF" w:rsidRDefault="005270BD" w:rsidP="00262CAA">
            <w:pPr>
              <w:spacing w:after="0"/>
              <w:rPr>
                <w:sz w:val="21"/>
                <w:szCs w:val="21"/>
                <w:lang w:val="de-CH"/>
              </w:rPr>
            </w:pPr>
            <w:r w:rsidRPr="003258DF">
              <w:rPr>
                <w:sz w:val="21"/>
                <w:szCs w:val="21"/>
                <w:lang w:val="de-CH"/>
              </w:rPr>
              <w:t>(iii) diabetes mellitus;</w:t>
            </w:r>
          </w:p>
          <w:p w14:paraId="6B461F1D" w14:textId="77777777" w:rsidR="005270BD" w:rsidRPr="003258DF" w:rsidRDefault="005270BD" w:rsidP="00262CAA">
            <w:pPr>
              <w:spacing w:after="0"/>
              <w:rPr>
                <w:sz w:val="21"/>
                <w:szCs w:val="21"/>
              </w:rPr>
            </w:pPr>
            <w:r w:rsidRPr="003258DF">
              <w:rPr>
                <w:sz w:val="21"/>
                <w:szCs w:val="21"/>
              </w:rPr>
              <w:t>(iv) heart failure or left ventricular ejection fraction of 35% or less (or both);</w:t>
            </w:r>
          </w:p>
          <w:p w14:paraId="7C248BC6" w14:textId="77777777" w:rsidR="005270BD" w:rsidRPr="003258DF" w:rsidRDefault="005270BD" w:rsidP="00262CAA">
            <w:pPr>
              <w:spacing w:after="0"/>
              <w:rPr>
                <w:sz w:val="21"/>
                <w:szCs w:val="21"/>
              </w:rPr>
            </w:pPr>
            <w:r w:rsidRPr="003258DF">
              <w:rPr>
                <w:sz w:val="21"/>
                <w:szCs w:val="21"/>
              </w:rPr>
              <w:t>(v) vascular disease (prior myocardial infarction, peripheral artery disease or aortic plaque)</w:t>
            </w:r>
          </w:p>
          <w:p w14:paraId="21132F08" w14:textId="77777777" w:rsidR="005270BD" w:rsidRPr="003258DF" w:rsidRDefault="005270BD" w:rsidP="00262CAA">
            <w:pPr>
              <w:spacing w:after="0"/>
              <w:rPr>
                <w:sz w:val="10"/>
                <w:szCs w:val="10"/>
              </w:rPr>
            </w:pPr>
          </w:p>
          <w:p w14:paraId="7800025F" w14:textId="6599E7D6" w:rsidR="005270BD" w:rsidRPr="003F3EB3" w:rsidRDefault="00C10B7D" w:rsidP="00262CAA">
            <w:pPr>
              <w:spacing w:after="0"/>
            </w:pPr>
            <w:r w:rsidRPr="003258DF">
              <w:rPr>
                <w:sz w:val="21"/>
                <w:szCs w:val="21"/>
              </w:rPr>
              <w:t xml:space="preserve">MBS Fee: </w:t>
            </w:r>
            <w:r w:rsidR="005270BD" w:rsidRPr="003258DF">
              <w:rPr>
                <w:sz w:val="21"/>
                <w:szCs w:val="21"/>
              </w:rPr>
              <w:t xml:space="preserve">$926.90 </w:t>
            </w:r>
            <w:r w:rsidRPr="003258DF">
              <w:rPr>
                <w:sz w:val="21"/>
                <w:szCs w:val="21"/>
              </w:rPr>
              <w:t xml:space="preserve">  </w:t>
            </w:r>
            <w:r w:rsidR="005270BD" w:rsidRPr="003258DF">
              <w:rPr>
                <w:sz w:val="21"/>
                <w:szCs w:val="21"/>
              </w:rPr>
              <w:t>Benefit: 75% = $695.20</w:t>
            </w:r>
            <w:r w:rsidR="003258DF">
              <w:rPr>
                <w:sz w:val="21"/>
                <w:szCs w:val="21"/>
              </w:rPr>
              <w:t xml:space="preserve"> (in-hospital / admitted patient only)</w:t>
            </w:r>
          </w:p>
        </w:tc>
      </w:tr>
      <w:tr w:rsidR="005270BD" w14:paraId="6E6E8780" w14:textId="77777777" w:rsidTr="009C480E">
        <w:tc>
          <w:tcPr>
            <w:tcW w:w="9283" w:type="dxa"/>
            <w:tcBorders>
              <w:top w:val="single" w:sz="4" w:space="0" w:color="000000"/>
              <w:left w:val="single" w:sz="4" w:space="0" w:color="000000"/>
              <w:bottom w:val="single" w:sz="4" w:space="0" w:color="000000"/>
              <w:right w:val="single" w:sz="4" w:space="0" w:color="000000"/>
            </w:tcBorders>
          </w:tcPr>
          <w:p w14:paraId="340C57DA" w14:textId="49156CD4" w:rsidR="005270BD" w:rsidRPr="003258DF" w:rsidRDefault="003258DF" w:rsidP="003258DF">
            <w:pPr>
              <w:spacing w:before="120" w:after="0"/>
              <w:rPr>
                <w:b/>
                <w:i/>
                <w:sz w:val="21"/>
                <w:szCs w:val="21"/>
              </w:rPr>
            </w:pPr>
            <w:r w:rsidRPr="003258DF">
              <w:rPr>
                <w:b/>
                <w:sz w:val="21"/>
                <w:szCs w:val="21"/>
              </w:rPr>
              <w:t xml:space="preserve">Existing Explanatory Note </w:t>
            </w:r>
            <w:r w:rsidR="005270BD" w:rsidRPr="003258DF">
              <w:rPr>
                <w:b/>
                <w:sz w:val="21"/>
                <w:szCs w:val="21"/>
              </w:rPr>
              <w:t>TN.8.132</w:t>
            </w:r>
            <w:r w:rsidRPr="003258DF">
              <w:rPr>
                <w:b/>
                <w:sz w:val="21"/>
                <w:szCs w:val="21"/>
              </w:rPr>
              <w:t xml:space="preserve"> </w:t>
            </w:r>
            <w:r w:rsidRPr="003258DF">
              <w:rPr>
                <w:b/>
                <w:i/>
                <w:sz w:val="21"/>
                <w:szCs w:val="21"/>
              </w:rPr>
              <w:t xml:space="preserve">(with proposed changes indicated by ‘strikethrough’ and </w:t>
            </w:r>
            <w:r w:rsidRPr="00C962A9">
              <w:rPr>
                <w:b/>
                <w:i/>
                <w:color w:val="FF0000"/>
                <w:sz w:val="21"/>
                <w:szCs w:val="21"/>
              </w:rPr>
              <w:t>red text</w:t>
            </w:r>
            <w:r w:rsidRPr="003258DF">
              <w:rPr>
                <w:b/>
                <w:i/>
                <w:sz w:val="21"/>
                <w:szCs w:val="21"/>
              </w:rPr>
              <w:t>)</w:t>
            </w:r>
          </w:p>
          <w:p w14:paraId="5162E74C" w14:textId="77777777" w:rsidR="003258DF" w:rsidRPr="003258DF" w:rsidRDefault="003258DF" w:rsidP="00262CAA">
            <w:pPr>
              <w:spacing w:after="0"/>
              <w:rPr>
                <w:b/>
                <w:sz w:val="10"/>
                <w:szCs w:val="10"/>
              </w:rPr>
            </w:pPr>
          </w:p>
          <w:p w14:paraId="58930296" w14:textId="6C59F041" w:rsidR="005270BD" w:rsidRPr="003258DF" w:rsidRDefault="005270BD" w:rsidP="00262CAA">
            <w:pPr>
              <w:spacing w:after="0"/>
              <w:rPr>
                <w:sz w:val="21"/>
                <w:szCs w:val="21"/>
              </w:rPr>
            </w:pPr>
            <w:r w:rsidRPr="003258DF">
              <w:rPr>
                <w:sz w:val="21"/>
                <w:szCs w:val="21"/>
              </w:rPr>
              <w:t>Transcatheter occlusion of left atrial appendage for stroke prevention (</w:t>
            </w:r>
            <w:r w:rsidR="003258DF" w:rsidRPr="003258DF">
              <w:rPr>
                <w:sz w:val="21"/>
                <w:szCs w:val="21"/>
              </w:rPr>
              <w:t xml:space="preserve">MBS </w:t>
            </w:r>
            <w:r w:rsidRPr="003258DF">
              <w:rPr>
                <w:sz w:val="21"/>
                <w:szCs w:val="21"/>
              </w:rPr>
              <w:t>item 38276)</w:t>
            </w:r>
          </w:p>
          <w:p w14:paraId="1AD71DC5" w14:textId="77777777" w:rsidR="005270BD" w:rsidRPr="003258DF" w:rsidRDefault="005270BD" w:rsidP="00262CAA">
            <w:pPr>
              <w:spacing w:after="0"/>
              <w:rPr>
                <w:sz w:val="10"/>
                <w:szCs w:val="10"/>
              </w:rPr>
            </w:pPr>
          </w:p>
          <w:p w14:paraId="499DC9E9" w14:textId="77777777" w:rsidR="005270BD" w:rsidRPr="003258DF" w:rsidRDefault="005270BD" w:rsidP="00262CAA">
            <w:pPr>
              <w:spacing w:after="0"/>
              <w:rPr>
                <w:b/>
                <w:sz w:val="21"/>
                <w:szCs w:val="21"/>
              </w:rPr>
            </w:pPr>
            <w:r w:rsidRPr="003258DF">
              <w:rPr>
                <w:b/>
                <w:sz w:val="21"/>
                <w:szCs w:val="21"/>
              </w:rPr>
              <w:t>Explanatory Note</w:t>
            </w:r>
          </w:p>
          <w:p w14:paraId="4557C417" w14:textId="77777777" w:rsidR="005270BD" w:rsidRPr="003258DF" w:rsidRDefault="005270BD" w:rsidP="00262CAA">
            <w:pPr>
              <w:spacing w:after="0"/>
              <w:rPr>
                <w:sz w:val="21"/>
                <w:szCs w:val="21"/>
              </w:rPr>
            </w:pPr>
            <w:r w:rsidRPr="003258DF">
              <w:rPr>
                <w:sz w:val="21"/>
                <w:szCs w:val="21"/>
              </w:rPr>
              <w:t>A contraindication to lifelong anticoagulation is defined as:</w:t>
            </w:r>
          </w:p>
          <w:p w14:paraId="530A7508" w14:textId="179A3122" w:rsidR="005270BD" w:rsidRPr="003258DF" w:rsidRDefault="005270BD" w:rsidP="00BB142F">
            <w:pPr>
              <w:pStyle w:val="ListParagraph"/>
              <w:numPr>
                <w:ilvl w:val="0"/>
                <w:numId w:val="14"/>
              </w:numPr>
              <w:spacing w:after="0"/>
              <w:ind w:left="742" w:hanging="382"/>
              <w:rPr>
                <w:sz w:val="21"/>
                <w:szCs w:val="21"/>
              </w:rPr>
            </w:pPr>
            <w:r w:rsidRPr="003258DF">
              <w:rPr>
                <w:sz w:val="21"/>
                <w:szCs w:val="21"/>
              </w:rPr>
              <w:t>a previous major bleeding complication</w:t>
            </w:r>
            <w:r w:rsidR="00B53DB5" w:rsidRPr="003258DF">
              <w:rPr>
                <w:sz w:val="21"/>
                <w:szCs w:val="21"/>
              </w:rPr>
              <w:t xml:space="preserve"> </w:t>
            </w:r>
            <w:r w:rsidR="00B53DB5" w:rsidRPr="00C962A9">
              <w:rPr>
                <w:strike/>
                <w:color w:val="FF0000"/>
                <w:sz w:val="21"/>
                <w:szCs w:val="21"/>
              </w:rPr>
              <w:t>experienced whilst undergoing treatment with oral anticoagulation therapy</w:t>
            </w:r>
            <w:r w:rsidRPr="003258DF">
              <w:rPr>
                <w:sz w:val="21"/>
                <w:szCs w:val="21"/>
              </w:rPr>
              <w:t>, or</w:t>
            </w:r>
          </w:p>
          <w:p w14:paraId="3D7BF286" w14:textId="3947188C" w:rsidR="0026436D" w:rsidRPr="003258DF" w:rsidRDefault="007E7CE4" w:rsidP="00BB142F">
            <w:pPr>
              <w:pStyle w:val="ListParagraph"/>
              <w:numPr>
                <w:ilvl w:val="0"/>
                <w:numId w:val="14"/>
              </w:numPr>
              <w:spacing w:after="0"/>
              <w:ind w:left="742" w:hanging="382"/>
              <w:rPr>
                <w:sz w:val="21"/>
                <w:szCs w:val="21"/>
              </w:rPr>
            </w:pPr>
            <w:r w:rsidRPr="003258DF">
              <w:rPr>
                <w:sz w:val="21"/>
                <w:szCs w:val="21"/>
              </w:rPr>
              <w:t>Bleeding diathesis, or</w:t>
            </w:r>
          </w:p>
          <w:p w14:paraId="5338831B" w14:textId="78618B6C" w:rsidR="005270BD" w:rsidRPr="003258DF" w:rsidRDefault="005270BD" w:rsidP="00BB142F">
            <w:pPr>
              <w:pStyle w:val="ListParagraph"/>
              <w:numPr>
                <w:ilvl w:val="0"/>
                <w:numId w:val="15"/>
              </w:numPr>
              <w:spacing w:after="0"/>
              <w:ind w:hanging="365"/>
              <w:rPr>
                <w:sz w:val="21"/>
                <w:szCs w:val="21"/>
              </w:rPr>
            </w:pPr>
            <w:r w:rsidRPr="003258DF">
              <w:rPr>
                <w:sz w:val="21"/>
                <w:szCs w:val="21"/>
              </w:rPr>
              <w:t>a blood dyscrasia, or</w:t>
            </w:r>
          </w:p>
          <w:p w14:paraId="3A0A7C6C" w14:textId="5214AF7D" w:rsidR="005270BD" w:rsidRPr="003258DF" w:rsidRDefault="005270BD" w:rsidP="00BB142F">
            <w:pPr>
              <w:pStyle w:val="ListParagraph"/>
              <w:numPr>
                <w:ilvl w:val="0"/>
                <w:numId w:val="15"/>
              </w:numPr>
              <w:spacing w:after="0"/>
              <w:ind w:hanging="365"/>
              <w:rPr>
                <w:sz w:val="21"/>
                <w:szCs w:val="21"/>
              </w:rPr>
            </w:pPr>
            <w:r w:rsidRPr="003258DF">
              <w:rPr>
                <w:sz w:val="21"/>
                <w:szCs w:val="21"/>
              </w:rPr>
              <w:t>a vascular abnormality predisposing to potentially life-threatening haemorrhage, or</w:t>
            </w:r>
          </w:p>
          <w:p w14:paraId="3F541E5D" w14:textId="1702BB89" w:rsidR="005270BD" w:rsidRPr="00220CA6" w:rsidRDefault="005270BD" w:rsidP="00BB142F">
            <w:pPr>
              <w:pStyle w:val="ListParagraph"/>
              <w:numPr>
                <w:ilvl w:val="0"/>
                <w:numId w:val="15"/>
              </w:numPr>
              <w:spacing w:after="0"/>
              <w:ind w:hanging="365"/>
              <w:rPr>
                <w:sz w:val="21"/>
                <w:szCs w:val="21"/>
              </w:rPr>
            </w:pPr>
            <w:r w:rsidRPr="00220CA6">
              <w:rPr>
                <w:sz w:val="21"/>
                <w:szCs w:val="21"/>
              </w:rPr>
              <w:lastRenderedPageBreak/>
              <w:t>anaemia, or</w:t>
            </w:r>
          </w:p>
          <w:p w14:paraId="191DBB8A" w14:textId="515AB27C" w:rsidR="005270BD" w:rsidRPr="00220CA6" w:rsidRDefault="005270BD" w:rsidP="00BB142F">
            <w:pPr>
              <w:pStyle w:val="ListParagraph"/>
              <w:numPr>
                <w:ilvl w:val="0"/>
                <w:numId w:val="15"/>
              </w:numPr>
              <w:spacing w:after="0"/>
              <w:ind w:hanging="365"/>
              <w:rPr>
                <w:sz w:val="21"/>
                <w:szCs w:val="21"/>
              </w:rPr>
            </w:pPr>
            <w:r w:rsidRPr="00220CA6">
              <w:rPr>
                <w:sz w:val="21"/>
                <w:szCs w:val="21"/>
              </w:rPr>
              <w:t>prior gastrointestinal bleed, or</w:t>
            </w:r>
          </w:p>
          <w:p w14:paraId="24B06A3C" w14:textId="23AA859E" w:rsidR="005270BD" w:rsidRPr="00220CA6" w:rsidRDefault="005270BD" w:rsidP="00BB142F">
            <w:pPr>
              <w:pStyle w:val="ListParagraph"/>
              <w:numPr>
                <w:ilvl w:val="0"/>
                <w:numId w:val="15"/>
              </w:numPr>
              <w:spacing w:after="0"/>
              <w:ind w:hanging="365"/>
              <w:rPr>
                <w:sz w:val="21"/>
                <w:szCs w:val="21"/>
              </w:rPr>
            </w:pPr>
            <w:r w:rsidRPr="00220CA6">
              <w:rPr>
                <w:sz w:val="21"/>
                <w:szCs w:val="21"/>
              </w:rPr>
              <w:t>thrombocytopenia, or</w:t>
            </w:r>
          </w:p>
          <w:p w14:paraId="1EE8561E" w14:textId="3EDBFC77" w:rsidR="005270BD" w:rsidRPr="00220CA6" w:rsidRDefault="005270BD" w:rsidP="00BB142F">
            <w:pPr>
              <w:pStyle w:val="ListParagraph"/>
              <w:numPr>
                <w:ilvl w:val="0"/>
                <w:numId w:val="15"/>
              </w:numPr>
              <w:spacing w:after="0"/>
              <w:ind w:hanging="365"/>
              <w:rPr>
                <w:sz w:val="21"/>
                <w:szCs w:val="21"/>
              </w:rPr>
            </w:pPr>
            <w:r w:rsidRPr="00220CA6">
              <w:rPr>
                <w:sz w:val="21"/>
                <w:szCs w:val="21"/>
              </w:rPr>
              <w:t>haematological malignancy, or</w:t>
            </w:r>
          </w:p>
          <w:p w14:paraId="79F3C167" w14:textId="70241277" w:rsidR="007E7CE4" w:rsidRPr="00220CA6" w:rsidRDefault="005270BD" w:rsidP="00BB142F">
            <w:pPr>
              <w:pStyle w:val="ListParagraph"/>
              <w:numPr>
                <w:ilvl w:val="0"/>
                <w:numId w:val="15"/>
              </w:numPr>
              <w:spacing w:after="0"/>
              <w:ind w:hanging="365"/>
              <w:rPr>
                <w:sz w:val="21"/>
                <w:szCs w:val="21"/>
              </w:rPr>
            </w:pPr>
            <w:r w:rsidRPr="00220CA6">
              <w:rPr>
                <w:sz w:val="21"/>
                <w:szCs w:val="21"/>
              </w:rPr>
              <w:t>traumatic intracranial haemorrhage</w:t>
            </w:r>
            <w:r w:rsidR="00191FF8" w:rsidRPr="00220CA6">
              <w:rPr>
                <w:sz w:val="21"/>
                <w:szCs w:val="21"/>
              </w:rPr>
              <w:t>, or</w:t>
            </w:r>
          </w:p>
          <w:p w14:paraId="7CAE42BA" w14:textId="7750EB7E" w:rsidR="007E7CE4" w:rsidRPr="00220CA6" w:rsidRDefault="007E7CE4" w:rsidP="00BB142F">
            <w:pPr>
              <w:pStyle w:val="ListParagraph"/>
              <w:numPr>
                <w:ilvl w:val="0"/>
                <w:numId w:val="15"/>
              </w:numPr>
              <w:spacing w:after="0"/>
              <w:ind w:hanging="365"/>
              <w:rPr>
                <w:sz w:val="21"/>
                <w:szCs w:val="21"/>
              </w:rPr>
            </w:pPr>
            <w:r w:rsidRPr="00220CA6">
              <w:rPr>
                <w:sz w:val="21"/>
                <w:szCs w:val="21"/>
              </w:rPr>
              <w:t>hypersensitivity to registered anticoagulant(s)</w:t>
            </w:r>
          </w:p>
          <w:p w14:paraId="751FD3FD" w14:textId="77777777" w:rsidR="005270BD" w:rsidRPr="003258DF" w:rsidRDefault="005270BD" w:rsidP="00262CAA">
            <w:pPr>
              <w:spacing w:after="0"/>
              <w:rPr>
                <w:sz w:val="10"/>
                <w:szCs w:val="10"/>
              </w:rPr>
            </w:pPr>
          </w:p>
          <w:p w14:paraId="61149A41" w14:textId="77777777" w:rsidR="005270BD" w:rsidRDefault="005270BD" w:rsidP="00262CAA">
            <w:pPr>
              <w:spacing w:after="0"/>
            </w:pPr>
            <w:r w:rsidRPr="003258DF">
              <w:rPr>
                <w:sz w:val="21"/>
                <w:szCs w:val="21"/>
              </w:rPr>
              <w:t>The procedure is performed as a hospital service.</w:t>
            </w:r>
          </w:p>
        </w:tc>
      </w:tr>
    </w:tbl>
    <w:p w14:paraId="5F582836" w14:textId="58E88CDE" w:rsidR="001522AF" w:rsidRDefault="00A42BFE" w:rsidP="00220CA6">
      <w:r>
        <w:lastRenderedPageBreak/>
        <w:t>*</w:t>
      </w:r>
      <w:r w:rsidRPr="004F25EF">
        <w:rPr>
          <w:sz w:val="16"/>
          <w:szCs w:val="16"/>
        </w:rPr>
        <w:t>MBS item descriptor has not been amended to include PASC’s advice</w:t>
      </w:r>
      <w:r w:rsidR="00F44F87">
        <w:rPr>
          <w:sz w:val="16"/>
          <w:szCs w:val="16"/>
        </w:rPr>
        <w:t xml:space="preserve"> (see below)</w:t>
      </w:r>
      <w:bookmarkStart w:id="22" w:name="_GoBack"/>
      <w:bookmarkEnd w:id="22"/>
      <w:r w:rsidRPr="004F25EF">
        <w:rPr>
          <w:sz w:val="16"/>
          <w:szCs w:val="16"/>
        </w:rPr>
        <w:t>.</w:t>
      </w:r>
      <w:r>
        <w:t xml:space="preserve"> </w:t>
      </w:r>
    </w:p>
    <w:p w14:paraId="763CE96C" w14:textId="79F2CF9F" w:rsidR="00A42BFE" w:rsidRPr="00631362" w:rsidRDefault="00A42BFE" w:rsidP="00A42BFE">
      <w:pPr>
        <w:rPr>
          <w:i/>
        </w:rPr>
      </w:pPr>
      <w:r w:rsidRPr="00631362">
        <w:rPr>
          <w:i/>
        </w:rPr>
        <w:t>PASC noted that the proposed MBS item in the PICO will need to be revised to be consistent with the revised Population 2 (see Population).</w:t>
      </w:r>
      <w:r>
        <w:rPr>
          <w:i/>
        </w:rPr>
        <w:t xml:space="preserve"> </w:t>
      </w:r>
      <w:r w:rsidRPr="00631362">
        <w:rPr>
          <w:i/>
        </w:rPr>
        <w:t>PASC noted that all contraindications will need to be clearly defined.</w:t>
      </w:r>
    </w:p>
    <w:p w14:paraId="589556D8" w14:textId="77777777" w:rsidR="00631362" w:rsidRPr="00631362" w:rsidRDefault="00631362" w:rsidP="00631362">
      <w:pPr>
        <w:rPr>
          <w:i/>
        </w:rPr>
      </w:pPr>
      <w:r w:rsidRPr="00631362">
        <w:rPr>
          <w:i/>
        </w:rPr>
        <w:t xml:space="preserve">PASC noted that in the draft PICO, determining eligibility for the intervention required both a non-interventional and interventional cardiologist to assess contraindications to life-long OAT and risk of thromboembolism. However, the proposed MBS item, based on the current MBS item 38276, does not include the requirement for a non-interventional and interventional cardiologist to determine eligibility. PASC noted that in the pre-PASC response, the applicant claimed the populations were well defined and that having a non-interventional and interventional cardiologist determine eligibility is most likely redundant. However, the applicant acknowledged that should the definition of ‘relative’ contraindications for Population 2 include ix. high falls risk and x. cognitive impairment such as dementia, then both a non-interventional and interventional cardiologist would be required to determine eligibility. PASC considered an interventional and non-interventional cardiologist should be required to determine eligibility in both populations. </w:t>
      </w:r>
    </w:p>
    <w:p w14:paraId="48E32C61" w14:textId="2CFB53AD" w:rsidR="00631362" w:rsidRPr="00631362" w:rsidRDefault="00631362" w:rsidP="00631362">
      <w:pPr>
        <w:rPr>
          <w:i/>
        </w:rPr>
      </w:pPr>
      <w:r w:rsidRPr="00631362">
        <w:rPr>
          <w:i/>
        </w:rPr>
        <w:t>PASC advised that the issue of whether MBS item 38276 should be amended to include Population 2 or whether Population 2 should be a separate MBS item can be resolved during the evaluation phase.</w:t>
      </w:r>
    </w:p>
    <w:p w14:paraId="081B11D5" w14:textId="06ECAD6F" w:rsidR="00E77853" w:rsidRDefault="001522AF" w:rsidP="00781BAE">
      <w:pPr>
        <w:pStyle w:val="Heading2"/>
      </w:pPr>
      <w:r w:rsidRPr="004847E1">
        <w:t>Consultation feedback</w:t>
      </w:r>
    </w:p>
    <w:p w14:paraId="29585B80" w14:textId="77777777" w:rsidR="00631362" w:rsidRPr="00631362" w:rsidRDefault="00631362" w:rsidP="00631362">
      <w:pPr>
        <w:rPr>
          <w:i/>
        </w:rPr>
      </w:pPr>
      <w:r w:rsidRPr="00631362">
        <w:rPr>
          <w:i/>
        </w:rPr>
        <w:t>PASC noted the following feedback:</w:t>
      </w:r>
    </w:p>
    <w:p w14:paraId="5F7402A0" w14:textId="77777777" w:rsidR="00631362" w:rsidRPr="00631362" w:rsidRDefault="00631362" w:rsidP="00BB142F">
      <w:pPr>
        <w:pStyle w:val="ListParagraph"/>
        <w:numPr>
          <w:ilvl w:val="0"/>
          <w:numId w:val="24"/>
        </w:numPr>
        <w:rPr>
          <w:i/>
        </w:rPr>
      </w:pPr>
      <w:r w:rsidRPr="00631362">
        <w:rPr>
          <w:i/>
        </w:rPr>
        <w:t>A health care funding body noted the cost of the prosthesis ($11,400) relative to the cost of one of the common medications for AF (PBS list price of $21) along with risk of over-servicing.</w:t>
      </w:r>
    </w:p>
    <w:p w14:paraId="16471A48" w14:textId="1D3398A7" w:rsidR="00631362" w:rsidRPr="00631362" w:rsidRDefault="00631362" w:rsidP="00BB142F">
      <w:pPr>
        <w:pStyle w:val="ListParagraph"/>
        <w:numPr>
          <w:ilvl w:val="0"/>
          <w:numId w:val="24"/>
        </w:numPr>
        <w:rPr>
          <w:i/>
        </w:rPr>
      </w:pPr>
      <w:r w:rsidRPr="00631362">
        <w:rPr>
          <w:i/>
        </w:rPr>
        <w:t>A consumer group was supportive, noting the bleeding risk with anticoagulation and that some patients “have trouble taking or staying on medicines”.</w:t>
      </w:r>
    </w:p>
    <w:p w14:paraId="1454BFA2" w14:textId="58FA7939" w:rsidR="00E77853" w:rsidRDefault="001522AF" w:rsidP="00781BAE">
      <w:pPr>
        <w:pStyle w:val="Heading2"/>
      </w:pPr>
      <w:r w:rsidRPr="004847E1">
        <w:t>Next steps</w:t>
      </w:r>
    </w:p>
    <w:p w14:paraId="01532C66" w14:textId="77777777" w:rsidR="00631362" w:rsidRPr="00631362" w:rsidRDefault="00631362" w:rsidP="00631362">
      <w:pPr>
        <w:rPr>
          <w:i/>
        </w:rPr>
      </w:pPr>
      <w:r w:rsidRPr="00631362">
        <w:rPr>
          <w:i/>
        </w:rPr>
        <w:t xml:space="preserve">PASC advised that the two patient populations proposed by the applicant in the pre-PASC response be progressed separately. PASC advised that Population 1, expanding the ‘absolute’ contraindications to OAT in the current MBS item 38276, be presented along with a budget impact analyses to the MSAC Executive for consideration. </w:t>
      </w:r>
    </w:p>
    <w:p w14:paraId="2172E1AA" w14:textId="3F7BE401" w:rsidR="00F918AC" w:rsidRDefault="00631362" w:rsidP="00F918AC">
      <w:pPr>
        <w:rPr>
          <w:rFonts w:ascii="Arial" w:eastAsiaTheme="minorHAnsi" w:hAnsi="Arial" w:cs="Arial"/>
        </w:rPr>
      </w:pPr>
      <w:r w:rsidRPr="00631362">
        <w:rPr>
          <w:i/>
        </w:rPr>
        <w:t xml:space="preserve">PASC advised that, upon ratification of the post-PASC PICO, the application for Population 2 can proceed </w:t>
      </w:r>
      <w:r w:rsidR="00F918AC" w:rsidRPr="00F918AC">
        <w:rPr>
          <w:i/>
        </w:rPr>
        <w:t xml:space="preserve">to </w:t>
      </w:r>
      <w:r w:rsidR="00F918AC" w:rsidRPr="00631362">
        <w:rPr>
          <w:i/>
        </w:rPr>
        <w:t>Evaluation Sub-Committee</w:t>
      </w:r>
      <w:r w:rsidR="00F918AC" w:rsidRPr="00F918AC">
        <w:rPr>
          <w:i/>
        </w:rPr>
        <w:t xml:space="preserve"> </w:t>
      </w:r>
      <w:r w:rsidR="00F918AC">
        <w:rPr>
          <w:i/>
        </w:rPr>
        <w:t>(</w:t>
      </w:r>
      <w:r w:rsidR="00F918AC" w:rsidRPr="00F918AC">
        <w:rPr>
          <w:i/>
        </w:rPr>
        <w:t>ESC</w:t>
      </w:r>
      <w:r w:rsidR="00F918AC">
        <w:rPr>
          <w:i/>
        </w:rPr>
        <w:t>)</w:t>
      </w:r>
      <w:r w:rsidR="00F918AC" w:rsidRPr="00F918AC">
        <w:rPr>
          <w:i/>
        </w:rPr>
        <w:t>.</w:t>
      </w:r>
      <w:r w:rsidR="00F918AC">
        <w:rPr>
          <w:rFonts w:ascii="Arial" w:hAnsi="Arial" w:cs="Arial"/>
        </w:rPr>
        <w:t xml:space="preserve"> </w:t>
      </w:r>
    </w:p>
    <w:p w14:paraId="0BF2AA75" w14:textId="1405ADBA" w:rsidR="003A3EAA" w:rsidRPr="00631362" w:rsidRDefault="00631362" w:rsidP="00631362">
      <w:pPr>
        <w:rPr>
          <w:rFonts w:cs="Calibri"/>
          <w:i/>
        </w:rPr>
      </w:pPr>
      <w:r w:rsidRPr="00631362">
        <w:rPr>
          <w:i/>
        </w:rPr>
        <w:lastRenderedPageBreak/>
        <w:t>PASC noted the applicant elected to progress its application as an ADAR (applicant-developed assessment report)</w:t>
      </w:r>
      <w:r w:rsidR="008C3AD8">
        <w:rPr>
          <w:i/>
        </w:rPr>
        <w:t xml:space="preserve"> and therefore a contracted commentary of the ADAR will be presented to the ESC</w:t>
      </w:r>
      <w:r w:rsidRPr="00631362">
        <w:rPr>
          <w:i/>
        </w:rPr>
        <w:t>.</w:t>
      </w:r>
    </w:p>
    <w:p w14:paraId="28930F77" w14:textId="77777777" w:rsidR="00E77853" w:rsidRDefault="00E77853">
      <w:pPr>
        <w:rPr>
          <w:rFonts w:asciiTheme="majorHAnsi" w:eastAsiaTheme="majorEastAsia" w:hAnsiTheme="majorHAnsi" w:cstheme="majorBidi"/>
          <w:b/>
          <w:bCs/>
          <w:color w:val="00B0F0"/>
          <w:sz w:val="32"/>
          <w:szCs w:val="32"/>
        </w:rPr>
      </w:pPr>
      <w:r>
        <w:rPr>
          <w:color w:val="00B0F0"/>
          <w:sz w:val="32"/>
          <w:szCs w:val="32"/>
        </w:rPr>
        <w:br w:type="page"/>
      </w:r>
    </w:p>
    <w:p w14:paraId="61A37CAC" w14:textId="2AE4ED43" w:rsidR="00915613" w:rsidRPr="004847E1" w:rsidRDefault="001522AF" w:rsidP="00220CA6">
      <w:pPr>
        <w:pStyle w:val="Heading2"/>
        <w:rPr>
          <w:sz w:val="12"/>
          <w:szCs w:val="12"/>
        </w:rPr>
      </w:pPr>
      <w:r w:rsidRPr="004847E1">
        <w:lastRenderedPageBreak/>
        <w:t>References</w:t>
      </w:r>
      <w:r w:rsidR="00570E2F" w:rsidRPr="004847E1">
        <w:br/>
      </w:r>
    </w:p>
    <w:p w14:paraId="5448A5E0" w14:textId="77777777" w:rsidR="00915613" w:rsidRPr="00915613" w:rsidRDefault="00915613" w:rsidP="00915613">
      <w:r w:rsidRPr="00915613">
        <w:t>Ang SY, Peterson GM, Friesen WT, and Vial JH. (1998) Review of antithrombotic drug usage in atrial fibrillation. J Clin Pharm Ther 23(2):97—106.</w:t>
      </w:r>
    </w:p>
    <w:p w14:paraId="021060B7" w14:textId="77777777" w:rsidR="00915613" w:rsidRPr="00915613" w:rsidRDefault="00915613" w:rsidP="00915613">
      <w:r w:rsidRPr="00915613">
        <w:t>Australian Bureau of Statistics [ABS]. Causes of Death 2018, ABS cat. no. 3303.0, September. 2019 https://www.abs.gov.au/AUSSTATS/abs@.nsf/Lookup/3303.0Main+Features12018?OpenDocument (accessed 23 October 2019)</w:t>
      </w:r>
    </w:p>
    <w:p w14:paraId="495AF3E4" w14:textId="77777777" w:rsidR="00915613" w:rsidRPr="00915613" w:rsidRDefault="00915613" w:rsidP="00915613">
      <w:r w:rsidRPr="00915613">
        <w:t xml:space="preserve">Australian Institute of Health and Welfare 2019. Cardiovascular disease. Cat. no. CVD 83. Canberra: AIHW. Viewed 17 October 2019, </w:t>
      </w:r>
      <w:hyperlink r:id="rId14" w:history="1">
        <w:r w:rsidRPr="00915613">
          <w:rPr>
            <w:rStyle w:val="Hyperlink"/>
          </w:rPr>
          <w:t>https://www.aihw.gov.au/reports/heart-stroke-vascular-diseases/cardiovascular-health-compendium</w:t>
        </w:r>
      </w:hyperlink>
      <w:r w:rsidRPr="00915613">
        <w:t xml:space="preserve"> (Accessed 23 October 2019).</w:t>
      </w:r>
    </w:p>
    <w:p w14:paraId="06CB8497" w14:textId="77777777" w:rsidR="00915613" w:rsidRPr="00915613" w:rsidRDefault="00915613" w:rsidP="00915613">
      <w:r w:rsidRPr="00915613">
        <w:t>De Caterina R, Husted S, Wallentin L, Agnelli G, Bachmann F, Baigent C, et al. Anticoagulants in heart disease: current status and perspectives. Eur Heart J 2007;28(7):880–913.</w:t>
      </w:r>
    </w:p>
    <w:p w14:paraId="46DF5F79" w14:textId="77777777" w:rsidR="00915613" w:rsidRPr="00915613" w:rsidRDefault="00915613" w:rsidP="00915613">
      <w:r w:rsidRPr="00915613">
        <w:t xml:space="preserve">Department of Health and Ageing (DoHA): review of anticoagulation therapies in atrial fibrillation Canberra: Commonwealth of Australia 2012. Available at </w:t>
      </w:r>
      <w:hyperlink r:id="rId15" w:history="1">
        <w:r w:rsidRPr="00915613">
          <w:rPr>
            <w:rStyle w:val="Hyperlink"/>
          </w:rPr>
          <w:t>http://www.pbs.gov.au/reviews/atrial-fibrillation-files/report-anticoagulation.pdf</w:t>
        </w:r>
      </w:hyperlink>
    </w:p>
    <w:p w14:paraId="5A3982A2" w14:textId="77777777" w:rsidR="00915613" w:rsidRPr="00915613" w:rsidRDefault="00915613" w:rsidP="00915613">
      <w:r w:rsidRPr="00915613">
        <w:t>Go AS, Hylek EM, Phillips KA, Chang Y, Henault LE, Selby JY, and Singer DE. (2001) Prevalence of diagnosed atrial fibrillation in adults: national implications for rhythm management and stroke prevention: The AnTicoagulation and Risk Factors in Atrial Fibrillation (ATRIA) Study. JAMA 285(18):2370-5.</w:t>
      </w:r>
    </w:p>
    <w:p w14:paraId="1E54FB50" w14:textId="77777777" w:rsidR="00915613" w:rsidRPr="00915613" w:rsidRDefault="00915613" w:rsidP="00915613">
      <w:r w:rsidRPr="00915613">
        <w:t>Lip G. (2003). Cardiac Arrhythmias: a Clinical Approach. Edinburgh: Mosby: 3—24 [Book]</w:t>
      </w:r>
    </w:p>
    <w:p w14:paraId="3D39F5F1" w14:textId="77777777" w:rsidR="00915613" w:rsidRPr="00915613" w:rsidRDefault="00915613" w:rsidP="00915613">
      <w:r w:rsidRPr="00915613">
        <w:t>Miyasaka Y, Barnes ME, Gersh BJ, ChaSS, Bailey KR, Abhayaratna WP, Seward JB, and Tsang TS. (2006) Secular trends in incidence of atrial fibrillation in Olmsted County, Minnesota, 1980 to 2000, and implications on the projections for future prevalence. Circulation 114(2):119-25.</w:t>
      </w:r>
    </w:p>
    <w:p w14:paraId="739CFC22" w14:textId="77777777" w:rsidR="00915613" w:rsidRPr="00915613" w:rsidRDefault="00915613" w:rsidP="00915613">
      <w:r w:rsidRPr="00915613">
        <w:t>MSAC Application 1071. The use of INR point of care testing in general practice. May 2005. Commonwealth of Australia</w:t>
      </w:r>
    </w:p>
    <w:p w14:paraId="68819F88" w14:textId="77777777" w:rsidR="00915613" w:rsidRPr="00915613" w:rsidRDefault="00915613" w:rsidP="00915613">
      <w:r w:rsidRPr="00915613">
        <w:t>MSAC stakeholder meeting minutes: transcatheter occlusion of the left atrial appendage (LAA) June 2015.</w:t>
      </w:r>
    </w:p>
    <w:p w14:paraId="4FD215EC" w14:textId="6161986C" w:rsidR="00915613" w:rsidRPr="00915613" w:rsidRDefault="00915613" w:rsidP="00915613">
      <w:r w:rsidRPr="00915613">
        <w:t>National Heart Founda</w:t>
      </w:r>
      <w:r w:rsidR="003258DF">
        <w:t xml:space="preserve">tion (NHF) of Australia and </w:t>
      </w:r>
      <w:r w:rsidRPr="00915613">
        <w:t>Cardiac Society of Australia and New Zealand: Austral</w:t>
      </w:r>
      <w:r w:rsidR="003258DF">
        <w:t xml:space="preserve">ian clinical guidelines for </w:t>
      </w:r>
      <w:r w:rsidRPr="00915613">
        <w:t xml:space="preserve">diagnosis and management of atrial fibrillation. 2018. Heart, Lung and Circulation 27, 1209–1266. </w:t>
      </w:r>
      <w:hyperlink r:id="rId16" w:history="1">
        <w:r w:rsidRPr="00915613">
          <w:rPr>
            <w:rStyle w:val="Hyperlink"/>
          </w:rPr>
          <w:t>https://doi.org/10.1016/j.hlc.2018.06.1043</w:t>
        </w:r>
      </w:hyperlink>
    </w:p>
    <w:p w14:paraId="155564CB" w14:textId="77777777" w:rsidR="00915613" w:rsidRPr="00915613" w:rsidRDefault="00915613" w:rsidP="00915613">
      <w:r w:rsidRPr="00915613">
        <w:t xml:space="preserve">Public Summary Document [PSD] Application 1347 – Transcatheter occlusion of the left atrial appendage for patients with non-valvular atrial fibrillation, November 2014. </w:t>
      </w:r>
    </w:p>
    <w:p w14:paraId="08086AE9" w14:textId="77777777" w:rsidR="00915613" w:rsidRPr="00915613" w:rsidRDefault="00915613" w:rsidP="00915613">
      <w:r w:rsidRPr="00915613">
        <w:t xml:space="preserve">Public Summary Document [PSD] Application 1347.1 – Transcatheter occlusion of the left atrial appendage for patients with non-valvular atrial fibrillation, July 2016. </w:t>
      </w:r>
    </w:p>
    <w:p w14:paraId="45FA11BC" w14:textId="77777777" w:rsidR="00915613" w:rsidRPr="00915613" w:rsidRDefault="00915613" w:rsidP="00915613">
      <w:r w:rsidRPr="00915613">
        <w:t>Price Waterhouse Coopers. (2010). The economic costs of atrial fibrillation in Australia: National Stroke Foundation 2010: https://www.hps.com.au/wp-content/uploads/2016/10/Economic-costs-of-atrial-fibrillation-in-Australia.pdf (accessed 23 October 2019)</w:t>
      </w:r>
    </w:p>
    <w:p w14:paraId="25872FC4" w14:textId="77777777" w:rsidR="00915613" w:rsidRPr="00915613" w:rsidRDefault="00915613" w:rsidP="00915613">
      <w:r w:rsidRPr="00915613">
        <w:lastRenderedPageBreak/>
        <w:t xml:space="preserve">Reddy VY, Doshi SK, Kar S, Gibson DN, Gibson DN, Price M, Huber K, Horton RP, Buchbinder M, Neuzil P, Gordon NT, Holmes DR on behalf of the PREVAIL and PROTECT AF investigators. 2017. 5-year outcomes after left atrial appendage closure </w:t>
      </w:r>
      <w:r w:rsidRPr="00915613">
        <w:softHyphen/>
        <w:t xml:space="preserve"> from the PREVAIL and PROTECT AF trials. Journal of the American College of Cardiology 70(24):2964–2975</w:t>
      </w:r>
    </w:p>
    <w:p w14:paraId="4E403D35" w14:textId="77777777" w:rsidR="00915613" w:rsidRPr="00915613" w:rsidRDefault="00915613" w:rsidP="00915613">
      <w:r w:rsidRPr="00915613">
        <w:t xml:space="preserve">Savelieva I, Paquette M, Dorian P, Luderitz B, and Camm AJ. (2001) Quality of life in patients with silent atrial fibrillation. Heart 85(2):216-7. </w:t>
      </w:r>
      <w:r w:rsidRPr="00915613">
        <w:fldChar w:fldCharType="begin"/>
      </w:r>
      <w:r w:rsidRPr="00915613">
        <w:instrText xml:space="preserve"> ADDIN EN.CITE &lt;EndNote&gt;&lt;Cite&gt;&lt;Author&gt;Savelieva&lt;/Author&gt;&lt;Year&gt;2001&lt;/Year&gt;&lt;RecNum&gt;2&lt;/RecNum&gt;&lt;DisplayText&gt;[1]&lt;/DisplayText&gt;&lt;record&gt;&lt;rec-number&gt;2&lt;/rec-number&gt;&lt;foreign-keys&gt;&lt;key app="EN" db-id="s9rzesrdqrvavje9xdnxxftdfs2ftz9dtzws" timestamp="1583827118"&gt;2&lt;/key&gt;&lt;/foreign-keys&gt;&lt;ref-type name="Journal Article"&gt;17&lt;/ref-type&gt;&lt;contributors&gt;&lt;authors&gt;&lt;author&gt;Savelieva, I.&lt;/author&gt;&lt;author&gt;Paquette, M.&lt;/author&gt;&lt;author&gt;Dorian, P.&lt;/author&gt;&lt;author&gt;Luderitz, B.&lt;/author&gt;&lt;author&gt;Camm, A. J.&lt;/author&gt;&lt;/authors&gt;&lt;/contributors&gt;&lt;titles&gt;&lt;title&gt;Quality of life in patients with silent atrial fibrillation&lt;/title&gt;&lt;secondary-title&gt;Heart&lt;/secondary-title&gt;&lt;/titles&gt;&lt;periodical&gt;&lt;full-title&gt;Heart&lt;/full-title&gt;&lt;/periodical&gt;&lt;pages&gt;216-7&lt;/pages&gt;&lt;volume&gt;85&lt;/volume&gt;&lt;number&gt;2&lt;/number&gt;&lt;edition&gt;2001/01/13&lt;/edition&gt;&lt;keywords&gt;&lt;keyword&gt;Adult&lt;/keyword&gt;&lt;keyword&gt;Aged&lt;/keyword&gt;&lt;keyword&gt;Atrial Fibrillation/*psychology&lt;/keyword&gt;&lt;keyword&gt;Female&lt;/keyword&gt;&lt;keyword&gt;Health Status Indicators&lt;/keyword&gt;&lt;keyword&gt;Humans&lt;/keyword&gt;&lt;keyword&gt;Male&lt;/keyword&gt;&lt;keyword&gt;Middle Aged&lt;/keyword&gt;&lt;keyword&gt;*Quality of Life&lt;/keyword&gt;&lt;keyword&gt;Severity of Illness Index&lt;/keyword&gt;&lt;/keywords&gt;&lt;dates&gt;&lt;year&gt;2001&lt;/year&gt;&lt;pub-dates&gt;&lt;date&gt;Feb&lt;/date&gt;&lt;/pub-dates&gt;&lt;/dates&gt;&lt;isbn&gt;1468-201X (Electronic)&amp;#xD;1355-6037 (Linking)&lt;/isbn&gt;&lt;accession-num&gt;11156677&lt;/accession-num&gt;&lt;urls&gt;&lt;related-urls&gt;&lt;url&gt;https://www.ncbi.nlm.nih.gov/pubmed/11156677&lt;/url&gt;&lt;/related-urls&gt;&lt;/urls&gt;&lt;custom2&gt;PMC1729617&lt;/custom2&gt;&lt;electronic-resource-num&gt;10.1136/heart.85.2.216&lt;/electronic-resource-num&gt;&lt;/record&gt;&lt;/Cite&gt;&lt;/EndNote&gt;</w:instrText>
      </w:r>
      <w:r w:rsidRPr="00915613">
        <w:fldChar w:fldCharType="separate"/>
      </w:r>
      <w:r w:rsidRPr="00915613">
        <w:t>[1]</w:t>
      </w:r>
      <w:r w:rsidRPr="00915613">
        <w:fldChar w:fldCharType="end"/>
      </w:r>
    </w:p>
    <w:p w14:paraId="67337A28" w14:textId="77777777" w:rsidR="00915613" w:rsidRPr="00915613" w:rsidRDefault="00915613" w:rsidP="00915613">
      <w:pPr>
        <w:rPr>
          <w:lang w:val="de-CH"/>
        </w:rPr>
      </w:pPr>
      <w:r w:rsidRPr="00915613">
        <w:t xml:space="preserve">Smith NL, Psaty BM, Furberg CD, White R, Lima JA, Newman AB, Manolio TA. Temporal trends in the use of anticoagulants among older adults with atrial fibrillation. </w:t>
      </w:r>
      <w:r w:rsidRPr="00915613">
        <w:rPr>
          <w:lang w:val="de-CH"/>
        </w:rPr>
        <w:t>Arch Intern Med. 1999 Jul 26;159(14):1574-8.</w:t>
      </w:r>
    </w:p>
    <w:p w14:paraId="3CE247AB" w14:textId="77777777" w:rsidR="00915613" w:rsidRPr="00915613" w:rsidRDefault="00915613" w:rsidP="00915613">
      <w:r w:rsidRPr="00915613">
        <w:rPr>
          <w:lang w:val="de-CH"/>
        </w:rPr>
        <w:t xml:space="preserve">Steinberg B, Greiner M, Hammill G, Curtis LH, Benjamin EJ, Heckbert SR, Piccini JP. 2015. </w:t>
      </w:r>
      <w:r w:rsidRPr="00915613">
        <w:t>Contraindications to Anticoagulation Therapy and Eligibility for Novel Anticoagulants in Older Patients With Atrial Fibrillation. Cardiovasc Ther. 2015 August ; 33(4): 177–183. doi:10.1111/1755-5922.12129.</w:t>
      </w:r>
    </w:p>
    <w:p w14:paraId="4FE43D9E" w14:textId="77777777" w:rsidR="00915613" w:rsidRPr="00915613" w:rsidRDefault="00915613" w:rsidP="00915613">
      <w:r w:rsidRPr="00915613">
        <w:t>Sturm JW, Davis SM, O’Sullivan JG, Vedadhaghi ME, Donnan GA. 2002. The Avoid Stroke as Soon as Possible (ASAP) general practice stroke audit. MJA 2002; 176: 312–316.</w:t>
      </w:r>
    </w:p>
    <w:p w14:paraId="50664928" w14:textId="1A6113C6" w:rsidR="008C3E5E" w:rsidRPr="00DE3D6C" w:rsidRDefault="008C3E5E" w:rsidP="00915613"/>
    <w:sectPr w:rsidR="008C3E5E" w:rsidRPr="00DE3D6C" w:rsidSect="00570E2F">
      <w:headerReference w:type="even" r:id="rId17"/>
      <w:footerReference w:type="default" r:id="rId18"/>
      <w:pgSz w:w="11906" w:h="16838"/>
      <w:pgMar w:top="851" w:right="1440" w:bottom="1191"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BB24C7" w16cid:durableId="2267F056"/>
  <w16cid:commentId w16cid:paraId="49D4B125" w16cid:durableId="2267B971"/>
  <w16cid:commentId w16cid:paraId="5A4DCF18" w16cid:durableId="2267BA6A"/>
  <w16cid:commentId w16cid:paraId="6F87F417" w16cid:durableId="2267DFDF"/>
  <w16cid:commentId w16cid:paraId="6844F228" w16cid:durableId="2267E02A"/>
  <w16cid:commentId w16cid:paraId="6059D3CB" w16cid:durableId="226FD7FB"/>
  <w16cid:commentId w16cid:paraId="2D1BD30E" w16cid:durableId="2267E544"/>
  <w16cid:commentId w16cid:paraId="5C518A95" w16cid:durableId="2267E071"/>
  <w16cid:commentId w16cid:paraId="2B5749EB" w16cid:durableId="2267E748"/>
  <w16cid:commentId w16cid:paraId="2D1F9C17" w16cid:durableId="2267E786"/>
  <w16cid:commentId w16cid:paraId="132E9F25" w16cid:durableId="226FD881"/>
  <w16cid:commentId w16cid:paraId="411E14F7" w16cid:durableId="2267E0B8"/>
  <w16cid:commentId w16cid:paraId="7A81ED77" w16cid:durableId="2267E0D3"/>
  <w16cid:commentId w16cid:paraId="58F55DAD" w16cid:durableId="2267E0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B9220" w14:textId="77777777" w:rsidR="00C962A9" w:rsidRDefault="00C962A9" w:rsidP="003D699E">
      <w:pPr>
        <w:spacing w:after="0" w:line="240" w:lineRule="auto"/>
      </w:pPr>
      <w:r>
        <w:separator/>
      </w:r>
    </w:p>
  </w:endnote>
  <w:endnote w:type="continuationSeparator" w:id="0">
    <w:p w14:paraId="633BCD0A" w14:textId="77777777" w:rsidR="00C962A9" w:rsidRDefault="00C962A9" w:rsidP="003D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14:paraId="2F14E88A" w14:textId="2534C944" w:rsidR="00C962A9" w:rsidRDefault="00C962A9"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F44F87" w:rsidRPr="00F44F87">
          <w:rPr>
            <w:b/>
            <w:bCs/>
            <w:noProof/>
            <w:sz w:val="18"/>
            <w:szCs w:val="18"/>
          </w:rPr>
          <w:t>21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Ratified PICO – JUNE 2020</w:t>
        </w:r>
      </w:p>
      <w:p w14:paraId="5029C269" w14:textId="77777777" w:rsidR="00C962A9" w:rsidRPr="00CF2DFA" w:rsidRDefault="00C962A9" w:rsidP="003D699E">
        <w:pPr>
          <w:pStyle w:val="Footer"/>
          <w:pBdr>
            <w:top w:val="single" w:sz="4" w:space="1" w:color="D9D9D9" w:themeColor="background1" w:themeShade="D9"/>
          </w:pBdr>
          <w:rPr>
            <w:b/>
            <w:bCs/>
            <w:sz w:val="18"/>
            <w:szCs w:val="18"/>
          </w:rPr>
        </w:pPr>
        <w:r>
          <w:rPr>
            <w:color w:val="808080" w:themeColor="background1" w:themeShade="80"/>
            <w:spacing w:val="60"/>
            <w:sz w:val="18"/>
            <w:szCs w:val="18"/>
          </w:rPr>
          <w:tab/>
          <w:t xml:space="preserve">Application 1615: </w:t>
        </w:r>
        <w:r w:rsidRPr="005342CA">
          <w:rPr>
            <w:color w:val="808080" w:themeColor="background1" w:themeShade="80"/>
            <w:spacing w:val="60"/>
            <w:sz w:val="18"/>
            <w:szCs w:val="18"/>
          </w:rPr>
          <w:t>Transcatheter occlusion of the left atrial appendage for patients with non-valvular atrial fibrillation</w:t>
        </w:r>
      </w:p>
    </w:sdtContent>
  </w:sdt>
  <w:p w14:paraId="6D140C89" w14:textId="77777777" w:rsidR="00C962A9" w:rsidRDefault="00C962A9" w:rsidP="003D699E">
    <w:pPr>
      <w:pStyle w:val="Footer"/>
    </w:pPr>
  </w:p>
  <w:p w14:paraId="3531CE2B" w14:textId="77777777" w:rsidR="00C962A9" w:rsidRDefault="00C96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3223B" w14:textId="77777777" w:rsidR="00C962A9" w:rsidRDefault="00C962A9" w:rsidP="003D699E">
      <w:pPr>
        <w:spacing w:after="0" w:line="240" w:lineRule="auto"/>
      </w:pPr>
      <w:r>
        <w:separator/>
      </w:r>
    </w:p>
  </w:footnote>
  <w:footnote w:type="continuationSeparator" w:id="0">
    <w:p w14:paraId="3411597C" w14:textId="77777777" w:rsidR="00C962A9" w:rsidRDefault="00C962A9" w:rsidP="003D699E">
      <w:pPr>
        <w:spacing w:after="0" w:line="240" w:lineRule="auto"/>
      </w:pPr>
      <w:r>
        <w:continuationSeparator/>
      </w:r>
    </w:p>
  </w:footnote>
  <w:footnote w:id="1">
    <w:p w14:paraId="5DC9DABF" w14:textId="77777777" w:rsidR="00C962A9" w:rsidRPr="00D66ED0" w:rsidRDefault="00C962A9" w:rsidP="00ED4947">
      <w:pPr>
        <w:pStyle w:val="FootnoteText"/>
        <w:rPr>
          <w:lang w:val="en-US"/>
        </w:rPr>
      </w:pPr>
      <w:r>
        <w:rPr>
          <w:rStyle w:val="FootnoteReference"/>
        </w:rPr>
        <w:footnoteRef/>
      </w:r>
      <w:r>
        <w:t xml:space="preserve"> </w:t>
      </w:r>
      <w:hyperlink r:id="rId1" w:history="1">
        <w:r w:rsidRPr="00D166F3">
          <w:rPr>
            <w:rStyle w:val="Hyperlink"/>
          </w:rPr>
          <w:t>http://www.bucksformulary.nhs.uk/docs/ContraindicationsOralAnticoag%26Anti-plateletsAFPrimaryCare.pdf</w:t>
        </w:r>
      </w:hyperlink>
      <w:r>
        <w:t xml:space="preserve"> (accessed 28 October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3AD57" w14:textId="560F056C" w:rsidR="00C962A9" w:rsidRDefault="00C962A9">
    <w:pPr>
      <w:pStyle w:val="Header"/>
    </w:pPr>
    <w:r>
      <w:rPr>
        <w:noProof/>
        <w:lang w:eastAsia="en-AU"/>
      </w:rPr>
      <mc:AlternateContent>
        <mc:Choice Requires="wps">
          <w:drawing>
            <wp:anchor distT="0" distB="0" distL="114300" distR="114300" simplePos="0" relativeHeight="251657728" behindDoc="1" locked="0" layoutInCell="0" allowOverlap="1" wp14:anchorId="2CBD0C76" wp14:editId="592E08A8">
              <wp:simplePos x="0" y="0"/>
              <wp:positionH relativeFrom="margin">
                <wp:align>center</wp:align>
              </wp:positionH>
              <wp:positionV relativeFrom="margin">
                <wp:align>center</wp:align>
              </wp:positionV>
              <wp:extent cx="7458710" cy="621030"/>
              <wp:effectExtent l="0" t="2486025" r="0" b="242697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A2213" w14:textId="77777777" w:rsidR="00C962A9" w:rsidRDefault="00C962A9" w:rsidP="00603D4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BD0C76" id="_x0000_t202" coordsize="21600,21600" o:spt="202" path="m,l,21600r21600,l21600,xe">
              <v:stroke joinstyle="miter"/>
              <v:path gradientshapeok="t" o:connecttype="rect"/>
            </v:shapetype>
            <v:shape id="WordArt 6" o:spid="_x0000_s1115" type="#_x0000_t202" style="position:absolute;margin-left:0;margin-top:0;width:587.3pt;height:48.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n+hQIAAPs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" o:allowincell="f" filled="f" stroked="f">
              <v:stroke joinstyle="round"/>
              <o:lock v:ext="edit" shapetype="t"/>
              <v:textbox style="mso-fit-shape-to-text:t">
                <w:txbxContent>
                  <w:p w14:paraId="666A2213" w14:textId="77777777" w:rsidR="00C962A9" w:rsidRDefault="00C962A9" w:rsidP="00603D4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8FD"/>
    <w:multiLevelType w:val="hybridMultilevel"/>
    <w:tmpl w:val="0AB28AA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0E211D9"/>
    <w:multiLevelType w:val="hybridMultilevel"/>
    <w:tmpl w:val="AA16B76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ED01FF"/>
    <w:multiLevelType w:val="hybridMultilevel"/>
    <w:tmpl w:val="DF4E6CA8"/>
    <w:lvl w:ilvl="0" w:tplc="0C090017">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232503"/>
    <w:multiLevelType w:val="hybridMultilevel"/>
    <w:tmpl w:val="C276D6D4"/>
    <w:lvl w:ilvl="0" w:tplc="FE2C8848">
      <w:start w:val="1"/>
      <w:numFmt w:val="decimal"/>
      <w:lvlText w:val="%1."/>
      <w:lvlJc w:val="left"/>
      <w:pPr>
        <w:ind w:left="720" w:hanging="360"/>
      </w:pPr>
      <w:rPr>
        <w:b/>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79C1D0C"/>
    <w:multiLevelType w:val="hybridMultilevel"/>
    <w:tmpl w:val="27A8E11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9301843"/>
    <w:multiLevelType w:val="hybridMultilevel"/>
    <w:tmpl w:val="D21E6F26"/>
    <w:lvl w:ilvl="0" w:tplc="0E088956">
      <w:start w:val="3"/>
      <w:numFmt w:val="low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60C53"/>
    <w:multiLevelType w:val="hybridMultilevel"/>
    <w:tmpl w:val="EDC6552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DD5670C"/>
    <w:multiLevelType w:val="hybridMultilevel"/>
    <w:tmpl w:val="2A8C9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776C4F"/>
    <w:multiLevelType w:val="hybridMultilevel"/>
    <w:tmpl w:val="A7BC4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E019A5"/>
    <w:multiLevelType w:val="hybridMultilevel"/>
    <w:tmpl w:val="1A4AF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F133E3"/>
    <w:multiLevelType w:val="hybridMultilevel"/>
    <w:tmpl w:val="97C636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C626A1"/>
    <w:multiLevelType w:val="hybridMultilevel"/>
    <w:tmpl w:val="5A18D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C879CA"/>
    <w:multiLevelType w:val="hybridMultilevel"/>
    <w:tmpl w:val="A5AA1E86"/>
    <w:lvl w:ilvl="0" w:tplc="0002B7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F123AC"/>
    <w:multiLevelType w:val="hybridMultilevel"/>
    <w:tmpl w:val="79484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065A95"/>
    <w:multiLevelType w:val="hybridMultilevel"/>
    <w:tmpl w:val="B13E20B6"/>
    <w:lvl w:ilvl="0" w:tplc="B648710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DB6A2E"/>
    <w:multiLevelType w:val="hybridMultilevel"/>
    <w:tmpl w:val="51F2006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E3C9B"/>
    <w:multiLevelType w:val="hybridMultilevel"/>
    <w:tmpl w:val="70E6CAF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6341C88"/>
    <w:multiLevelType w:val="hybridMultilevel"/>
    <w:tmpl w:val="811215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35287B"/>
    <w:multiLevelType w:val="hybridMultilevel"/>
    <w:tmpl w:val="5D10A35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6F5261"/>
    <w:multiLevelType w:val="hybridMultilevel"/>
    <w:tmpl w:val="58CE62A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3C5678"/>
    <w:multiLevelType w:val="hybridMultilevel"/>
    <w:tmpl w:val="39724D94"/>
    <w:lvl w:ilvl="0" w:tplc="93B89D48">
      <w:start w:val="1"/>
      <w:numFmt w:val="lowerRoman"/>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CB64E6A"/>
    <w:multiLevelType w:val="hybridMultilevel"/>
    <w:tmpl w:val="075C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85D7F"/>
    <w:multiLevelType w:val="hybridMultilevel"/>
    <w:tmpl w:val="5B347500"/>
    <w:lvl w:ilvl="0" w:tplc="B648710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0A1B76"/>
    <w:multiLevelType w:val="hybridMultilevel"/>
    <w:tmpl w:val="9CC25BAA"/>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A9B573B"/>
    <w:multiLevelType w:val="hybridMultilevel"/>
    <w:tmpl w:val="A1408C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DC6F0A"/>
    <w:multiLevelType w:val="hybridMultilevel"/>
    <w:tmpl w:val="EFAA0234"/>
    <w:lvl w:ilvl="0" w:tplc="57D2930E">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C55845"/>
    <w:multiLevelType w:val="hybridMultilevel"/>
    <w:tmpl w:val="1BBA2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735B41"/>
    <w:multiLevelType w:val="hybridMultilevel"/>
    <w:tmpl w:val="0E5E874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4C26E9D"/>
    <w:multiLevelType w:val="hybridMultilevel"/>
    <w:tmpl w:val="58CE62A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6F77AAE"/>
    <w:multiLevelType w:val="multilevel"/>
    <w:tmpl w:val="6638C9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8587FA6"/>
    <w:multiLevelType w:val="hybridMultilevel"/>
    <w:tmpl w:val="01FA3A90"/>
    <w:lvl w:ilvl="0" w:tplc="28F6DC36">
      <w:start w:val="1"/>
      <w:numFmt w:val="lowerRoman"/>
      <w:lvlText w:val="%1."/>
      <w:lvlJc w:val="right"/>
      <w:pPr>
        <w:ind w:left="720" w:hanging="360"/>
      </w:pPr>
      <w:rPr>
        <w:sz w:val="22"/>
        <w:szCs w:val="22"/>
      </w:rPr>
    </w:lvl>
    <w:lvl w:ilvl="1" w:tplc="7B7CA91A">
      <w:start w:val="1"/>
      <w:numFmt w:val="lowerLetter"/>
      <w:lvlText w:val="%2."/>
      <w:lvlJc w:val="left"/>
      <w:pPr>
        <w:ind w:left="1080" w:firstLine="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262306"/>
    <w:multiLevelType w:val="hybridMultilevel"/>
    <w:tmpl w:val="C4C8A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7E6422"/>
    <w:multiLevelType w:val="hybridMultilevel"/>
    <w:tmpl w:val="811215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C1660B"/>
    <w:multiLevelType w:val="hybridMultilevel"/>
    <w:tmpl w:val="0AB28AA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0D75A23"/>
    <w:multiLevelType w:val="hybridMultilevel"/>
    <w:tmpl w:val="51F2006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3E7FB9"/>
    <w:multiLevelType w:val="hybridMultilevel"/>
    <w:tmpl w:val="622EEEBA"/>
    <w:lvl w:ilvl="0" w:tplc="0C09001B">
      <w:start w:val="1"/>
      <w:numFmt w:val="lowerRoman"/>
      <w:lvlText w:val="%1."/>
      <w:lvlJc w:val="righ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9AA74C8"/>
    <w:multiLevelType w:val="hybridMultilevel"/>
    <w:tmpl w:val="D9B46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D57622"/>
    <w:multiLevelType w:val="hybridMultilevel"/>
    <w:tmpl w:val="01FA3A90"/>
    <w:lvl w:ilvl="0" w:tplc="28F6DC36">
      <w:start w:val="1"/>
      <w:numFmt w:val="lowerRoman"/>
      <w:lvlText w:val="%1."/>
      <w:lvlJc w:val="right"/>
      <w:pPr>
        <w:ind w:left="720" w:hanging="360"/>
      </w:pPr>
      <w:rPr>
        <w:sz w:val="22"/>
        <w:szCs w:val="22"/>
      </w:rPr>
    </w:lvl>
    <w:lvl w:ilvl="1" w:tplc="7B7CA91A">
      <w:start w:val="1"/>
      <w:numFmt w:val="lowerLetter"/>
      <w:lvlText w:val="%2."/>
      <w:lvlJc w:val="left"/>
      <w:pPr>
        <w:ind w:left="1080" w:firstLine="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8974A7"/>
    <w:multiLevelType w:val="hybridMultilevel"/>
    <w:tmpl w:val="A7BC4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5022FA5"/>
    <w:multiLevelType w:val="hybridMultilevel"/>
    <w:tmpl w:val="622EEEBA"/>
    <w:lvl w:ilvl="0" w:tplc="0C09001B">
      <w:start w:val="1"/>
      <w:numFmt w:val="lowerRoman"/>
      <w:lvlText w:val="%1."/>
      <w:lvlJc w:val="righ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B3869B3"/>
    <w:multiLevelType w:val="hybridMultilevel"/>
    <w:tmpl w:val="B7D86912"/>
    <w:lvl w:ilvl="0" w:tplc="9B94E9EC">
      <w:start w:val="1"/>
      <w:numFmt w:val="bullet"/>
      <w:lvlText w:val="-"/>
      <w:lvlJc w:val="left"/>
      <w:pPr>
        <w:ind w:left="360" w:hanging="360"/>
      </w:pPr>
      <w:rPr>
        <w:rFonts w:ascii="Calibri" w:eastAsia="Calibri" w:hAnsi="Calibri" w:cs="Calibri"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AA09E5"/>
    <w:multiLevelType w:val="hybridMultilevel"/>
    <w:tmpl w:val="67D6E0B2"/>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C5185F"/>
    <w:multiLevelType w:val="hybridMultilevel"/>
    <w:tmpl w:val="75AA9D5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EEA1B49"/>
    <w:multiLevelType w:val="hybridMultilevel"/>
    <w:tmpl w:val="A1408CD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3"/>
  </w:num>
  <w:num w:numId="2">
    <w:abstractNumId w:val="15"/>
  </w:num>
  <w:num w:numId="3">
    <w:abstractNumId w:val="31"/>
  </w:num>
  <w:num w:numId="4">
    <w:abstractNumId w:val="7"/>
  </w:num>
  <w:num w:numId="5">
    <w:abstractNumId w:val="26"/>
  </w:num>
  <w:num w:numId="6">
    <w:abstractNumId w:val="36"/>
  </w:num>
  <w:num w:numId="7">
    <w:abstractNumId w:val="2"/>
  </w:num>
  <w:num w:numId="8">
    <w:abstractNumId w:val="34"/>
  </w:num>
  <w:num w:numId="9">
    <w:abstractNumId w:val="20"/>
  </w:num>
  <w:num w:numId="10">
    <w:abstractNumId w:val="9"/>
  </w:num>
  <w:num w:numId="11">
    <w:abstractNumId w:val="41"/>
  </w:num>
  <w:num w:numId="12">
    <w:abstractNumId w:val="11"/>
  </w:num>
  <w:num w:numId="13">
    <w:abstractNumId w:val="10"/>
  </w:num>
  <w:num w:numId="14">
    <w:abstractNumId w:val="12"/>
  </w:num>
  <w:num w:numId="15">
    <w:abstractNumId w:val="5"/>
  </w:num>
  <w:num w:numId="16">
    <w:abstractNumId w:val="40"/>
  </w:num>
  <w:num w:numId="17">
    <w:abstractNumId w:val="14"/>
  </w:num>
  <w:num w:numId="18">
    <w:abstractNumId w:val="22"/>
  </w:num>
  <w:num w:numId="19">
    <w:abstractNumId w:val="3"/>
  </w:num>
  <w:num w:numId="20">
    <w:abstractNumId w:val="4"/>
  </w:num>
  <w:num w:numId="21">
    <w:abstractNumId w:val="1"/>
  </w:num>
  <w:num w:numId="22">
    <w:abstractNumId w:val="16"/>
  </w:num>
  <w:num w:numId="23">
    <w:abstractNumId w:val="27"/>
  </w:num>
  <w:num w:numId="24">
    <w:abstractNumId w:val="6"/>
  </w:num>
  <w:num w:numId="25">
    <w:abstractNumId w:val="21"/>
  </w:num>
  <w:num w:numId="26">
    <w:abstractNumId w:val="24"/>
  </w:num>
  <w:num w:numId="27">
    <w:abstractNumId w:val="19"/>
  </w:num>
  <w:num w:numId="28">
    <w:abstractNumId w:val="37"/>
  </w:num>
  <w:num w:numId="29">
    <w:abstractNumId w:val="18"/>
  </w:num>
  <w:num w:numId="30">
    <w:abstractNumId w:val="32"/>
  </w:num>
  <w:num w:numId="31">
    <w:abstractNumId w:val="33"/>
  </w:num>
  <w:num w:numId="32">
    <w:abstractNumId w:val="35"/>
  </w:num>
  <w:num w:numId="33">
    <w:abstractNumId w:val="8"/>
  </w:num>
  <w:num w:numId="34">
    <w:abstractNumId w:val="25"/>
  </w:num>
  <w:num w:numId="35">
    <w:abstractNumId w:val="28"/>
  </w:num>
  <w:num w:numId="36">
    <w:abstractNumId w:val="30"/>
  </w:num>
  <w:num w:numId="37">
    <w:abstractNumId w:val="42"/>
  </w:num>
  <w:num w:numId="38">
    <w:abstractNumId w:val="17"/>
  </w:num>
  <w:num w:numId="39">
    <w:abstractNumId w:val="0"/>
  </w:num>
  <w:num w:numId="40">
    <w:abstractNumId w:val="39"/>
  </w:num>
  <w:num w:numId="41">
    <w:abstractNumId w:val="38"/>
  </w:num>
  <w:num w:numId="42">
    <w:abstractNumId w:val="43"/>
  </w:num>
  <w:num w:numId="43">
    <w:abstractNumId w:val="29"/>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num>
  <w:num w:numId="61">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rzesrdqrvavje9xdnxxftdfs2ftz9dtzws&quot;&gt;1615_transcatheter_occlusion&lt;record-ids&gt;&lt;item&gt;2&lt;/item&gt;&lt;/record-ids&gt;&lt;/item&gt;&lt;/Libraries&gt;"/>
  </w:docVars>
  <w:rsids>
    <w:rsidRoot w:val="0044715D"/>
    <w:rsid w:val="00002118"/>
    <w:rsid w:val="00004548"/>
    <w:rsid w:val="0001022B"/>
    <w:rsid w:val="0001188E"/>
    <w:rsid w:val="00014375"/>
    <w:rsid w:val="00025F62"/>
    <w:rsid w:val="0003068E"/>
    <w:rsid w:val="00032F32"/>
    <w:rsid w:val="00033C05"/>
    <w:rsid w:val="00045E4B"/>
    <w:rsid w:val="000506FA"/>
    <w:rsid w:val="00057693"/>
    <w:rsid w:val="00063AC8"/>
    <w:rsid w:val="00064B55"/>
    <w:rsid w:val="00064BD0"/>
    <w:rsid w:val="000942F0"/>
    <w:rsid w:val="000A0FBA"/>
    <w:rsid w:val="000B519A"/>
    <w:rsid w:val="000B6BD3"/>
    <w:rsid w:val="000C680A"/>
    <w:rsid w:val="000C6E34"/>
    <w:rsid w:val="000D5245"/>
    <w:rsid w:val="000D61DB"/>
    <w:rsid w:val="000D65B1"/>
    <w:rsid w:val="000E2B9F"/>
    <w:rsid w:val="000E7E5C"/>
    <w:rsid w:val="000F1E5D"/>
    <w:rsid w:val="000F3E4F"/>
    <w:rsid w:val="00102DD1"/>
    <w:rsid w:val="001315DD"/>
    <w:rsid w:val="001353CD"/>
    <w:rsid w:val="00140808"/>
    <w:rsid w:val="00143B1B"/>
    <w:rsid w:val="001455EC"/>
    <w:rsid w:val="001477B4"/>
    <w:rsid w:val="00151082"/>
    <w:rsid w:val="001522AF"/>
    <w:rsid w:val="00157859"/>
    <w:rsid w:val="00161FBE"/>
    <w:rsid w:val="00185A78"/>
    <w:rsid w:val="00190CAE"/>
    <w:rsid w:val="00191E53"/>
    <w:rsid w:val="00191FF8"/>
    <w:rsid w:val="00193724"/>
    <w:rsid w:val="00197879"/>
    <w:rsid w:val="001B7AD1"/>
    <w:rsid w:val="001C1216"/>
    <w:rsid w:val="001D27A3"/>
    <w:rsid w:val="001E264A"/>
    <w:rsid w:val="001E4EE3"/>
    <w:rsid w:val="001F2A5C"/>
    <w:rsid w:val="00200218"/>
    <w:rsid w:val="002025E6"/>
    <w:rsid w:val="0020373E"/>
    <w:rsid w:val="0021201F"/>
    <w:rsid w:val="00220CA6"/>
    <w:rsid w:val="002334C4"/>
    <w:rsid w:val="002444CF"/>
    <w:rsid w:val="00245977"/>
    <w:rsid w:val="00252437"/>
    <w:rsid w:val="002551ED"/>
    <w:rsid w:val="00262CAA"/>
    <w:rsid w:val="0026436D"/>
    <w:rsid w:val="00265C9B"/>
    <w:rsid w:val="00267A7F"/>
    <w:rsid w:val="00270F1E"/>
    <w:rsid w:val="00276CAC"/>
    <w:rsid w:val="002777DE"/>
    <w:rsid w:val="00282B7B"/>
    <w:rsid w:val="002923C8"/>
    <w:rsid w:val="00292DE9"/>
    <w:rsid w:val="002953F8"/>
    <w:rsid w:val="002A03CE"/>
    <w:rsid w:val="002A4909"/>
    <w:rsid w:val="002A66BD"/>
    <w:rsid w:val="002B226C"/>
    <w:rsid w:val="002B3338"/>
    <w:rsid w:val="002E130C"/>
    <w:rsid w:val="002F43C1"/>
    <w:rsid w:val="002F4588"/>
    <w:rsid w:val="00303AAD"/>
    <w:rsid w:val="00303C94"/>
    <w:rsid w:val="003057B0"/>
    <w:rsid w:val="00306AE3"/>
    <w:rsid w:val="003127FB"/>
    <w:rsid w:val="003258DF"/>
    <w:rsid w:val="00337956"/>
    <w:rsid w:val="0035654B"/>
    <w:rsid w:val="00357629"/>
    <w:rsid w:val="00362776"/>
    <w:rsid w:val="00365913"/>
    <w:rsid w:val="00373675"/>
    <w:rsid w:val="00373684"/>
    <w:rsid w:val="00374313"/>
    <w:rsid w:val="0037535D"/>
    <w:rsid w:val="00382875"/>
    <w:rsid w:val="00396B68"/>
    <w:rsid w:val="003A3EAA"/>
    <w:rsid w:val="003D46D5"/>
    <w:rsid w:val="003D57BA"/>
    <w:rsid w:val="003D699E"/>
    <w:rsid w:val="003E0382"/>
    <w:rsid w:val="003E0D74"/>
    <w:rsid w:val="003E5E38"/>
    <w:rsid w:val="003F396C"/>
    <w:rsid w:val="003F4985"/>
    <w:rsid w:val="00404E48"/>
    <w:rsid w:val="00406FC5"/>
    <w:rsid w:val="00407B42"/>
    <w:rsid w:val="004105E4"/>
    <w:rsid w:val="00411511"/>
    <w:rsid w:val="004124FA"/>
    <w:rsid w:val="0041425D"/>
    <w:rsid w:val="0042483F"/>
    <w:rsid w:val="00440228"/>
    <w:rsid w:val="004423A2"/>
    <w:rsid w:val="0044715D"/>
    <w:rsid w:val="004509CA"/>
    <w:rsid w:val="004546B5"/>
    <w:rsid w:val="004568EB"/>
    <w:rsid w:val="004574CD"/>
    <w:rsid w:val="00463EC7"/>
    <w:rsid w:val="004847E1"/>
    <w:rsid w:val="004859A4"/>
    <w:rsid w:val="00485CE2"/>
    <w:rsid w:val="004A187C"/>
    <w:rsid w:val="004C1FA9"/>
    <w:rsid w:val="004C6E74"/>
    <w:rsid w:val="004D09EF"/>
    <w:rsid w:val="004D1D41"/>
    <w:rsid w:val="004E2307"/>
    <w:rsid w:val="004E57A7"/>
    <w:rsid w:val="004F1DF1"/>
    <w:rsid w:val="004F25EF"/>
    <w:rsid w:val="00523467"/>
    <w:rsid w:val="0052621C"/>
    <w:rsid w:val="005270BD"/>
    <w:rsid w:val="005275CD"/>
    <w:rsid w:val="005342CA"/>
    <w:rsid w:val="00543A25"/>
    <w:rsid w:val="00554107"/>
    <w:rsid w:val="005638D6"/>
    <w:rsid w:val="005640CC"/>
    <w:rsid w:val="00570E2F"/>
    <w:rsid w:val="0058137F"/>
    <w:rsid w:val="00583FDC"/>
    <w:rsid w:val="0059319B"/>
    <w:rsid w:val="005B0260"/>
    <w:rsid w:val="005B3E7A"/>
    <w:rsid w:val="005C0BCF"/>
    <w:rsid w:val="005C1F89"/>
    <w:rsid w:val="005C68AC"/>
    <w:rsid w:val="005C7B58"/>
    <w:rsid w:val="005D489D"/>
    <w:rsid w:val="005D77BB"/>
    <w:rsid w:val="005E5FFE"/>
    <w:rsid w:val="005E656E"/>
    <w:rsid w:val="005F4D2F"/>
    <w:rsid w:val="00603D41"/>
    <w:rsid w:val="00605DD7"/>
    <w:rsid w:val="00610803"/>
    <w:rsid w:val="0062246F"/>
    <w:rsid w:val="00627B5C"/>
    <w:rsid w:val="006312A6"/>
    <w:rsid w:val="00631362"/>
    <w:rsid w:val="00644920"/>
    <w:rsid w:val="00655327"/>
    <w:rsid w:val="00655715"/>
    <w:rsid w:val="0066639E"/>
    <w:rsid w:val="006830A7"/>
    <w:rsid w:val="006A745D"/>
    <w:rsid w:val="006B6204"/>
    <w:rsid w:val="006C5B52"/>
    <w:rsid w:val="006C73C4"/>
    <w:rsid w:val="006D1643"/>
    <w:rsid w:val="006D6809"/>
    <w:rsid w:val="006E5F5D"/>
    <w:rsid w:val="006F2BA3"/>
    <w:rsid w:val="006F5A0D"/>
    <w:rsid w:val="007018D3"/>
    <w:rsid w:val="00701B16"/>
    <w:rsid w:val="00707360"/>
    <w:rsid w:val="00707E40"/>
    <w:rsid w:val="00717665"/>
    <w:rsid w:val="00722CB8"/>
    <w:rsid w:val="00726292"/>
    <w:rsid w:val="007301DC"/>
    <w:rsid w:val="007322E0"/>
    <w:rsid w:val="0073297A"/>
    <w:rsid w:val="00734F81"/>
    <w:rsid w:val="0073757B"/>
    <w:rsid w:val="00744641"/>
    <w:rsid w:val="00751006"/>
    <w:rsid w:val="00752491"/>
    <w:rsid w:val="00771351"/>
    <w:rsid w:val="00781BAE"/>
    <w:rsid w:val="00795AD8"/>
    <w:rsid w:val="00796654"/>
    <w:rsid w:val="007A49E4"/>
    <w:rsid w:val="007A77E8"/>
    <w:rsid w:val="007B4EAB"/>
    <w:rsid w:val="007C74EB"/>
    <w:rsid w:val="007E3286"/>
    <w:rsid w:val="007E3325"/>
    <w:rsid w:val="007E7CE4"/>
    <w:rsid w:val="007E7E23"/>
    <w:rsid w:val="007F4E20"/>
    <w:rsid w:val="008002A5"/>
    <w:rsid w:val="008117E9"/>
    <w:rsid w:val="00823123"/>
    <w:rsid w:val="008305C3"/>
    <w:rsid w:val="00831CA9"/>
    <w:rsid w:val="008425D2"/>
    <w:rsid w:val="00845A87"/>
    <w:rsid w:val="0085113F"/>
    <w:rsid w:val="008529A9"/>
    <w:rsid w:val="008550CD"/>
    <w:rsid w:val="008553F2"/>
    <w:rsid w:val="00870120"/>
    <w:rsid w:val="00870245"/>
    <w:rsid w:val="008706D6"/>
    <w:rsid w:val="008711CC"/>
    <w:rsid w:val="0087282C"/>
    <w:rsid w:val="00874BA7"/>
    <w:rsid w:val="008757BF"/>
    <w:rsid w:val="008866D9"/>
    <w:rsid w:val="00895BCC"/>
    <w:rsid w:val="008965B2"/>
    <w:rsid w:val="00896845"/>
    <w:rsid w:val="00897B8F"/>
    <w:rsid w:val="008A729E"/>
    <w:rsid w:val="008B46B0"/>
    <w:rsid w:val="008C3AD8"/>
    <w:rsid w:val="008C3E5E"/>
    <w:rsid w:val="008C65CC"/>
    <w:rsid w:val="008C6F08"/>
    <w:rsid w:val="008D2B7D"/>
    <w:rsid w:val="008E137E"/>
    <w:rsid w:val="008F5BA8"/>
    <w:rsid w:val="00901F45"/>
    <w:rsid w:val="00915142"/>
    <w:rsid w:val="00915613"/>
    <w:rsid w:val="00915AAE"/>
    <w:rsid w:val="00945CD2"/>
    <w:rsid w:val="00946A65"/>
    <w:rsid w:val="009470FD"/>
    <w:rsid w:val="00953ED7"/>
    <w:rsid w:val="00971CD6"/>
    <w:rsid w:val="00972E6B"/>
    <w:rsid w:val="009805A2"/>
    <w:rsid w:val="009840F1"/>
    <w:rsid w:val="00996890"/>
    <w:rsid w:val="009A3249"/>
    <w:rsid w:val="009B2BAC"/>
    <w:rsid w:val="009B70A9"/>
    <w:rsid w:val="009C480E"/>
    <w:rsid w:val="009D258F"/>
    <w:rsid w:val="009D3B75"/>
    <w:rsid w:val="009D6757"/>
    <w:rsid w:val="009D73F7"/>
    <w:rsid w:val="009E3500"/>
    <w:rsid w:val="009E5295"/>
    <w:rsid w:val="009F02FA"/>
    <w:rsid w:val="009F7275"/>
    <w:rsid w:val="00A01D31"/>
    <w:rsid w:val="00A073EA"/>
    <w:rsid w:val="00A17866"/>
    <w:rsid w:val="00A25E0B"/>
    <w:rsid w:val="00A356A3"/>
    <w:rsid w:val="00A3629B"/>
    <w:rsid w:val="00A42401"/>
    <w:rsid w:val="00A42BFE"/>
    <w:rsid w:val="00A46CAA"/>
    <w:rsid w:val="00A55466"/>
    <w:rsid w:val="00A601AC"/>
    <w:rsid w:val="00A6420B"/>
    <w:rsid w:val="00A6628F"/>
    <w:rsid w:val="00A84A56"/>
    <w:rsid w:val="00A91CA7"/>
    <w:rsid w:val="00A94591"/>
    <w:rsid w:val="00AB1F47"/>
    <w:rsid w:val="00AB2376"/>
    <w:rsid w:val="00AC60AE"/>
    <w:rsid w:val="00AE0B87"/>
    <w:rsid w:val="00AF27F5"/>
    <w:rsid w:val="00B037FD"/>
    <w:rsid w:val="00B13BEA"/>
    <w:rsid w:val="00B33103"/>
    <w:rsid w:val="00B36EBE"/>
    <w:rsid w:val="00B45971"/>
    <w:rsid w:val="00B46A0A"/>
    <w:rsid w:val="00B53DB5"/>
    <w:rsid w:val="00B74B4D"/>
    <w:rsid w:val="00B83C0D"/>
    <w:rsid w:val="00B85D39"/>
    <w:rsid w:val="00B92C50"/>
    <w:rsid w:val="00BA3D89"/>
    <w:rsid w:val="00BA63AA"/>
    <w:rsid w:val="00BB142F"/>
    <w:rsid w:val="00BB42F1"/>
    <w:rsid w:val="00BC120F"/>
    <w:rsid w:val="00BC6DF7"/>
    <w:rsid w:val="00BE498B"/>
    <w:rsid w:val="00BE7B23"/>
    <w:rsid w:val="00BF079C"/>
    <w:rsid w:val="00BF1B2B"/>
    <w:rsid w:val="00C00E1B"/>
    <w:rsid w:val="00C10B7D"/>
    <w:rsid w:val="00C11DF4"/>
    <w:rsid w:val="00C26F8F"/>
    <w:rsid w:val="00C32F29"/>
    <w:rsid w:val="00C504CD"/>
    <w:rsid w:val="00C61847"/>
    <w:rsid w:val="00C61965"/>
    <w:rsid w:val="00C63A94"/>
    <w:rsid w:val="00C808FB"/>
    <w:rsid w:val="00C821D8"/>
    <w:rsid w:val="00C852E8"/>
    <w:rsid w:val="00C962A9"/>
    <w:rsid w:val="00C9630A"/>
    <w:rsid w:val="00C963B3"/>
    <w:rsid w:val="00CC60B0"/>
    <w:rsid w:val="00CD00FA"/>
    <w:rsid w:val="00CD2D40"/>
    <w:rsid w:val="00CD4B8C"/>
    <w:rsid w:val="00CE7D3E"/>
    <w:rsid w:val="00D10F83"/>
    <w:rsid w:val="00D26848"/>
    <w:rsid w:val="00D336FA"/>
    <w:rsid w:val="00D33B1C"/>
    <w:rsid w:val="00D46C89"/>
    <w:rsid w:val="00D539D2"/>
    <w:rsid w:val="00D57F62"/>
    <w:rsid w:val="00D64A29"/>
    <w:rsid w:val="00D7280D"/>
    <w:rsid w:val="00DA21C6"/>
    <w:rsid w:val="00DA7282"/>
    <w:rsid w:val="00DA7D61"/>
    <w:rsid w:val="00DB1842"/>
    <w:rsid w:val="00DB3CD9"/>
    <w:rsid w:val="00DB706B"/>
    <w:rsid w:val="00DD456A"/>
    <w:rsid w:val="00DE3D6C"/>
    <w:rsid w:val="00DE7839"/>
    <w:rsid w:val="00DF29A2"/>
    <w:rsid w:val="00E0095A"/>
    <w:rsid w:val="00E12DE6"/>
    <w:rsid w:val="00E1534A"/>
    <w:rsid w:val="00E3429A"/>
    <w:rsid w:val="00E364F7"/>
    <w:rsid w:val="00E457E6"/>
    <w:rsid w:val="00E46B27"/>
    <w:rsid w:val="00E46C0B"/>
    <w:rsid w:val="00E50DD4"/>
    <w:rsid w:val="00E5271F"/>
    <w:rsid w:val="00E53EBE"/>
    <w:rsid w:val="00E555B0"/>
    <w:rsid w:val="00E57F29"/>
    <w:rsid w:val="00E61AD3"/>
    <w:rsid w:val="00E70DAD"/>
    <w:rsid w:val="00E71EF9"/>
    <w:rsid w:val="00E77853"/>
    <w:rsid w:val="00E77F5A"/>
    <w:rsid w:val="00E83EA4"/>
    <w:rsid w:val="00E968F6"/>
    <w:rsid w:val="00EB0B2F"/>
    <w:rsid w:val="00EB13BF"/>
    <w:rsid w:val="00EB2580"/>
    <w:rsid w:val="00EB67D8"/>
    <w:rsid w:val="00EC1A64"/>
    <w:rsid w:val="00EC5B94"/>
    <w:rsid w:val="00ED4947"/>
    <w:rsid w:val="00EE7A1F"/>
    <w:rsid w:val="00EF6479"/>
    <w:rsid w:val="00F0186F"/>
    <w:rsid w:val="00F01B2E"/>
    <w:rsid w:val="00F01DBD"/>
    <w:rsid w:val="00F1195D"/>
    <w:rsid w:val="00F12E59"/>
    <w:rsid w:val="00F15444"/>
    <w:rsid w:val="00F17C41"/>
    <w:rsid w:val="00F368DA"/>
    <w:rsid w:val="00F44E62"/>
    <w:rsid w:val="00F44F87"/>
    <w:rsid w:val="00F4622B"/>
    <w:rsid w:val="00F4746D"/>
    <w:rsid w:val="00F475C4"/>
    <w:rsid w:val="00F57624"/>
    <w:rsid w:val="00F63BDB"/>
    <w:rsid w:val="00F64E40"/>
    <w:rsid w:val="00F66C65"/>
    <w:rsid w:val="00F738D0"/>
    <w:rsid w:val="00F7515B"/>
    <w:rsid w:val="00F918AC"/>
    <w:rsid w:val="00FA040D"/>
    <w:rsid w:val="00FA5228"/>
    <w:rsid w:val="00FA522E"/>
    <w:rsid w:val="00FA52DC"/>
    <w:rsid w:val="00FB5CF5"/>
    <w:rsid w:val="00FC1B6A"/>
    <w:rsid w:val="00FC3F20"/>
    <w:rsid w:val="00FC752E"/>
    <w:rsid w:val="00FD587E"/>
    <w:rsid w:val="00FD7433"/>
    <w:rsid w:val="00FE1E74"/>
    <w:rsid w:val="00FF4DDE"/>
    <w:rsid w:val="00FF5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F6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5D"/>
    <w:rPr>
      <w:rFonts w:ascii="Calibri" w:eastAsia="Calibri" w:hAnsi="Calibri" w:cs="Times New Roman"/>
      <w:sz w:val="22"/>
    </w:rPr>
  </w:style>
  <w:style w:type="paragraph" w:styleId="Heading1">
    <w:name w:val="heading 1"/>
    <w:basedOn w:val="Heading2"/>
    <w:next w:val="Normal"/>
    <w:link w:val="Heading1Char"/>
    <w:uiPriority w:val="9"/>
    <w:qFormat/>
    <w:rsid w:val="00C821D8"/>
    <w:pPr>
      <w:outlineLvl w:val="0"/>
    </w:pPr>
    <w:rPr>
      <w:i/>
    </w:rPr>
  </w:style>
  <w:style w:type="paragraph" w:styleId="Heading2">
    <w:name w:val="heading 2"/>
    <w:basedOn w:val="Normal"/>
    <w:next w:val="Normal"/>
    <w:link w:val="Heading2Char"/>
    <w:uiPriority w:val="9"/>
    <w:qFormat/>
    <w:rsid w:val="004847E1"/>
    <w:pPr>
      <w:keepNext/>
      <w:keepLines/>
      <w:spacing w:before="120" w:after="120" w:line="240" w:lineRule="auto"/>
      <w:outlineLvl w:val="1"/>
    </w:pPr>
    <w:rPr>
      <w:rFonts w:eastAsia="MS Gothic"/>
      <w:b/>
      <w:bCs/>
      <w:color w:val="00B0F0"/>
      <w:sz w:val="32"/>
      <w:szCs w:val="32"/>
    </w:rPr>
  </w:style>
  <w:style w:type="paragraph" w:styleId="Heading3">
    <w:name w:val="heading 3"/>
    <w:basedOn w:val="Normal"/>
    <w:next w:val="Normal"/>
    <w:link w:val="Heading3Char"/>
    <w:uiPriority w:val="9"/>
    <w:unhideWhenUsed/>
    <w:qFormat/>
    <w:rsid w:val="00C821D8"/>
    <w:pPr>
      <w:spacing w:after="80"/>
      <w:outlineLvl w:val="2"/>
    </w:pPr>
    <w:rPr>
      <w:b/>
      <w:color w:val="00B0F0"/>
      <w:sz w:val="32"/>
      <w:szCs w:val="28"/>
    </w:rPr>
  </w:style>
  <w:style w:type="paragraph" w:styleId="Heading4">
    <w:name w:val="heading 4"/>
    <w:basedOn w:val="Normal"/>
    <w:next w:val="Normal"/>
    <w:link w:val="Heading4Char"/>
    <w:uiPriority w:val="9"/>
    <w:unhideWhenUsed/>
    <w:qFormat/>
    <w:rsid w:val="00C821D8"/>
    <w:pPr>
      <w:spacing w:after="80"/>
      <w:outlineLvl w:val="3"/>
    </w:pPr>
    <w:rPr>
      <w:b/>
      <w:color w:val="00B0F0"/>
      <w:sz w:val="24"/>
      <w:szCs w:val="24"/>
      <w:u w:val="single"/>
    </w:rPr>
  </w:style>
  <w:style w:type="paragraph" w:styleId="Heading5">
    <w:name w:val="heading 5"/>
    <w:basedOn w:val="Normal"/>
    <w:next w:val="Normal"/>
    <w:link w:val="Heading5Char"/>
    <w:uiPriority w:val="9"/>
    <w:unhideWhenUsed/>
    <w:qFormat/>
    <w:rsid w:val="00C821D8"/>
    <w:pPr>
      <w:spacing w:after="120"/>
      <w:outlineLvl w:val="4"/>
    </w:pPr>
    <w:rPr>
      <w:b/>
      <w:i/>
      <w:sz w:val="24"/>
      <w:szCs w:val="24"/>
      <w:u w:val="single"/>
    </w:rPr>
  </w:style>
  <w:style w:type="paragraph" w:styleId="Heading6">
    <w:name w:val="heading 6"/>
    <w:basedOn w:val="Normal"/>
    <w:next w:val="Normal"/>
    <w:link w:val="Heading6Char"/>
    <w:uiPriority w:val="9"/>
    <w:unhideWhenUsed/>
    <w:qFormat/>
    <w:rsid w:val="00C821D8"/>
    <w:pPr>
      <w:spacing w:after="120"/>
      <w:outlineLvl w:val="5"/>
    </w:pPr>
    <w:rPr>
      <w:b/>
      <w:bCs/>
      <w:i/>
      <w:iCs/>
      <w:color w:val="00B0F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47E1"/>
    <w:rPr>
      <w:rFonts w:ascii="Calibri" w:eastAsia="MS Gothic" w:hAnsi="Calibri" w:cs="Times New Roman"/>
      <w:b/>
      <w:bCs/>
      <w:color w:val="00B0F0"/>
      <w:sz w:val="32"/>
      <w:szCs w:val="32"/>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
    <w:basedOn w:val="Normal"/>
    <w:link w:val="ListParagraphChar"/>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aliases w:val="Summary box"/>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1D8"/>
    <w:rPr>
      <w:rFonts w:ascii="Calibri" w:eastAsia="MS Gothic" w:hAnsi="Calibri" w:cs="Times New Roman"/>
      <w:b/>
      <w:bCs/>
      <w:color w:val="00B0F0"/>
      <w:sz w:val="32"/>
      <w:szCs w:val="32"/>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unhideWhenUsed/>
    <w:rsid w:val="00603D41"/>
    <w:pPr>
      <w:spacing w:before="100" w:beforeAutospacing="1" w:after="100" w:afterAutospacing="1" w:line="240" w:lineRule="auto"/>
    </w:pPr>
    <w:rPr>
      <w:rFonts w:ascii="Times New Roman" w:eastAsiaTheme="minorEastAsia" w:hAnsi="Times New Roman"/>
      <w:sz w:val="24"/>
      <w:szCs w:val="24"/>
      <w:lang w:eastAsia="en-AU"/>
    </w:rPr>
  </w:style>
  <w:style w:type="table" w:customStyle="1" w:styleId="Summarybox1">
    <w:name w:val="Summary box1"/>
    <w:basedOn w:val="TableNormal"/>
    <w:next w:val="TableGrid"/>
    <w:uiPriority w:val="59"/>
    <w:rsid w:val="00F119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D494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D4947"/>
    <w:rPr>
      <w:rFonts w:asciiTheme="minorHAnsi" w:hAnsiTheme="minorHAnsi"/>
      <w:sz w:val="20"/>
      <w:szCs w:val="20"/>
    </w:rPr>
  </w:style>
  <w:style w:type="character" w:styleId="FootnoteReference">
    <w:name w:val="footnote reference"/>
    <w:basedOn w:val="DefaultParagraphFont"/>
    <w:uiPriority w:val="99"/>
    <w:semiHidden/>
    <w:unhideWhenUsed/>
    <w:rsid w:val="00ED4947"/>
    <w:rPr>
      <w:vertAlign w:val="superscript"/>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99"/>
    <w:locked/>
    <w:rsid w:val="000C680A"/>
    <w:rPr>
      <w:rFonts w:ascii="Arial Narrow" w:eastAsia="Times New Roman" w:hAnsi="Arial Narrow" w:cs="Tahoma"/>
      <w:b/>
      <w:sz w:val="20"/>
      <w:szCs w:val="20"/>
      <w:lang w:val="en-GB" w:eastAsia="ja-JP"/>
    </w:rPr>
  </w:style>
  <w:style w:type="character" w:customStyle="1" w:styleId="Heading4Char">
    <w:name w:val="Heading 4 Char"/>
    <w:basedOn w:val="DefaultParagraphFont"/>
    <w:link w:val="Heading4"/>
    <w:uiPriority w:val="9"/>
    <w:rsid w:val="00C821D8"/>
    <w:rPr>
      <w:rFonts w:ascii="Calibri" w:eastAsia="Calibri" w:hAnsi="Calibri" w:cs="Times New Roman"/>
      <w:b/>
      <w:color w:val="00B0F0"/>
      <w:szCs w:val="24"/>
      <w:u w:val="single"/>
    </w:rPr>
  </w:style>
  <w:style w:type="paragraph" w:customStyle="1" w:styleId="Tabletext">
    <w:name w:val="Table text"/>
    <w:basedOn w:val="BodyText"/>
    <w:link w:val="TabletextChar"/>
    <w:qFormat/>
    <w:rsid w:val="008F5BA8"/>
    <w:pPr>
      <w:tabs>
        <w:tab w:val="left" w:pos="416"/>
        <w:tab w:val="left" w:pos="582"/>
      </w:tabs>
      <w:spacing w:before="20" w:after="20" w:line="240" w:lineRule="auto"/>
    </w:pPr>
    <w:rPr>
      <w:rFonts w:eastAsia="Times New Roman"/>
      <w:bCs/>
      <w:sz w:val="18"/>
      <w:szCs w:val="18"/>
    </w:rPr>
  </w:style>
  <w:style w:type="character" w:customStyle="1" w:styleId="TabletextChar">
    <w:name w:val="Table text Char"/>
    <w:basedOn w:val="DefaultParagraphFont"/>
    <w:link w:val="Tabletext"/>
    <w:rsid w:val="008F5BA8"/>
    <w:rPr>
      <w:rFonts w:ascii="Calibri" w:eastAsia="Times New Roman" w:hAnsi="Calibri" w:cs="Times New Roman"/>
      <w:bCs/>
      <w:sz w:val="18"/>
      <w:szCs w:val="18"/>
    </w:rPr>
  </w:style>
  <w:style w:type="paragraph" w:styleId="BodyText">
    <w:name w:val="Body Text"/>
    <w:basedOn w:val="Normal"/>
    <w:link w:val="BodyTextChar"/>
    <w:uiPriority w:val="99"/>
    <w:semiHidden/>
    <w:unhideWhenUsed/>
    <w:rsid w:val="008F5BA8"/>
    <w:pPr>
      <w:spacing w:after="120"/>
    </w:pPr>
  </w:style>
  <w:style w:type="character" w:customStyle="1" w:styleId="BodyTextChar">
    <w:name w:val="Body Text Char"/>
    <w:basedOn w:val="DefaultParagraphFont"/>
    <w:link w:val="BodyText"/>
    <w:uiPriority w:val="99"/>
    <w:semiHidden/>
    <w:rsid w:val="008F5BA8"/>
    <w:rPr>
      <w:rFonts w:ascii="Calibri" w:eastAsia="Calibri" w:hAnsi="Calibri" w:cs="Times New Roman"/>
      <w:sz w:val="22"/>
    </w:rPr>
  </w:style>
  <w:style w:type="paragraph" w:customStyle="1" w:styleId="TableNote">
    <w:name w:val="Table Note"/>
    <w:basedOn w:val="Normal"/>
    <w:qFormat/>
    <w:rsid w:val="00BC120F"/>
    <w:pPr>
      <w:keepNext/>
      <w:keepLines/>
      <w:spacing w:after="0" w:line="240" w:lineRule="auto"/>
    </w:pPr>
    <w:rPr>
      <w:rFonts w:ascii="Arial" w:hAnsi="Arial" w:cs="Arial"/>
      <w:sz w:val="16"/>
      <w:szCs w:val="16"/>
    </w:rPr>
  </w:style>
  <w:style w:type="paragraph" w:customStyle="1" w:styleId="EndNoteBibliographyTitle">
    <w:name w:val="EndNote Bibliography Title"/>
    <w:basedOn w:val="Normal"/>
    <w:link w:val="EndNoteBibliographyTitleChar"/>
    <w:rsid w:val="00FD587E"/>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FD587E"/>
    <w:rPr>
      <w:rFonts w:ascii="Calibri" w:eastAsia="Calibri" w:hAnsi="Calibri" w:cs="Calibri"/>
      <w:noProof/>
      <w:sz w:val="22"/>
      <w:lang w:val="en-US"/>
    </w:rPr>
  </w:style>
  <w:style w:type="paragraph" w:customStyle="1" w:styleId="EndNoteBibliography">
    <w:name w:val="EndNote Bibliography"/>
    <w:basedOn w:val="Normal"/>
    <w:link w:val="EndNoteBibliographyChar"/>
    <w:rsid w:val="00FD587E"/>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FD587E"/>
    <w:rPr>
      <w:rFonts w:ascii="Calibri" w:eastAsia="Calibri" w:hAnsi="Calibri" w:cs="Calibri"/>
      <w:noProof/>
      <w:sz w:val="22"/>
      <w:lang w:val="en-US"/>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3A3EAA"/>
    <w:rPr>
      <w:rFonts w:ascii="Calibri" w:eastAsia="Calibri" w:hAnsi="Calibri" w:cs="Times New Roman"/>
      <w:sz w:val="22"/>
    </w:rPr>
  </w:style>
  <w:style w:type="paragraph" w:styleId="Revision">
    <w:name w:val="Revision"/>
    <w:hidden/>
    <w:uiPriority w:val="99"/>
    <w:semiHidden/>
    <w:rsid w:val="004105E4"/>
    <w:pPr>
      <w:spacing w:after="0" w:line="240" w:lineRule="auto"/>
    </w:pPr>
    <w:rPr>
      <w:rFonts w:ascii="Calibri" w:eastAsia="Calibri" w:hAnsi="Calibri" w:cs="Times New Roman"/>
      <w:sz w:val="22"/>
    </w:rPr>
  </w:style>
  <w:style w:type="character" w:customStyle="1" w:styleId="Heading3Char">
    <w:name w:val="Heading 3 Char"/>
    <w:basedOn w:val="DefaultParagraphFont"/>
    <w:link w:val="Heading3"/>
    <w:uiPriority w:val="9"/>
    <w:rsid w:val="00C821D8"/>
    <w:rPr>
      <w:rFonts w:ascii="Calibri" w:eastAsia="Calibri" w:hAnsi="Calibri" w:cs="Times New Roman"/>
      <w:b/>
      <w:color w:val="00B0F0"/>
      <w:sz w:val="32"/>
      <w:szCs w:val="28"/>
    </w:rPr>
  </w:style>
  <w:style w:type="character" w:customStyle="1" w:styleId="Heading5Char">
    <w:name w:val="Heading 5 Char"/>
    <w:basedOn w:val="DefaultParagraphFont"/>
    <w:link w:val="Heading5"/>
    <w:uiPriority w:val="9"/>
    <w:rsid w:val="00C821D8"/>
    <w:rPr>
      <w:rFonts w:ascii="Calibri" w:eastAsia="Calibri" w:hAnsi="Calibri" w:cs="Times New Roman"/>
      <w:b/>
      <w:i/>
      <w:szCs w:val="24"/>
      <w:u w:val="single"/>
    </w:rPr>
  </w:style>
  <w:style w:type="character" w:customStyle="1" w:styleId="Heading6Char">
    <w:name w:val="Heading 6 Char"/>
    <w:basedOn w:val="DefaultParagraphFont"/>
    <w:link w:val="Heading6"/>
    <w:uiPriority w:val="9"/>
    <w:rsid w:val="00C821D8"/>
    <w:rPr>
      <w:rFonts w:ascii="Calibri" w:eastAsia="Calibri" w:hAnsi="Calibri" w:cs="Times New Roman"/>
      <w:b/>
      <w:bCs/>
      <w:i/>
      <w:iCs/>
      <w:color w:val="00B0F0"/>
      <w:szCs w:val="24"/>
    </w:rPr>
  </w:style>
  <w:style w:type="table" w:customStyle="1" w:styleId="TableGrid2">
    <w:name w:val="Table Grid2"/>
    <w:basedOn w:val="TableNormal"/>
    <w:next w:val="TableGrid"/>
    <w:uiPriority w:val="59"/>
    <w:rsid w:val="0026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3006">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554268340">
      <w:bodyDiv w:val="1"/>
      <w:marLeft w:val="0"/>
      <w:marRight w:val="0"/>
      <w:marTop w:val="0"/>
      <w:marBottom w:val="0"/>
      <w:divBdr>
        <w:top w:val="none" w:sz="0" w:space="0" w:color="auto"/>
        <w:left w:val="none" w:sz="0" w:space="0" w:color="auto"/>
        <w:bottom w:val="none" w:sz="0" w:space="0" w:color="auto"/>
        <w:right w:val="none" w:sz="0" w:space="0" w:color="auto"/>
      </w:divBdr>
    </w:div>
    <w:div w:id="1998877884">
      <w:bodyDiv w:val="1"/>
      <w:marLeft w:val="0"/>
      <w:marRight w:val="0"/>
      <w:marTop w:val="0"/>
      <w:marBottom w:val="0"/>
      <w:divBdr>
        <w:top w:val="none" w:sz="0" w:space="0" w:color="auto"/>
        <w:left w:val="none" w:sz="0" w:space="0" w:color="auto"/>
        <w:bottom w:val="none" w:sz="0" w:space="0" w:color="auto"/>
        <w:right w:val="none" w:sz="0" w:space="0" w:color="auto"/>
      </w:divBdr>
      <w:divsChild>
        <w:div w:id="1043333405">
          <w:marLeft w:val="288"/>
          <w:marRight w:val="0"/>
          <w:marTop w:val="115"/>
          <w:marBottom w:val="0"/>
          <w:divBdr>
            <w:top w:val="none" w:sz="0" w:space="0" w:color="auto"/>
            <w:left w:val="none" w:sz="0" w:space="0" w:color="auto"/>
            <w:bottom w:val="none" w:sz="0" w:space="0" w:color="auto"/>
            <w:right w:val="none" w:sz="0" w:space="0" w:color="auto"/>
          </w:divBdr>
        </w:div>
        <w:div w:id="769201500">
          <w:marLeft w:val="720"/>
          <w:marRight w:val="0"/>
          <w:marTop w:val="96"/>
          <w:marBottom w:val="0"/>
          <w:divBdr>
            <w:top w:val="none" w:sz="0" w:space="0" w:color="auto"/>
            <w:left w:val="none" w:sz="0" w:space="0" w:color="auto"/>
            <w:bottom w:val="none" w:sz="0" w:space="0" w:color="auto"/>
            <w:right w:val="none" w:sz="0" w:space="0" w:color="auto"/>
          </w:divBdr>
        </w:div>
      </w:divsChild>
    </w:div>
    <w:div w:id="202620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diacrhythmnew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hlc.2018.06.10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bs.gov.au/reviews/atrial-fibrillation-files/report-anticoagulation.pdf" TargetMode="External"/><Relationship Id="rId10" Type="http://schemas.openxmlformats.org/officeDocument/2006/relationships/hyperlink" Target="http://www.cardiacrhythmnew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ihw.gov.au/reports/heart-stroke-vascular-diseases/cardiovascular-health-compendium" TargetMode="Externa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bucksformulary.nhs.uk/docs/ContraindicationsOralAnticoag%26Anti-plateletsAFPrimaryCa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E1B0-E177-4279-9F05-54E0874D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7752</Words>
  <Characters>44189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2020-08-04T04:33:00Z</dcterms:created>
  <dcterms:modified xsi:type="dcterms:W3CDTF">2020-08-25T05:27:00Z</dcterms:modified>
</cp:coreProperties>
</file>